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000" w:after="200" w:line="240" w:lineRule="auto"/>
        <w:jc w:val="center"/>
      </w:pPr>
      <w:r>
        <w:rPr>
          <w:rFonts w:ascii="Noto Sans CJK SC" w:hAnsi="Noto Sans CJK SC" w:eastAsia="Noto Sans CJK SC"/>
          <w:b/>
          <w:color w:val="0F6B78"/>
          <w:sz w:val="32"/>
        </w:rPr>
        <w:t>热点反向穿透法</w:t>
      </w:r>
    </w:p>
    <w:p>
      <w:pPr>
        <w:keepNext w:val="0"/>
        <w:spacing w:before="80" w:after="200" w:line="252" w:lineRule="auto"/>
        <w:jc w:val="center"/>
      </w:pPr>
      <w:r>
        <w:rPr>
          <w:rFonts w:ascii="Noto Sans CJK SC" w:hAnsi="Noto Sans CJK SC" w:eastAsia="Noto Sans CJK SC"/>
          <w:b/>
          <w:color w:val="17365D"/>
          <w:sz w:val="52"/>
        </w:rPr>
        <w:t>AI数据中心液冷 A阶段</w:t>
        <w:br/>
        <w:t>开放式产业研究最终报告</w:t>
      </w:r>
    </w:p>
    <w:p>
      <w:pPr>
        <w:keepNext w:val="0"/>
        <w:spacing w:before="0" w:after="400" w:line="288" w:lineRule="auto"/>
        <w:jc w:val="center"/>
      </w:pPr>
      <w:r>
        <w:rPr>
          <w:rFonts w:ascii="Noto Sans CJK SC" w:hAnsi="Noto Sans CJK SC" w:eastAsia="Noto Sans CJK SC"/>
          <w:b/>
          <w:color w:val="2E7D32"/>
          <w:sz w:val="24"/>
        </w:rPr>
        <w:t>A1开放研究 → A2本地支持 → A3关系复核与三道地基门验收</w:t>
      </w:r>
    </w:p>
    <w:tbl>
      <w:tblPr>
        <w:tblW w:type="auto" w:w="0"/>
        <w:jc w:val="center"/>
        <w:tblLayout w:type="fixed"/>
        <w:tblLook w:firstColumn="1" w:firstRow="1" w:lastColumn="0" w:lastRow="0" w:noHBand="0" w:noVBand="1" w:val="04A0"/>
      </w:tblPr>
      <w:tblGrid>
        <w:gridCol w:w="5043"/>
        <w:gridCol w:w="5043"/>
      </w:tblGrid>
      <w:tr>
        <w:tc>
          <w:tcPr>
            <w:tcW w:type="dxa" w:w="2268"/>
            <w:vAlign w:val="center"/>
            <w:tcMar>
              <w:top w:w="70" w:type="dxa"/>
              <w:start w:w="70" w:type="dxa"/>
              <w:bottom w:w="70" w:type="dxa"/>
              <w:end w:w="70" w:type="dxa"/>
            </w:tcMar>
            <w:shd w:fill="17365D"/>
          </w:tcPr>
          <w:p>
            <w:pPr>
              <w:keepNext w:val="0"/>
              <w:spacing w:before="0" w:after="0" w:line="252" w:lineRule="auto"/>
              <w:jc w:val="center"/>
            </w:pPr>
            <w:r/>
            <w:r>
              <w:rPr>
                <w:rFonts w:ascii="Noto Sans CJK SC" w:hAnsi="Noto Sans CJK SC" w:eastAsia="Noto Sans CJK SC"/>
                <w:b/>
                <w:color w:val="FFFFFF"/>
                <w:sz w:val="18"/>
              </w:rPr>
              <w:t>研究编号</w:t>
            </w:r>
          </w:p>
        </w:tc>
        <w:tc>
          <w:tcPr>
            <w:tcW w:type="dxa" w:w="6236"/>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8"/>
              </w:rPr>
              <w:t>ai-liquid-cooling-2026h2-001</w:t>
            </w:r>
          </w:p>
        </w:tc>
      </w:tr>
      <w:tr>
        <w:tc>
          <w:tcPr>
            <w:tcW w:type="dxa" w:w="2268"/>
            <w:vAlign w:val="center"/>
            <w:tcMar>
              <w:top w:w="70" w:type="dxa"/>
              <w:start w:w="70" w:type="dxa"/>
              <w:bottom w:w="70" w:type="dxa"/>
              <w:end w:w="70" w:type="dxa"/>
            </w:tcMar>
            <w:shd w:fill="17365D"/>
          </w:tcPr>
          <w:p>
            <w:pPr>
              <w:keepNext w:val="0"/>
              <w:spacing w:before="0" w:after="0" w:line="252" w:lineRule="auto"/>
              <w:jc w:val="center"/>
            </w:pPr>
            <w:r/>
            <w:r>
              <w:rPr>
                <w:rFonts w:ascii="Noto Sans CJK SC" w:hAnsi="Noto Sans CJK SC" w:eastAsia="Noto Sans CJK SC"/>
                <w:b/>
                <w:color w:val="FFFFFF"/>
                <w:sz w:val="18"/>
              </w:rPr>
              <w:t>研究分支</w:t>
            </w:r>
          </w:p>
        </w:tc>
        <w:tc>
          <w:tcPr>
            <w:tcW w:type="dxa" w:w="6236"/>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8"/>
              </w:rPr>
              <w:t>research/ai-liquid-cooling-2026h2</w:t>
            </w:r>
          </w:p>
        </w:tc>
      </w:tr>
      <w:tr>
        <w:tc>
          <w:tcPr>
            <w:tcW w:type="dxa" w:w="2268"/>
            <w:vAlign w:val="center"/>
            <w:tcMar>
              <w:top w:w="70" w:type="dxa"/>
              <w:start w:w="70" w:type="dxa"/>
              <w:bottom w:w="70" w:type="dxa"/>
              <w:end w:w="70" w:type="dxa"/>
            </w:tcMar>
            <w:shd w:fill="17365D"/>
          </w:tcPr>
          <w:p>
            <w:pPr>
              <w:keepNext w:val="0"/>
              <w:spacing w:before="0" w:after="0" w:line="252" w:lineRule="auto"/>
              <w:jc w:val="center"/>
            </w:pPr>
            <w:r/>
            <w:r>
              <w:rPr>
                <w:rFonts w:ascii="Noto Sans CJK SC" w:hAnsi="Noto Sans CJK SC" w:eastAsia="Noto Sans CJK SC"/>
                <w:b/>
                <w:color w:val="FFFFFF"/>
                <w:sz w:val="18"/>
              </w:rPr>
              <w:t>资料截止</w:t>
            </w:r>
          </w:p>
        </w:tc>
        <w:tc>
          <w:tcPr>
            <w:tcW w:type="dxa" w:w="6236"/>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8"/>
              </w:rPr>
              <w:t>2026-08-27 22:32:34 +08:00</w:t>
            </w:r>
          </w:p>
        </w:tc>
      </w:tr>
      <w:tr>
        <w:tc>
          <w:tcPr>
            <w:tcW w:type="dxa" w:w="2268"/>
            <w:vAlign w:val="center"/>
            <w:tcMar>
              <w:top w:w="70" w:type="dxa"/>
              <w:start w:w="70" w:type="dxa"/>
              <w:bottom w:w="70" w:type="dxa"/>
              <w:end w:w="70" w:type="dxa"/>
            </w:tcMar>
            <w:shd w:fill="17365D"/>
          </w:tcPr>
          <w:p>
            <w:pPr>
              <w:keepNext w:val="0"/>
              <w:spacing w:before="0" w:after="0" w:line="252" w:lineRule="auto"/>
              <w:jc w:val="center"/>
            </w:pPr>
            <w:r/>
            <w:r>
              <w:rPr>
                <w:rFonts w:ascii="Noto Sans CJK SC" w:hAnsi="Noto Sans CJK SC" w:eastAsia="Noto Sans CJK SC"/>
                <w:b/>
                <w:color w:val="FFFFFF"/>
                <w:sz w:val="18"/>
              </w:rPr>
              <w:t>A2提交</w:t>
            </w:r>
          </w:p>
        </w:tc>
        <w:tc>
          <w:tcPr>
            <w:tcW w:type="dxa" w:w="6236"/>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8"/>
              </w:rPr>
              <w:t>0040cca3d0e01dbeae6b7a0cb029a4b0696dba2c</w:t>
            </w:r>
          </w:p>
        </w:tc>
      </w:tr>
      <w:tr>
        <w:tc>
          <w:tcPr>
            <w:tcW w:type="dxa" w:w="2268"/>
            <w:vAlign w:val="center"/>
            <w:tcMar>
              <w:top w:w="70" w:type="dxa"/>
              <w:start w:w="70" w:type="dxa"/>
              <w:bottom w:w="70" w:type="dxa"/>
              <w:end w:w="70" w:type="dxa"/>
            </w:tcMar>
            <w:shd w:fill="2E7D32"/>
          </w:tcPr>
          <w:p>
            <w:pPr>
              <w:keepNext w:val="0"/>
              <w:spacing w:before="0" w:after="0" w:line="252" w:lineRule="auto"/>
              <w:jc w:val="center"/>
            </w:pPr>
            <w:r/>
            <w:r>
              <w:rPr>
                <w:rFonts w:ascii="Noto Sans CJK SC" w:hAnsi="Noto Sans CJK SC" w:eastAsia="Noto Sans CJK SC"/>
                <w:b/>
                <w:color w:val="FFFFFF"/>
                <w:sz w:val="18"/>
              </w:rPr>
              <w:t>A阶段结论</w:t>
            </w:r>
          </w:p>
        </w:tc>
        <w:tc>
          <w:tcPr>
            <w:tcW w:type="dxa" w:w="6236"/>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8"/>
              </w:rPr>
              <w:t>混合通过：缩小范围后可进入B1</w:t>
            </w:r>
          </w:p>
        </w:tc>
      </w:tr>
      <w:tr>
        <w:tc>
          <w:tcPr>
            <w:tcW w:type="dxa" w:w="2268"/>
            <w:vAlign w:val="center"/>
            <w:tcMar>
              <w:top w:w="70" w:type="dxa"/>
              <w:start w:w="70" w:type="dxa"/>
              <w:bottom w:w="70" w:type="dxa"/>
              <w:end w:w="70" w:type="dxa"/>
            </w:tcMar>
            <w:shd w:fill="B8860B"/>
          </w:tcPr>
          <w:p>
            <w:pPr>
              <w:keepNext w:val="0"/>
              <w:spacing w:before="0" w:after="0" w:line="252" w:lineRule="auto"/>
              <w:jc w:val="center"/>
            </w:pPr>
            <w:r/>
            <w:r>
              <w:rPr>
                <w:rFonts w:ascii="Noto Sans CJK SC" w:hAnsi="Noto Sans CJK SC" w:eastAsia="Noto Sans CJK SC"/>
                <w:b/>
                <w:color w:val="FFFFFF"/>
                <w:sz w:val="18"/>
              </w:rPr>
              <w:t>使用边界</w:t>
            </w:r>
          </w:p>
        </w:tc>
        <w:tc>
          <w:tcPr>
            <w:tcW w:type="dxa" w:w="6236"/>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8"/>
              </w:rPr>
              <w:t>不是股票名单；不含估值、价格、仓位或买卖结论</w:t>
            </w:r>
          </w:p>
        </w:tc>
      </w:tr>
    </w:tbl>
    <w:p/>
    <w:tbl>
      <w:tblPr>
        <w:tblW w:type="auto" w:w="0"/>
        <w:jc w:val="center"/>
        <w:tblLayout w:type="fixed"/>
        <w:tblLook w:firstColumn="1" w:firstRow="1" w:lastColumn="0" w:lastRow="0" w:noHBand="0" w:noVBand="1" w:val="04A0"/>
      </w:tblPr>
      <w:tblGrid>
        <w:gridCol w:w="10086"/>
      </w:tblGrid>
      <w:tr>
        <w:tc>
          <w:tcPr>
            <w:tcW w:type="dxa" w:w="10086"/>
            <w:shd w:fill="E2F0D9"/>
            <w:tcBorders>
              <w:top w:val="single" w:sz="16" w:color="2E7D32"/>
              <w:left w:val="single" w:sz="16" w:color="2E7D32"/>
              <w:bottom w:val="single" w:sz="16" w:color="2E7D32"/>
              <w:right w:val="single" w:sz="16" w:color="2E7D32"/>
            </w:tcBorders>
            <w:tcMar>
              <w:top w:w="120" w:type="dxa"/>
              <w:start w:w="160" w:type="dxa"/>
              <w:bottom w:w="120" w:type="dxa"/>
              <w:end w:w="160" w:type="dxa"/>
            </w:tcMar>
          </w:tcPr>
          <w:p>
            <w:pPr>
              <w:keepNext w:val="0"/>
              <w:spacing w:before="0" w:after="60" w:line="264" w:lineRule="auto"/>
            </w:pPr>
            <w:r/>
            <w:r>
              <w:rPr>
                <w:rFonts w:ascii="Noto Sans CJK SC" w:hAnsi="Noto Sans CJK SC" w:eastAsia="Noto Sans CJK SC"/>
                <w:b/>
                <w:color w:val="2E7D32"/>
                <w:sz w:val="20"/>
              </w:rPr>
              <w:t>一句话结论</w:t>
            </w:r>
          </w:p>
          <w:p>
            <w:pPr>
              <w:keepNext w:val="0"/>
              <w:spacing w:before="0" w:after="0" w:line="276" w:lineRule="auto"/>
            </w:pPr>
            <w:r>
              <w:rPr>
                <w:rFonts w:ascii="Noto Sans CJK SC" w:hAnsi="Noto Sans CJK SC" w:eastAsia="Noto Sans CJK SC"/>
                <w:color w:val="222222"/>
                <w:sz w:val="18"/>
              </w:rPr>
              <w:t>A阶段没有得到“液冷股票名单”，而是得到一套可审计的节点—实体—证据边界：35个精确节点保留，6个上市经营实体进入B核心范围，2个条件实体只做关系/设施侧核查，1个母子公司关系只核对利润归属；三道地基门均为“混合”，因此可以继续，但必须缩小B阶段合同。</w:t>
            </w:r>
          </w:p>
        </w:tc>
      </w:tr>
    </w:tbl>
    <w:p/>
    <w:p>
      <w:pPr>
        <w:keepNext w:val="0"/>
        <w:spacing w:before="500" w:after="0" w:line="240" w:lineRule="auto"/>
        <w:jc w:val="center"/>
      </w:pPr>
      <w:r>
        <w:rPr>
          <w:rFonts w:ascii="Noto Sans CJK SC" w:hAnsi="Noto Sans CJK SC" w:eastAsia="Noto Sans CJK SC"/>
          <w:b/>
          <w:color w:val="9C0006"/>
          <w:sz w:val="18"/>
        </w:rPr>
        <w:t>本报告不构成证券推荐或投资建议</w:t>
      </w:r>
    </w:p>
    <w:p>
      <w:r>
        <w:br w:type="page"/>
      </w:r>
    </w:p>
    <w:p>
      <w:pPr>
        <w:pStyle w:val="Heading1"/>
      </w:pPr>
      <w:r>
        <w:t>阅读导航</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268"/>
            <w:vAlign w:val="center"/>
            <w:tcMar>
              <w:top w:w="70" w:type="dxa"/>
              <w:start w:w="70" w:type="dxa"/>
              <w:bottom w:w="70" w:type="dxa"/>
              <w:end w:w="70" w:type="dxa"/>
            </w:tcMar>
            <w:shd w:fill="17365D"/>
          </w:tcPr>
          <w:p>
            <w:pPr>
              <w:keepNext w:val="0"/>
              <w:spacing w:before="0" w:after="0" w:line="252" w:lineRule="auto"/>
              <w:jc w:val="center"/>
            </w:pPr>
            <w:r/>
            <w:r>
              <w:rPr>
                <w:rFonts w:ascii="Noto Sans CJK SC" w:hAnsi="Noto Sans CJK SC" w:eastAsia="Noto Sans CJK SC"/>
                <w:b/>
                <w:color w:val="FFFFFF"/>
                <w:sz w:val="16"/>
              </w:rPr>
              <w:t>部分</w:t>
            </w:r>
          </w:p>
        </w:tc>
        <w:tc>
          <w:tcPr>
            <w:tcW w:type="dxa" w:w="6803"/>
            <w:vAlign w:val="center"/>
            <w:tcMar>
              <w:top w:w="70" w:type="dxa"/>
              <w:start w:w="70" w:type="dxa"/>
              <w:bottom w:w="70" w:type="dxa"/>
              <w:end w:w="70" w:type="dxa"/>
            </w:tcMar>
            <w:shd w:fill="17365D"/>
          </w:tcPr>
          <w:p>
            <w:pPr>
              <w:keepNext w:val="0"/>
              <w:spacing w:before="0" w:after="0" w:line="252" w:lineRule="auto"/>
              <w:jc w:val="center"/>
            </w:pPr>
            <w:r/>
            <w:r>
              <w:rPr>
                <w:rFonts w:ascii="Noto Sans CJK SC" w:hAnsi="Noto Sans CJK SC" w:eastAsia="Noto Sans CJK SC"/>
                <w:b/>
                <w:color w:val="FFFFFF"/>
                <w:sz w:val="16"/>
              </w:rPr>
              <w:t>你会得到什么</w:t>
            </w:r>
          </w:p>
        </w:tc>
      </w:tr>
      <w:tr>
        <w:tc>
          <w:tcPr>
            <w:tcW w:type="dxa" w:w="2268"/>
            <w:vAlign w:val="center"/>
            <w:tcMar>
              <w:top w:w="70" w:type="dxa"/>
              <w:start w:w="70" w:type="dxa"/>
              <w:bottom w:w="70" w:type="dxa"/>
              <w:end w:w="70" w:type="dxa"/>
            </w:tcMar>
            <w:shd w:fill="DDEBF7"/>
          </w:tcPr>
          <w:p>
            <w:pPr>
              <w:keepNext w:val="0"/>
              <w:spacing w:before="0" w:after="0" w:line="252" w:lineRule="auto"/>
            </w:pPr>
            <w:r>
              <w:rPr>
                <w:b/>
              </w:rPr>
            </w:r>
            <w:r>
              <w:rPr>
                <w:rFonts w:ascii="Noto Sans CJK SC" w:hAnsi="Noto Sans CJK SC" w:eastAsia="Noto Sans CJK SC"/>
                <w:b/>
                <w:color w:val="222222"/>
                <w:sz w:val="17"/>
              </w:rPr>
              <w:t>一页结论</w:t>
            </w:r>
          </w:p>
        </w:tc>
        <w:tc>
          <w:tcPr>
            <w:tcW w:type="dxa" w:w="6803"/>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7"/>
              </w:rPr>
              <w:t>先看A阶段到底通过了什么、没有通过什么。</w:t>
            </w:r>
          </w:p>
        </w:tc>
      </w:tr>
      <w:tr>
        <w:tc>
          <w:tcPr>
            <w:tcW w:type="dxa" w:w="2268"/>
            <w:vAlign w:val="center"/>
            <w:tcMar>
              <w:top w:w="70" w:type="dxa"/>
              <w:start w:w="70" w:type="dxa"/>
              <w:bottom w:w="70" w:type="dxa"/>
              <w:end w:w="70" w:type="dxa"/>
            </w:tcMar>
            <w:shd w:fill="DDEBF7"/>
          </w:tcPr>
          <w:p>
            <w:pPr>
              <w:keepNext w:val="0"/>
              <w:spacing w:before="0" w:after="0" w:line="252" w:lineRule="auto"/>
            </w:pPr>
            <w:r>
              <w:rPr>
                <w:b/>
              </w:rPr>
            </w:r>
            <w:r>
              <w:rPr>
                <w:rFonts w:ascii="Noto Sans CJK SC" w:hAnsi="Noto Sans CJK SC" w:eastAsia="Noto Sans CJK SC"/>
                <w:b/>
                <w:color w:val="222222"/>
                <w:sz w:val="17"/>
              </w:rPr>
              <w:t>第一部分</w:t>
            </w:r>
          </w:p>
        </w:tc>
        <w:tc>
          <w:tcPr>
            <w:tcW w:type="dxa" w:w="6803"/>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7"/>
              </w:rPr>
              <w:t>A1、A2之后发生了哪些实质变化。</w:t>
            </w:r>
          </w:p>
        </w:tc>
      </w:tr>
      <w:tr>
        <w:tc>
          <w:tcPr>
            <w:tcW w:type="dxa" w:w="2268"/>
            <w:vAlign w:val="center"/>
            <w:tcMar>
              <w:top w:w="70" w:type="dxa"/>
              <w:start w:w="70" w:type="dxa"/>
              <w:bottom w:w="70" w:type="dxa"/>
              <w:end w:w="70" w:type="dxa"/>
            </w:tcMar>
            <w:shd w:fill="DDEBF7"/>
          </w:tcPr>
          <w:p>
            <w:pPr>
              <w:keepNext w:val="0"/>
              <w:spacing w:before="0" w:after="0" w:line="252" w:lineRule="auto"/>
            </w:pPr>
            <w:r>
              <w:rPr>
                <w:b/>
              </w:rPr>
            </w:r>
            <w:r>
              <w:rPr>
                <w:rFonts w:ascii="Noto Sans CJK SC" w:hAnsi="Noto Sans CJK SC" w:eastAsia="Noto Sans CJK SC"/>
                <w:b/>
                <w:color w:val="222222"/>
                <w:sz w:val="17"/>
              </w:rPr>
              <w:t>第二部分</w:t>
            </w:r>
          </w:p>
        </w:tc>
        <w:tc>
          <w:tcPr>
            <w:tcW w:type="dxa" w:w="6803"/>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7"/>
              </w:rPr>
              <w:t>身份—能力—认证—供货—订单—交付—收入—利润—现金怎样分层。</w:t>
            </w:r>
          </w:p>
        </w:tc>
      </w:tr>
      <w:tr>
        <w:tc>
          <w:tcPr>
            <w:tcW w:type="dxa" w:w="2268"/>
            <w:vAlign w:val="center"/>
            <w:tcMar>
              <w:top w:w="70" w:type="dxa"/>
              <w:start w:w="70" w:type="dxa"/>
              <w:bottom w:w="70" w:type="dxa"/>
              <w:end w:w="70" w:type="dxa"/>
            </w:tcMar>
            <w:shd w:fill="DDEBF7"/>
          </w:tcPr>
          <w:p>
            <w:pPr>
              <w:keepNext w:val="0"/>
              <w:spacing w:before="0" w:after="0" w:line="252" w:lineRule="auto"/>
            </w:pPr>
            <w:r>
              <w:rPr>
                <w:b/>
              </w:rPr>
            </w:r>
            <w:r>
              <w:rPr>
                <w:rFonts w:ascii="Noto Sans CJK SC" w:hAnsi="Noto Sans CJK SC" w:eastAsia="Noto Sans CJK SC"/>
                <w:b/>
                <w:color w:val="222222"/>
                <w:sz w:val="17"/>
              </w:rPr>
              <w:t>第三部分</w:t>
            </w:r>
          </w:p>
        </w:tc>
        <w:tc>
          <w:tcPr>
            <w:tcW w:type="dxa" w:w="6803"/>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7"/>
              </w:rPr>
              <w:t>三道地基门的正式验收。</w:t>
            </w:r>
          </w:p>
        </w:tc>
      </w:tr>
      <w:tr>
        <w:tc>
          <w:tcPr>
            <w:tcW w:type="dxa" w:w="2268"/>
            <w:vAlign w:val="center"/>
            <w:tcMar>
              <w:top w:w="70" w:type="dxa"/>
              <w:start w:w="70" w:type="dxa"/>
              <w:bottom w:w="70" w:type="dxa"/>
              <w:end w:w="70" w:type="dxa"/>
            </w:tcMar>
            <w:shd w:fill="DDEBF7"/>
          </w:tcPr>
          <w:p>
            <w:pPr>
              <w:keepNext w:val="0"/>
              <w:spacing w:before="0" w:after="0" w:line="252" w:lineRule="auto"/>
            </w:pPr>
            <w:r>
              <w:rPr>
                <w:b/>
              </w:rPr>
            </w:r>
            <w:r>
              <w:rPr>
                <w:rFonts w:ascii="Noto Sans CJK SC" w:hAnsi="Noto Sans CJK SC" w:eastAsia="Noto Sans CJK SC"/>
                <w:b/>
                <w:color w:val="222222"/>
                <w:sz w:val="17"/>
              </w:rPr>
              <w:t>第四部分</w:t>
            </w:r>
          </w:p>
        </w:tc>
        <w:tc>
          <w:tcPr>
            <w:tcW w:type="dxa" w:w="6803"/>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7"/>
              </w:rPr>
              <w:t>进入B、条件进入、排除和保留未知的实体。</w:t>
            </w:r>
          </w:p>
        </w:tc>
      </w:tr>
      <w:tr>
        <w:tc>
          <w:tcPr>
            <w:tcW w:type="dxa" w:w="2268"/>
            <w:vAlign w:val="center"/>
            <w:tcMar>
              <w:top w:w="70" w:type="dxa"/>
              <w:start w:w="70" w:type="dxa"/>
              <w:bottom w:w="70" w:type="dxa"/>
              <w:end w:w="70" w:type="dxa"/>
            </w:tcMar>
            <w:shd w:fill="DDEBF7"/>
          </w:tcPr>
          <w:p>
            <w:pPr>
              <w:keepNext w:val="0"/>
              <w:spacing w:before="0" w:after="0" w:line="252" w:lineRule="auto"/>
            </w:pPr>
            <w:r>
              <w:rPr>
                <w:b/>
              </w:rPr>
            </w:r>
            <w:r>
              <w:rPr>
                <w:rFonts w:ascii="Noto Sans CJK SC" w:hAnsi="Noto Sans CJK SC" w:eastAsia="Noto Sans CJK SC"/>
                <w:b/>
                <w:color w:val="222222"/>
                <w:sz w:val="17"/>
              </w:rPr>
              <w:t>第五部分</w:t>
            </w:r>
          </w:p>
        </w:tc>
        <w:tc>
          <w:tcPr>
            <w:tcW w:type="dxa" w:w="6803"/>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7"/>
              </w:rPr>
              <w:t>替代路线、客户自制、二供和新进入者。</w:t>
            </w:r>
          </w:p>
        </w:tc>
      </w:tr>
      <w:tr>
        <w:tc>
          <w:tcPr>
            <w:tcW w:type="dxa" w:w="2268"/>
            <w:vAlign w:val="center"/>
            <w:tcMar>
              <w:top w:w="70" w:type="dxa"/>
              <w:start w:w="70" w:type="dxa"/>
              <w:bottom w:w="70" w:type="dxa"/>
              <w:end w:w="70" w:type="dxa"/>
            </w:tcMar>
            <w:shd w:fill="DDEBF7"/>
          </w:tcPr>
          <w:p>
            <w:pPr>
              <w:keepNext w:val="0"/>
              <w:spacing w:before="0" w:after="0" w:line="252" w:lineRule="auto"/>
            </w:pPr>
            <w:r>
              <w:rPr>
                <w:b/>
              </w:rPr>
            </w:r>
            <w:r>
              <w:rPr>
                <w:rFonts w:ascii="Noto Sans CJK SC" w:hAnsi="Noto Sans CJK SC" w:eastAsia="Noto Sans CJK SC"/>
                <w:b/>
                <w:color w:val="222222"/>
                <w:sz w:val="17"/>
              </w:rPr>
              <w:t>第六部分</w:t>
            </w:r>
          </w:p>
        </w:tc>
        <w:tc>
          <w:tcPr>
            <w:tcW w:type="dxa" w:w="6803"/>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7"/>
              </w:rPr>
              <w:t>B阶段应查什么、不能查什么。</w:t>
            </w:r>
          </w:p>
        </w:tc>
      </w:tr>
      <w:tr>
        <w:tc>
          <w:tcPr>
            <w:tcW w:type="dxa" w:w="2268"/>
            <w:vAlign w:val="center"/>
            <w:tcMar>
              <w:top w:w="70" w:type="dxa"/>
              <w:start w:w="70" w:type="dxa"/>
              <w:bottom w:w="70" w:type="dxa"/>
              <w:end w:w="70" w:type="dxa"/>
            </w:tcMar>
            <w:shd w:fill="DDEBF7"/>
          </w:tcPr>
          <w:p>
            <w:pPr>
              <w:keepNext w:val="0"/>
              <w:spacing w:before="0" w:after="0" w:line="252" w:lineRule="auto"/>
            </w:pPr>
            <w:r>
              <w:rPr>
                <w:b/>
              </w:rPr>
            </w:r>
            <w:r>
              <w:rPr>
                <w:rFonts w:ascii="Noto Sans CJK SC" w:hAnsi="Noto Sans CJK SC" w:eastAsia="Noto Sans CJK SC"/>
                <w:b/>
                <w:color w:val="222222"/>
                <w:sz w:val="17"/>
              </w:rPr>
              <w:t>附录</w:t>
            </w:r>
          </w:p>
        </w:tc>
        <w:tc>
          <w:tcPr>
            <w:tcW w:type="dxa" w:w="6803"/>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7"/>
              </w:rPr>
              <w:t>35节点、全球/非上市背景实体、A3新增证据。</w:t>
            </w:r>
          </w:p>
        </w:tc>
      </w:tr>
    </w:tbl>
    <w:p/>
    <w:tbl>
      <w:tblPr>
        <w:tblW w:type="auto" w:w="0"/>
        <w:jc w:val="center"/>
        <w:tblLayout w:type="fixed"/>
        <w:tblLook w:firstColumn="1" w:firstRow="1" w:lastColumn="0" w:lastRow="0" w:noHBand="0" w:noVBand="1" w:val="04A0"/>
      </w:tblPr>
      <w:tblGrid>
        <w:gridCol w:w="10086"/>
      </w:tblGrid>
      <w:tr>
        <w:tc>
          <w:tcPr>
            <w:tcW w:type="dxa" w:w="10086"/>
            <w:shd w:fill="DDEBF7"/>
            <w:tcBorders>
              <w:top w:val="single" w:sz="16" w:color="0F6B78"/>
              <w:left w:val="single" w:sz="16" w:color="0F6B78"/>
              <w:bottom w:val="single" w:sz="16" w:color="0F6B78"/>
              <w:right w:val="single" w:sz="16" w:color="0F6B78"/>
            </w:tcBorders>
            <w:tcMar>
              <w:top w:w="120" w:type="dxa"/>
              <w:start w:w="160" w:type="dxa"/>
              <w:bottom w:w="120" w:type="dxa"/>
              <w:end w:w="160" w:type="dxa"/>
            </w:tcMar>
          </w:tcPr>
          <w:p>
            <w:pPr>
              <w:keepNext w:val="0"/>
              <w:spacing w:before="0" w:after="60" w:line="264" w:lineRule="auto"/>
            </w:pPr>
            <w:r/>
            <w:r>
              <w:rPr>
                <w:rFonts w:ascii="Noto Sans CJK SC" w:hAnsi="Noto Sans CJK SC" w:eastAsia="Noto Sans CJK SC"/>
                <w:b/>
                <w:color w:val="0F6B78"/>
                <w:sz w:val="20"/>
              </w:rPr>
              <w:t>用户只需要抓住四个问题</w:t>
            </w:r>
          </w:p>
          <w:p>
            <w:pPr>
              <w:keepNext w:val="0"/>
              <w:spacing w:before="0" w:after="0" w:line="276" w:lineRule="auto"/>
            </w:pPr>
            <w:r>
              <w:rPr>
                <w:rFonts w:ascii="Noto Sans CJK SC" w:hAnsi="Noto Sans CJK SC" w:eastAsia="Noto Sans CJK SC"/>
                <w:color w:val="222222"/>
                <w:sz w:val="18"/>
              </w:rPr>
              <w:t>第一，哪些精确节点值得继续查；第二，哪些公司关系只是能力、哪些已经走到供货或收入；第三，本地数据和公开证据到底够不够；第四，B阶段为什么只能查一小批实体，并且不同实体使用不同口径。</w:t>
            </w:r>
          </w:p>
        </w:tc>
      </w:tr>
    </w:tbl>
    <w:p/>
    <w:p>
      <w:pPr>
        <w:pStyle w:val="Heading2"/>
      </w:pPr>
      <w:r>
        <w:t>方法位置与停止线</w:t>
      </w:r>
    </w:p>
    <w:p>
      <w:pPr>
        <w:keepNext w:val="0"/>
        <w:spacing w:before="0" w:after="80" w:line="276" w:lineRule="auto"/>
      </w:pPr>
      <w:r>
        <w:rPr>
          <w:rFonts w:ascii="Noto Sans CJK SC" w:hAnsi="Noto Sans CJK SC" w:eastAsia="Noto Sans CJK SC"/>
          <w:b/>
          <w:color w:val="2E7D32"/>
          <w:sz w:val="18"/>
        </w:rPr>
        <w:t>V1</w:t>
      </w:r>
      <w:r>
        <w:rPr>
          <w:rFonts w:ascii="Noto Sans CJK SC" w:hAnsi="Noto Sans CJK SC" w:eastAsia="Noto Sans CJK SC"/>
          <w:sz w:val="18"/>
        </w:rPr>
        <w:t xml:space="preserve"> 从最终需求和付款人形成四张图与四种状态；</w:t>
      </w:r>
      <w:r>
        <w:rPr>
          <w:rFonts w:ascii="Noto Sans CJK SC" w:hAnsi="Noto Sans CJK SC" w:eastAsia="Noto Sans CJK SC"/>
          <w:b/>
          <w:color w:val="2E7D32"/>
          <w:sz w:val="18"/>
        </w:rPr>
        <w:t>V2</w:t>
      </w:r>
      <w:r>
        <w:rPr>
          <w:rFonts w:ascii="Noto Sans CJK SC" w:hAnsi="Noto Sans CJK SC" w:eastAsia="Noto Sans CJK SC"/>
          <w:sz w:val="18"/>
        </w:rPr>
        <w:t xml:space="preserve"> 要求从精确产品节点出发，把关系、生意、利润和现金逐层分开；</w:t>
      </w:r>
      <w:r>
        <w:rPr>
          <w:rFonts w:ascii="Noto Sans CJK SC" w:hAnsi="Noto Sans CJK SC" w:eastAsia="Noto Sans CJK SC"/>
          <w:b/>
          <w:color w:val="2E7D32"/>
          <w:sz w:val="18"/>
        </w:rPr>
        <w:t>V3</w:t>
      </w:r>
      <w:r>
        <w:rPr>
          <w:rFonts w:ascii="Noto Sans CJK SC" w:hAnsi="Noto Sans CJK SC" w:eastAsia="Noto Sans CJK SC"/>
          <w:sz w:val="18"/>
        </w:rPr>
        <w:t xml:space="preserve"> 要求先过产业链完整性、数据可获得性、证据可靠性三道地基门；</w:t>
      </w:r>
      <w:r>
        <w:rPr>
          <w:rFonts w:ascii="Noto Sans CJK SC" w:hAnsi="Noto Sans CJK SC" w:eastAsia="Noto Sans CJK SC"/>
          <w:b/>
          <w:color w:val="2E7D32"/>
          <w:sz w:val="18"/>
        </w:rPr>
        <w:t>V4</w:t>
      </w:r>
      <w:r>
        <w:rPr>
          <w:rFonts w:ascii="Noto Sans CJK SC" w:hAnsi="Noto Sans CJK SC" w:eastAsia="Noto Sans CJK SC"/>
          <w:sz w:val="18"/>
        </w:rPr>
        <w:t xml:space="preserve"> 规定ChatGPT负责产业语义，Codex负责本地实体、点时数据和可重复计算。A3只完成产业关系和地基门验收，未经用户批准不进入B。</w:t>
      </w:r>
    </w:p>
    <w:p>
      <w:pPr>
        <w:pStyle w:val="Heading2"/>
      </w:pPr>
      <w:r>
        <w:t>A阶段禁止越权</w:t>
      </w:r>
    </w:p>
    <w:p>
      <w:pPr>
        <w:pStyle w:val="ListBullet"/>
        <w:keepNext w:val="0"/>
        <w:spacing w:before="0" w:after="40" w:line="264" w:lineRule="auto"/>
      </w:pPr>
      <w:r>
        <w:rPr>
          <w:rFonts w:ascii="Noto Sans CJK SC" w:hAnsi="Noto Sans CJK SC" w:eastAsia="Noto Sans CJK SC"/>
          <w:color w:val="222222"/>
          <w:sz w:val="18"/>
        </w:rPr>
        <w:t>不把产品页、标准参与、专利、互动平台或关键词直接升级为订单、收入或核心供应商。</w:t>
      </w:r>
    </w:p>
    <w:p>
      <w:pPr>
        <w:pStyle w:val="ListBullet"/>
        <w:keepNext w:val="0"/>
        <w:spacing w:before="0" w:after="40" w:line="264" w:lineRule="auto"/>
      </w:pPr>
      <w:r>
        <w:rPr>
          <w:rFonts w:ascii="Noto Sans CJK SC" w:hAnsi="Noto Sans CJK SC" w:eastAsia="Noto Sans CJK SC"/>
          <w:color w:val="222222"/>
          <w:sz w:val="18"/>
        </w:rPr>
        <w:t>不把储能液冷、汽车液冷或通用换热器能力外推为AI服务器液冷关系。</w:t>
      </w:r>
    </w:p>
    <w:p>
      <w:pPr>
        <w:pStyle w:val="ListBullet"/>
        <w:keepNext w:val="0"/>
        <w:spacing w:before="0" w:after="40" w:line="264" w:lineRule="auto"/>
      </w:pPr>
      <w:r>
        <w:rPr>
          <w:rFonts w:ascii="Noto Sans CJK SC" w:hAnsi="Noto Sans CJK SC" w:eastAsia="Noto Sans CJK SC"/>
          <w:color w:val="222222"/>
          <w:sz w:val="18"/>
        </w:rPr>
        <w:t>不读取网页当前PE或K线，不做本地估值、价格、仓位和买卖判断。</w:t>
      </w:r>
    </w:p>
    <w:p>
      <w:pPr>
        <w:pStyle w:val="ListBullet"/>
        <w:keepNext w:val="0"/>
        <w:spacing w:before="0" w:after="40" w:line="264" w:lineRule="auto"/>
      </w:pPr>
      <w:r>
        <w:rPr>
          <w:rFonts w:ascii="Noto Sans CJK SC" w:hAnsi="Noto Sans CJK SC" w:eastAsia="Noto Sans CJK SC"/>
          <w:color w:val="222222"/>
          <w:sz w:val="18"/>
        </w:rPr>
        <w:t>不为了凑结果固定保留公司；进入B的范围由证据层级自然缩小。</w:t>
      </w:r>
    </w:p>
    <w:p>
      <w:r>
        <w:br w:type="page"/>
      </w:r>
    </w:p>
    <w:p>
      <w:pPr>
        <w:pStyle w:val="Heading1"/>
      </w:pPr>
      <w:r>
        <w:t>一页结论：A阶段“混合通过，缩小范围后进入B”</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1984"/>
            <w:vAlign w:val="center"/>
            <w:tcMar>
              <w:top w:w="70" w:type="dxa"/>
              <w:start w:w="70" w:type="dxa"/>
              <w:bottom w:w="70" w:type="dxa"/>
              <w:end w:w="70" w:type="dxa"/>
            </w:tcMar>
            <w:shd w:fill="2E7D32"/>
          </w:tcPr>
          <w:p>
            <w:pPr>
              <w:keepNext w:val="0"/>
              <w:spacing w:before="0" w:after="0" w:line="252" w:lineRule="auto"/>
              <w:jc w:val="center"/>
            </w:pPr>
            <w:r/>
            <w:r>
              <w:rPr>
                <w:rFonts w:ascii="Noto Sans CJK SC" w:hAnsi="Noto Sans CJK SC" w:eastAsia="Noto Sans CJK SC"/>
                <w:b/>
                <w:color w:val="FFFFFF"/>
                <w:sz w:val="16"/>
              </w:rPr>
              <w:t>项目</w:t>
            </w:r>
          </w:p>
        </w:tc>
        <w:tc>
          <w:tcPr>
            <w:tcW w:type="dxa" w:w="7087"/>
            <w:vAlign w:val="center"/>
            <w:tcMar>
              <w:top w:w="70" w:type="dxa"/>
              <w:start w:w="70" w:type="dxa"/>
              <w:bottom w:w="70" w:type="dxa"/>
              <w:end w:w="70" w:type="dxa"/>
            </w:tcMar>
            <w:shd w:fill="2E7D32"/>
          </w:tcPr>
          <w:p>
            <w:pPr>
              <w:keepNext w:val="0"/>
              <w:spacing w:before="0" w:after="0" w:line="252" w:lineRule="auto"/>
              <w:jc w:val="center"/>
            </w:pPr>
            <w:r/>
            <w:r>
              <w:rPr>
                <w:rFonts w:ascii="Noto Sans CJK SC" w:hAnsi="Noto Sans CJK SC" w:eastAsia="Noto Sans CJK SC"/>
                <w:b/>
                <w:color w:val="FFFFFF"/>
                <w:sz w:val="16"/>
              </w:rPr>
              <w:t>A3结论</w:t>
            </w:r>
          </w:p>
        </w:tc>
      </w:tr>
      <w:tr>
        <w:tc>
          <w:tcPr>
            <w:tcW w:type="dxa" w:w="1984"/>
            <w:vAlign w:val="center"/>
            <w:tcMar>
              <w:top w:w="70" w:type="dxa"/>
              <w:start w:w="70" w:type="dxa"/>
              <w:bottom w:w="70" w:type="dxa"/>
              <w:end w:w="70" w:type="dxa"/>
            </w:tcMar>
            <w:shd w:fill="E2F0D9"/>
          </w:tcPr>
          <w:p>
            <w:pPr>
              <w:keepNext w:val="0"/>
              <w:spacing w:before="0" w:after="0" w:line="252" w:lineRule="auto"/>
            </w:pPr>
            <w:r>
              <w:rPr>
                <w:b/>
              </w:rPr>
            </w:r>
            <w:r>
              <w:rPr>
                <w:rFonts w:ascii="Noto Sans CJK SC" w:hAnsi="Noto Sans CJK SC" w:eastAsia="Noto Sans CJK SC"/>
                <w:b/>
                <w:color w:val="222222"/>
                <w:sz w:val="16"/>
              </w:rPr>
              <w:t>产业结构</w:t>
            </w:r>
          </w:p>
        </w:tc>
        <w:tc>
          <w:tcPr>
            <w:tcW w:type="dxa" w:w="708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6"/>
              </w:rPr>
              <w:t>35个节点和七视图保留；冷板、UQD、歧管、CDU、设施水、交付改造、运维、客户自制与替代路线均有位置。</w:t>
            </w:r>
          </w:p>
        </w:tc>
      </w:tr>
      <w:tr>
        <w:tc>
          <w:tcPr>
            <w:tcW w:type="dxa" w:w="1984"/>
            <w:vAlign w:val="center"/>
            <w:tcMar>
              <w:top w:w="70" w:type="dxa"/>
              <w:start w:w="70" w:type="dxa"/>
              <w:bottom w:w="70" w:type="dxa"/>
              <w:end w:w="70" w:type="dxa"/>
            </w:tcMar>
            <w:shd w:fill="E2F0D9"/>
          </w:tcPr>
          <w:p>
            <w:pPr>
              <w:keepNext w:val="0"/>
              <w:spacing w:before="0" w:after="0" w:line="252" w:lineRule="auto"/>
            </w:pPr>
            <w:r>
              <w:rPr>
                <w:b/>
              </w:rPr>
            </w:r>
            <w:r>
              <w:rPr>
                <w:rFonts w:ascii="Noto Sans CJK SC" w:hAnsi="Noto Sans CJK SC" w:eastAsia="Noto Sans CJK SC"/>
                <w:b/>
                <w:color w:val="222222"/>
                <w:sz w:val="16"/>
              </w:rPr>
              <w:t>节点证据</w:t>
            </w:r>
          </w:p>
        </w:tc>
        <w:tc>
          <w:tcPr>
            <w:tcW w:type="dxa" w:w="708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6"/>
              </w:rPr>
              <w:t>27个节点达到试点起始的“双源且含一级来源”；8个节点仍是部分覆盖，不能声称绝对完整或搜索饱和。</w:t>
            </w:r>
          </w:p>
        </w:tc>
      </w:tr>
      <w:tr>
        <w:tc>
          <w:tcPr>
            <w:tcW w:type="dxa" w:w="1984"/>
            <w:vAlign w:val="center"/>
            <w:tcMar>
              <w:top w:w="70" w:type="dxa"/>
              <w:start w:w="70" w:type="dxa"/>
              <w:bottom w:w="70" w:type="dxa"/>
              <w:end w:w="70" w:type="dxa"/>
            </w:tcMar>
            <w:shd w:fill="E2F0D9"/>
          </w:tcPr>
          <w:p>
            <w:pPr>
              <w:keepNext w:val="0"/>
              <w:spacing w:before="0" w:after="0" w:line="252" w:lineRule="auto"/>
            </w:pPr>
            <w:r>
              <w:rPr>
                <w:b/>
              </w:rPr>
            </w:r>
            <w:r>
              <w:rPr>
                <w:rFonts w:ascii="Noto Sans CJK SC" w:hAnsi="Noto Sans CJK SC" w:eastAsia="Noto Sans CJK SC"/>
                <w:b/>
                <w:color w:val="222222"/>
                <w:sz w:val="16"/>
              </w:rPr>
              <w:t>本地能力</w:t>
            </w:r>
          </w:p>
        </w:tc>
        <w:tc>
          <w:tcPr>
            <w:tcW w:type="dxa" w:w="708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6"/>
              </w:rPr>
              <w:t>九个优先证券身份可唯一映射，财务和点时底座可复用；公告正文、历史名称/股权、客户供应关系和非上市实体主数据不足。</w:t>
            </w:r>
          </w:p>
        </w:tc>
      </w:tr>
      <w:tr>
        <w:tc>
          <w:tcPr>
            <w:tcW w:type="dxa" w:w="1984"/>
            <w:vAlign w:val="center"/>
            <w:tcMar>
              <w:top w:w="70" w:type="dxa"/>
              <w:start w:w="70" w:type="dxa"/>
              <w:bottom w:w="70" w:type="dxa"/>
              <w:end w:w="70" w:type="dxa"/>
            </w:tcMar>
            <w:shd w:fill="E2F0D9"/>
          </w:tcPr>
          <w:p>
            <w:pPr>
              <w:keepNext w:val="0"/>
              <w:spacing w:before="0" w:after="0" w:line="252" w:lineRule="auto"/>
            </w:pPr>
            <w:r>
              <w:rPr>
                <w:b/>
              </w:rPr>
            </w:r>
            <w:r>
              <w:rPr>
                <w:rFonts w:ascii="Noto Sans CJK SC" w:hAnsi="Noto Sans CJK SC" w:eastAsia="Noto Sans CJK SC"/>
                <w:b/>
                <w:color w:val="222222"/>
                <w:sz w:val="16"/>
              </w:rPr>
              <w:t>关系证据</w:t>
            </w:r>
          </w:p>
        </w:tc>
        <w:tc>
          <w:tcPr>
            <w:tcW w:type="dxa" w:w="708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6"/>
              </w:rPr>
              <w:t>多数实体只到“能力”或“公司汇总披露”；少数实体出现批量交付、供应链进入或订单增长，但节点级收入、利润和现金普遍未知。</w:t>
            </w:r>
          </w:p>
        </w:tc>
      </w:tr>
      <w:tr>
        <w:tc>
          <w:tcPr>
            <w:tcW w:type="dxa" w:w="1984"/>
            <w:vAlign w:val="center"/>
            <w:tcMar>
              <w:top w:w="70" w:type="dxa"/>
              <w:start w:w="70" w:type="dxa"/>
              <w:bottom w:w="70" w:type="dxa"/>
              <w:end w:w="70" w:type="dxa"/>
            </w:tcMar>
            <w:shd w:fill="E2F0D9"/>
          </w:tcPr>
          <w:p>
            <w:pPr>
              <w:keepNext w:val="0"/>
              <w:spacing w:before="0" w:after="0" w:line="252" w:lineRule="auto"/>
            </w:pPr>
            <w:r>
              <w:rPr>
                <w:b/>
              </w:rPr>
            </w:r>
            <w:r>
              <w:rPr>
                <w:rFonts w:ascii="Noto Sans CJK SC" w:hAnsi="Noto Sans CJK SC" w:eastAsia="Noto Sans CJK SC"/>
                <w:b/>
                <w:color w:val="222222"/>
                <w:sz w:val="16"/>
              </w:rPr>
              <w:t>B核心范围</w:t>
            </w:r>
          </w:p>
        </w:tc>
        <w:tc>
          <w:tcPr>
            <w:tcW w:type="dxa" w:w="708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6"/>
              </w:rPr>
              <w:t>英维克、申菱环境、曙光数创、飞荣达、高澜股份、荣亿精密。</w:t>
            </w:r>
          </w:p>
        </w:tc>
      </w:tr>
      <w:tr>
        <w:tc>
          <w:tcPr>
            <w:tcW w:type="dxa" w:w="1984"/>
            <w:vAlign w:val="center"/>
            <w:tcMar>
              <w:top w:w="70" w:type="dxa"/>
              <w:start w:w="70" w:type="dxa"/>
              <w:bottom w:w="70" w:type="dxa"/>
              <w:end w:w="70" w:type="dxa"/>
            </w:tcMar>
            <w:shd w:fill="E2F0D9"/>
          </w:tcPr>
          <w:p>
            <w:pPr>
              <w:keepNext w:val="0"/>
              <w:spacing w:before="0" w:after="0" w:line="252" w:lineRule="auto"/>
            </w:pPr>
            <w:r>
              <w:rPr>
                <w:b/>
              </w:rPr>
            </w:r>
            <w:r>
              <w:rPr>
                <w:rFonts w:ascii="Noto Sans CJK SC" w:hAnsi="Noto Sans CJK SC" w:eastAsia="Noto Sans CJK SC"/>
                <w:b/>
                <w:color w:val="222222"/>
                <w:sz w:val="16"/>
              </w:rPr>
              <w:t>B条件范围</w:t>
            </w:r>
          </w:p>
        </w:tc>
        <w:tc>
          <w:tcPr>
            <w:tcW w:type="dxa" w:w="708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6"/>
              </w:rPr>
              <w:t>佳力图只按设施侧/改造口径；同飞股份先补正式关系；中科曙光只核对持股、合并和利润归属。</w:t>
            </w:r>
          </w:p>
        </w:tc>
      </w:tr>
      <w:tr>
        <w:tc>
          <w:tcPr>
            <w:tcW w:type="dxa" w:w="1984"/>
            <w:vAlign w:val="center"/>
            <w:tcMar>
              <w:top w:w="70" w:type="dxa"/>
              <w:start w:w="70" w:type="dxa"/>
              <w:bottom w:w="70" w:type="dxa"/>
              <w:end w:w="70" w:type="dxa"/>
            </w:tcMar>
            <w:shd w:fill="E2F0D9"/>
          </w:tcPr>
          <w:p>
            <w:pPr>
              <w:keepNext w:val="0"/>
              <w:spacing w:before="0" w:after="0" w:line="252" w:lineRule="auto"/>
            </w:pPr>
            <w:r>
              <w:rPr>
                <w:b/>
              </w:rPr>
            </w:r>
            <w:r>
              <w:rPr>
                <w:rFonts w:ascii="Noto Sans CJK SC" w:hAnsi="Noto Sans CJK SC" w:eastAsia="Noto Sans CJK SC"/>
                <w:b/>
                <w:color w:val="222222"/>
                <w:sz w:val="16"/>
              </w:rPr>
              <w:t>明确排除</w:t>
            </w:r>
          </w:p>
        </w:tc>
        <w:tc>
          <w:tcPr>
            <w:tcW w:type="dxa" w:w="708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6"/>
              </w:rPr>
              <w:t>汽车歧管、通用水管快接、汽车流体快接、电池冷板、炼化板换等关键词误报；中航光电暂仅标准生态线索。</w:t>
            </w:r>
          </w:p>
        </w:tc>
      </w:tr>
      <w:tr>
        <w:tc>
          <w:tcPr>
            <w:tcW w:type="dxa" w:w="1984"/>
            <w:vAlign w:val="center"/>
            <w:tcMar>
              <w:top w:w="70" w:type="dxa"/>
              <w:start w:w="70" w:type="dxa"/>
              <w:bottom w:w="70" w:type="dxa"/>
              <w:end w:w="70" w:type="dxa"/>
            </w:tcMar>
            <w:shd w:fill="E2F0D9"/>
          </w:tcPr>
          <w:p>
            <w:pPr>
              <w:keepNext w:val="0"/>
              <w:spacing w:before="0" w:after="0" w:line="252" w:lineRule="auto"/>
            </w:pPr>
            <w:r>
              <w:rPr>
                <w:b/>
              </w:rPr>
            </w:r>
            <w:r>
              <w:rPr>
                <w:rFonts w:ascii="Noto Sans CJK SC" w:hAnsi="Noto Sans CJK SC" w:eastAsia="Noto Sans CJK SC"/>
                <w:b/>
                <w:color w:val="222222"/>
                <w:sz w:val="16"/>
              </w:rPr>
              <w:t>最终结果</w:t>
            </w:r>
          </w:p>
        </w:tc>
        <w:tc>
          <w:tcPr>
            <w:tcW w:type="dxa" w:w="708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6"/>
              </w:rPr>
              <w:t>允许进入B1定义窄合同；不允许直接让Codex对所有“液冷概念股”跑财务和估值。</w:t>
            </w:r>
          </w:p>
        </w:tc>
      </w:tr>
    </w:tbl>
    <w:p/>
    <w:tbl>
      <w:tblPr>
        <w:tblW w:type="auto" w:w="0"/>
        <w:jc w:val="center"/>
        <w:tblLayout w:type="fixed"/>
        <w:tblLook w:firstColumn="1" w:firstRow="1" w:lastColumn="0" w:lastRow="0" w:noHBand="0" w:noVBand="1" w:val="04A0"/>
      </w:tblPr>
      <w:tblGrid>
        <w:gridCol w:w="10086"/>
      </w:tblGrid>
      <w:tr>
        <w:tc>
          <w:tcPr>
            <w:tcW w:type="dxa" w:w="10086"/>
            <w:shd w:fill="FFF2CC"/>
            <w:tcBorders>
              <w:top w:val="single" w:sz="16" w:color="B8860B"/>
              <w:left w:val="single" w:sz="16" w:color="B8860B"/>
              <w:bottom w:val="single" w:sz="16" w:color="B8860B"/>
              <w:right w:val="single" w:sz="16" w:color="B8860B"/>
            </w:tcBorders>
            <w:tcMar>
              <w:top w:w="120" w:type="dxa"/>
              <w:start w:w="160" w:type="dxa"/>
              <w:bottom w:w="120" w:type="dxa"/>
              <w:end w:w="160" w:type="dxa"/>
            </w:tcMar>
          </w:tcPr>
          <w:p>
            <w:pPr>
              <w:keepNext w:val="0"/>
              <w:spacing w:before="0" w:after="60" w:line="264" w:lineRule="auto"/>
            </w:pPr>
            <w:r/>
            <w:r>
              <w:rPr>
                <w:rFonts w:ascii="Noto Sans CJK SC" w:hAnsi="Noto Sans CJK SC" w:eastAsia="Noto Sans CJK SC"/>
                <w:b/>
                <w:color w:val="B8860B"/>
                <w:sz w:val="20"/>
              </w:rPr>
              <w:t>为什么不是“通过”</w:t>
            </w:r>
          </w:p>
          <w:p>
            <w:pPr>
              <w:keepNext w:val="0"/>
              <w:spacing w:before="0" w:after="0" w:line="276" w:lineRule="auto"/>
            </w:pPr>
            <w:r>
              <w:rPr>
                <w:rFonts w:ascii="Noto Sans CJK SC" w:hAnsi="Noto Sans CJK SC" w:eastAsia="Noto Sans CJK SC"/>
                <w:color w:val="222222"/>
                <w:sz w:val="18"/>
              </w:rPr>
              <w:t>产业结构已经能够支撑下一步，但数据与商业关系没有达到全自动运行条件。尤其是客户—供应商、公告正文、非上市主体和主题收入拆分仍然不足。把这些缺口写成“混合”不是保守措辞，而是防止后续用准确的财务数字包装错误的产业关系。</w:t>
            </w:r>
          </w:p>
        </w:tc>
      </w:tr>
    </w:tbl>
    <w:p/>
    <w:p>
      <w:pPr>
        <w:pStyle w:val="Heading2"/>
      </w:pPr>
      <w:r>
        <w:t>进入B的九条记录</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701"/>
            <w:vAlign w:val="center"/>
            <w:tcMar>
              <w:top w:w="70" w:type="dxa"/>
              <w:start w:w="70" w:type="dxa"/>
              <w:bottom w:w="70" w:type="dxa"/>
              <w:end w:w="70" w:type="dxa"/>
            </w:tcMar>
            <w:shd w:fill="0F6B78"/>
          </w:tcPr>
          <w:p>
            <w:pPr>
              <w:keepNext w:val="0"/>
              <w:spacing w:before="0" w:after="0" w:line="252" w:lineRule="auto"/>
              <w:jc w:val="center"/>
            </w:pPr>
            <w:r/>
            <w:r>
              <w:rPr>
                <w:rFonts w:ascii="Noto Sans CJK SC" w:hAnsi="Noto Sans CJK SC" w:eastAsia="Noto Sans CJK SC"/>
                <w:b/>
                <w:color w:val="FFFFFF"/>
                <w:sz w:val="16"/>
              </w:rPr>
              <w:t>实体</w:t>
            </w:r>
          </w:p>
        </w:tc>
        <w:tc>
          <w:tcPr>
            <w:tcW w:type="dxa" w:w="1814"/>
            <w:vAlign w:val="center"/>
            <w:tcMar>
              <w:top w:w="70" w:type="dxa"/>
              <w:start w:w="70" w:type="dxa"/>
              <w:bottom w:w="70" w:type="dxa"/>
              <w:end w:w="70" w:type="dxa"/>
            </w:tcMar>
            <w:shd w:fill="0F6B78"/>
          </w:tcPr>
          <w:p>
            <w:pPr>
              <w:keepNext w:val="0"/>
              <w:spacing w:before="0" w:after="0" w:line="252" w:lineRule="auto"/>
              <w:jc w:val="center"/>
            </w:pPr>
            <w:r/>
            <w:r>
              <w:rPr>
                <w:rFonts w:ascii="Noto Sans CJK SC" w:hAnsi="Noto Sans CJK SC" w:eastAsia="Noto Sans CJK SC"/>
                <w:b/>
                <w:color w:val="FFFFFF"/>
                <w:sz w:val="16"/>
              </w:rPr>
              <w:t>处理</w:t>
            </w:r>
          </w:p>
        </w:tc>
        <w:tc>
          <w:tcPr>
            <w:tcW w:type="dxa" w:w="2948"/>
            <w:vAlign w:val="center"/>
            <w:tcMar>
              <w:top w:w="70" w:type="dxa"/>
              <w:start w:w="70" w:type="dxa"/>
              <w:bottom w:w="70" w:type="dxa"/>
              <w:end w:w="70" w:type="dxa"/>
            </w:tcMar>
            <w:shd w:fill="0F6B78"/>
          </w:tcPr>
          <w:p>
            <w:pPr>
              <w:keepNext w:val="0"/>
              <w:spacing w:before="0" w:after="0" w:line="252" w:lineRule="auto"/>
              <w:jc w:val="center"/>
            </w:pPr>
            <w:r/>
            <w:r>
              <w:rPr>
                <w:rFonts w:ascii="Noto Sans CJK SC" w:hAnsi="Noto Sans CJK SC" w:eastAsia="Noto Sans CJK SC"/>
                <w:b/>
                <w:color w:val="FFFFFF"/>
                <w:sz w:val="16"/>
              </w:rPr>
              <w:t>主要节点</w:t>
            </w:r>
          </w:p>
        </w:tc>
        <w:tc>
          <w:tcPr>
            <w:tcW w:type="dxa" w:w="2721"/>
            <w:vAlign w:val="center"/>
            <w:tcMar>
              <w:top w:w="70" w:type="dxa"/>
              <w:start w:w="70" w:type="dxa"/>
              <w:bottom w:w="70" w:type="dxa"/>
              <w:end w:w="70" w:type="dxa"/>
            </w:tcMar>
            <w:shd w:fill="0F6B78"/>
          </w:tcPr>
          <w:p>
            <w:pPr>
              <w:keepNext w:val="0"/>
              <w:spacing w:before="0" w:after="0" w:line="252" w:lineRule="auto"/>
              <w:jc w:val="center"/>
            </w:pPr>
            <w:r/>
            <w:r>
              <w:rPr>
                <w:rFonts w:ascii="Noto Sans CJK SC" w:hAnsi="Noto Sans CJK SC" w:eastAsia="Noto Sans CJK SC"/>
                <w:b/>
                <w:color w:val="FFFFFF"/>
                <w:sz w:val="16"/>
              </w:rPr>
              <w:t>当前最强层级</w:t>
            </w:r>
          </w:p>
        </w:tc>
      </w:tr>
      <w:tr>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英维克</w:t>
              <w:br/>
              <w:t>002837.SZ</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核心进入B</w:t>
            </w:r>
          </w:p>
        </w:tc>
        <w:tc>
          <w:tcPr>
            <w:tcW w:type="dxa" w:w="294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服务器内管路与快速接头/盲插接头、机架歧管/供回液分配、流量/压力/温度/水质/漏液传感、冷却液分配单元CDU等</w:t>
            </w:r>
          </w:p>
        </w:tc>
        <w:tc>
          <w:tcPr>
            <w:tcW w:type="dxa" w:w="272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能力:有日期正式资料确认</w:t>
            </w:r>
          </w:p>
        </w:tc>
      </w:tr>
      <w:tr>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5"/>
              </w:rPr>
              <w:t>申菱环境</w:t>
              <w:br/>
              <w:t>301018.SZ</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5"/>
              </w:rPr>
              <w:t>核心进入B</w:t>
            </w:r>
          </w:p>
        </w:tc>
        <w:tc>
          <w:tcPr>
            <w:tcW w:type="dxa" w:w="294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5"/>
              </w:rPr>
              <w:t>机架歧管/供回液分配、冷却液分配单元CDU、设施水环/一次侧管网、最终排热：干冷器/冷机/冷却塔等</w:t>
            </w:r>
          </w:p>
        </w:tc>
        <w:tc>
          <w:tcPr>
            <w:tcW w:type="dxa" w:w="272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5"/>
              </w:rPr>
              <w:t>能力:有日期正式资料确认；供货:公司披露项目应用</w:t>
            </w:r>
          </w:p>
        </w:tc>
      </w:tr>
      <w:tr>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曙光数创</w:t>
              <w:br/>
              <w:t>920808.BJ</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核心进入B</w:t>
            </w:r>
          </w:p>
        </w:tc>
        <w:tc>
          <w:tcPr>
            <w:tcW w:type="dxa" w:w="294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导热界面材料与芯片—冷板接触界面、冷板、服务器内管路与快速接头/盲插接头、机架歧管/供回液分配等</w:t>
            </w:r>
          </w:p>
        </w:tc>
        <w:tc>
          <w:tcPr>
            <w:tcW w:type="dxa" w:w="272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能力:已确认；供货:年报显示商业产品交付；订单:客户与合同未知</w:t>
            </w:r>
          </w:p>
        </w:tc>
      </w:tr>
      <w:tr>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5"/>
              </w:rPr>
              <w:t>中科曙光</w:t>
              <w:br/>
              <w:t>603019.SH</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5"/>
              </w:rPr>
              <w:t>仅核对持股/利润归属</w:t>
            </w:r>
          </w:p>
        </w:tc>
        <w:tc>
          <w:tcPr>
            <w:tcW w:type="dxa" w:w="294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5"/>
              </w:rPr>
            </w:r>
          </w:p>
        </w:tc>
        <w:tc>
          <w:tcPr>
            <w:tcW w:type="dxa" w:w="272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5"/>
              </w:rPr>
              <w:t>收入:持股敞口未知</w:t>
            </w:r>
          </w:p>
        </w:tc>
      </w:tr>
      <w:tr>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飞荣达</w:t>
              <w:br/>
              <w:t>300602.SZ</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核心进入B</w:t>
            </w:r>
          </w:p>
        </w:tc>
        <w:tc>
          <w:tcPr>
            <w:tcW w:type="dxa" w:w="294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导热界面材料与芯片—冷板接触界面、冷板、服务器内管路与快速接头/盲插接头、冷却液分配单元CDU等</w:t>
            </w:r>
          </w:p>
        </w:tc>
        <w:tc>
          <w:tcPr>
            <w:tcW w:type="dxa" w:w="272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能力:公司披露确认；供货:多类产品批量交付披露；订单:订单增长，未披露客户</w:t>
            </w:r>
          </w:p>
        </w:tc>
      </w:tr>
      <w:tr>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5"/>
              </w:rPr>
              <w:t>佳力图</w:t>
              <w:br/>
              <w:t>603912.SH</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5"/>
              </w:rPr>
              <w:t>条件进入：设施侧</w:t>
            </w:r>
          </w:p>
        </w:tc>
        <w:tc>
          <w:tcPr>
            <w:tcW w:type="dxa" w:w="294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5"/>
              </w:rPr>
              <w:t>设施水环/一次侧管网、最终排热：干冷器/冷机/冷却塔、后门换热器RDHx、传统风冷与高效风冷混合路线</w:t>
            </w:r>
          </w:p>
        </w:tc>
        <w:tc>
          <w:tcPr>
            <w:tcW w:type="dxa" w:w="272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5"/>
              </w:rPr>
              <w:t>能力:设施侧明确，直接液路部分；收入:数据中心业务已知，液冷未拆</w:t>
            </w:r>
          </w:p>
        </w:tc>
      </w:tr>
      <w:tr>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高澜股份</w:t>
              <w:br/>
              <w:t>300499.SZ</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核心进入B</w:t>
            </w:r>
          </w:p>
        </w:tc>
        <w:tc>
          <w:tcPr>
            <w:tcW w:type="dxa" w:w="294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冷却液分配单元CDU、系统设计、集成、机房改造与调试、单相浸没路线</w:t>
            </w:r>
          </w:p>
        </w:tc>
        <w:tc>
          <w:tcPr>
            <w:tcW w:type="dxa" w:w="272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能力:公司披露确认；供货:公司披露服务客户类别；订单:公司披露订单增长</w:t>
            </w:r>
          </w:p>
        </w:tc>
      </w:tr>
      <w:tr>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5"/>
              </w:rPr>
              <w:t>同飞股份</w:t>
              <w:br/>
              <w:t>300990.SZ</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5"/>
              </w:rPr>
              <w:t>条件进入：先补关系</w:t>
            </w:r>
          </w:p>
        </w:tc>
        <w:tc>
          <w:tcPr>
            <w:tcW w:type="dxa" w:w="294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5"/>
              </w:rPr>
              <w:t>机架歧管/供回液分配、冷却液分配单元CDU、设施水环/一次侧管网、最终排热：干冷器/冷机/冷却塔等</w:t>
            </w:r>
          </w:p>
        </w:tc>
        <w:tc>
          <w:tcPr>
            <w:tcW w:type="dxa" w:w="272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5"/>
              </w:rPr>
              <w:t>能力:公司稿确认产品能力</w:t>
            </w:r>
          </w:p>
        </w:tc>
      </w:tr>
      <w:tr>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荣亿精密</w:t>
              <w:br/>
              <w:t>920223.BJ</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新进入者，核心进入B</w:t>
            </w:r>
          </w:p>
        </w:tc>
        <w:tc>
          <w:tcPr>
            <w:tcW w:type="dxa" w:w="294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服务器内管路与快速接头/盲插接头、精密加工与微通道制造、钎焊/焊接/密封与表面处理、泄漏/压力/流量/热性能/腐蚀/寿命测试</w:t>
            </w:r>
          </w:p>
        </w:tc>
        <w:tc>
          <w:tcPr>
            <w:tcW w:type="dxa" w:w="272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能力:年报摘要确认；供货:进入供应链已披露；订单:客户/金额仅二手摘要</w:t>
            </w:r>
          </w:p>
        </w:tc>
      </w:tr>
    </w:tbl>
    <w:p/>
    <w:p>
      <w:r>
        <w:br w:type="page"/>
      </w:r>
    </w:p>
    <w:p>
      <w:pPr>
        <w:pStyle w:val="Heading1"/>
      </w:pPr>
      <w:r>
        <w:t>第一部分　A1—A2—A3发生了什么变化</w:t>
      </w:r>
    </w:p>
    <w:p>
      <w:pPr>
        <w:pStyle w:val="Heading2"/>
      </w:pPr>
      <w:r>
        <w:t>1. A1已经建立的产业骨架没有被A2推翻</w:t>
      </w:r>
    </w:p>
    <w:p>
      <w:pPr>
        <w:pStyle w:val="ListBullet"/>
        <w:keepNext w:val="0"/>
        <w:spacing w:before="0" w:after="40" w:line="264" w:lineRule="auto"/>
      </w:pPr>
      <w:r>
        <w:rPr>
          <w:rFonts w:ascii="Noto Sans CJK SC" w:hAnsi="Noto Sans CJK SC" w:eastAsia="Noto Sans CJK SC"/>
          <w:color w:val="222222"/>
          <w:sz w:val="18"/>
        </w:rPr>
        <w:t>需求起点仍是高功率AI设备的热量、稳定运行和可维护性，不是“液冷概念”。</w:t>
      </w:r>
    </w:p>
    <w:p>
      <w:pPr>
        <w:pStyle w:val="ListBullet"/>
        <w:keepNext w:val="0"/>
        <w:spacing w:before="0" w:after="40" w:line="264" w:lineRule="auto"/>
      </w:pPr>
      <w:r>
        <w:rPr>
          <w:rFonts w:ascii="Noto Sans CJK SC" w:hAnsi="Noto Sans CJK SC" w:eastAsia="Noto Sans CJK SC"/>
          <w:color w:val="222222"/>
          <w:sz w:val="18"/>
        </w:rPr>
        <w:t>最终付款人仍是云厂商、互联网平台、电信运营商、AIDC/数据中心业主以及专用AI集群建设者；服务器厂商、集成商和工程商可能是直接采购人，但不一定决定最终预算。</w:t>
      </w:r>
    </w:p>
    <w:p>
      <w:pPr>
        <w:pStyle w:val="ListBullet"/>
        <w:keepNext w:val="0"/>
        <w:spacing w:before="0" w:after="40" w:line="264" w:lineRule="auto"/>
      </w:pPr>
      <w:r>
        <w:rPr>
          <w:rFonts w:ascii="Noto Sans CJK SC" w:hAnsi="Noto Sans CJK SC" w:eastAsia="Noto Sans CJK SC"/>
          <w:color w:val="222222"/>
          <w:sz w:val="18"/>
        </w:rPr>
        <w:t>单相冷板DTC仍是公开生态最成熟的主路线；浸没、两相DTC、RDHx和风液混合同时作为替代路线保留。</w:t>
      </w:r>
    </w:p>
    <w:p>
      <w:pPr>
        <w:pStyle w:val="ListBullet"/>
        <w:keepNext w:val="0"/>
        <w:spacing w:before="0" w:after="40" w:line="264" w:lineRule="auto"/>
      </w:pPr>
      <w:r>
        <w:rPr>
          <w:rFonts w:ascii="Noto Sans CJK SC" w:hAnsi="Noto Sans CJK SC" w:eastAsia="Noto Sans CJK SC"/>
          <w:color w:val="222222"/>
          <w:sz w:val="18"/>
        </w:rPr>
        <w:t>潜在瓶颈仍集中在冷板/封装协同、UQD/盲插可靠性、CDU水力与控制、洁净度/材料兼容、机架均流、制造测试和客户认证。</w:t>
      </w:r>
    </w:p>
    <w:p>
      <w:pPr>
        <w:pStyle w:val="Heading2"/>
      </w:pPr>
      <w:r>
        <w:t>2. A2新增的是“本地真实能力边界”</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1814"/>
            <w:vAlign w:val="center"/>
            <w:tcMar>
              <w:top w:w="70" w:type="dxa"/>
              <w:start w:w="70" w:type="dxa"/>
              <w:bottom w:w="70" w:type="dxa"/>
              <w:end w:w="70" w:type="dxa"/>
            </w:tcMar>
            <w:shd w:fill="0F6B78"/>
          </w:tcPr>
          <w:p>
            <w:pPr>
              <w:keepNext w:val="0"/>
              <w:spacing w:before="0" w:after="0" w:line="252" w:lineRule="auto"/>
              <w:jc w:val="center"/>
            </w:pPr>
            <w:r/>
            <w:r>
              <w:rPr>
                <w:rFonts w:ascii="Noto Sans CJK SC" w:hAnsi="Noto Sans CJK SC" w:eastAsia="Noto Sans CJK SC"/>
                <w:b/>
                <w:color w:val="FFFFFF"/>
                <w:sz w:val="16"/>
              </w:rPr>
              <w:t>A2项目</w:t>
            </w:r>
          </w:p>
        </w:tc>
        <w:tc>
          <w:tcPr>
            <w:tcW w:type="dxa" w:w="7257"/>
            <w:vAlign w:val="center"/>
            <w:tcMar>
              <w:top w:w="70" w:type="dxa"/>
              <w:start w:w="70" w:type="dxa"/>
              <w:bottom w:w="70" w:type="dxa"/>
              <w:end w:w="70" w:type="dxa"/>
            </w:tcMar>
            <w:shd w:fill="0F6B78"/>
          </w:tcPr>
          <w:p>
            <w:pPr>
              <w:keepNext w:val="0"/>
              <w:spacing w:before="0" w:after="0" w:line="252" w:lineRule="auto"/>
              <w:jc w:val="center"/>
            </w:pPr>
            <w:r/>
            <w:r>
              <w:rPr>
                <w:rFonts w:ascii="Noto Sans CJK SC" w:hAnsi="Noto Sans CJK SC" w:eastAsia="Noto Sans CJK SC"/>
                <w:b/>
                <w:color w:val="FFFFFF"/>
                <w:sz w:val="16"/>
              </w:rPr>
              <w:t>A3读取后的含义</w:t>
            </w:r>
          </w:p>
        </w:tc>
      </w:tr>
      <w:tr>
        <w:tc>
          <w:tcPr>
            <w:tcW w:type="dxa" w:w="1814"/>
            <w:vAlign w:val="center"/>
            <w:tcMar>
              <w:top w:w="70" w:type="dxa"/>
              <w:start w:w="70" w:type="dxa"/>
              <w:bottom w:w="70" w:type="dxa"/>
              <w:end w:w="70" w:type="dxa"/>
            </w:tcMar>
            <w:shd w:fill="DDEFEF"/>
          </w:tcPr>
          <w:p>
            <w:pPr>
              <w:keepNext w:val="0"/>
              <w:spacing w:before="0" w:after="0" w:line="252" w:lineRule="auto"/>
            </w:pPr>
            <w:r>
              <w:rPr>
                <w:b/>
              </w:rPr>
            </w:r>
            <w:r>
              <w:rPr>
                <w:rFonts w:ascii="Noto Sans CJK SC" w:hAnsi="Noto Sans CJK SC" w:eastAsia="Noto Sans CJK SC"/>
                <w:b/>
                <w:color w:val="222222"/>
                <w:sz w:val="16"/>
              </w:rPr>
              <w:t>实体映射</w:t>
            </w:r>
          </w:p>
        </w:tc>
        <w:tc>
          <w:tcPr>
            <w:tcW w:type="dxa" w:w="725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6"/>
              </w:rPr>
              <w:t>把“曙光数创/中科曙光体系”拆成920808.BJ与603019.SH；其余八个优先上市主体也完成唯一证券映射。</w:t>
            </w:r>
          </w:p>
        </w:tc>
      </w:tr>
      <w:tr>
        <w:tc>
          <w:tcPr>
            <w:tcW w:type="dxa" w:w="1814"/>
            <w:vAlign w:val="center"/>
            <w:tcMar>
              <w:top w:w="70" w:type="dxa"/>
              <w:start w:w="70" w:type="dxa"/>
              <w:bottom w:w="70" w:type="dxa"/>
              <w:end w:w="70" w:type="dxa"/>
            </w:tcMar>
            <w:shd w:fill="DDEFEF"/>
          </w:tcPr>
          <w:p>
            <w:pPr>
              <w:keepNext w:val="0"/>
              <w:spacing w:before="0" w:after="0" w:line="252" w:lineRule="auto"/>
            </w:pPr>
            <w:r>
              <w:rPr>
                <w:b/>
              </w:rPr>
            </w:r>
            <w:r>
              <w:rPr>
                <w:rFonts w:ascii="Noto Sans CJK SC" w:hAnsi="Noto Sans CJK SC" w:eastAsia="Noto Sans CJK SC"/>
                <w:b/>
                <w:color w:val="222222"/>
                <w:sz w:val="16"/>
              </w:rPr>
              <w:t>数据覆盖</w:t>
            </w:r>
          </w:p>
        </w:tc>
        <w:tc>
          <w:tcPr>
            <w:tcW w:type="dxa" w:w="725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6"/>
              </w:rPr>
              <w:t>三表、财务指标和点时清单可用；主营、公告元数据、估值与价格为部分覆盖。</w:t>
            </w:r>
          </w:p>
        </w:tc>
      </w:tr>
      <w:tr>
        <w:tc>
          <w:tcPr>
            <w:tcW w:type="dxa" w:w="1814"/>
            <w:vAlign w:val="center"/>
            <w:tcMar>
              <w:top w:w="70" w:type="dxa"/>
              <w:start w:w="70" w:type="dxa"/>
              <w:bottom w:w="70" w:type="dxa"/>
              <w:end w:w="70" w:type="dxa"/>
            </w:tcMar>
            <w:shd w:fill="DDEFEF"/>
          </w:tcPr>
          <w:p>
            <w:pPr>
              <w:keepNext w:val="0"/>
              <w:spacing w:before="0" w:after="0" w:line="252" w:lineRule="auto"/>
            </w:pPr>
            <w:r>
              <w:rPr>
                <w:b/>
              </w:rPr>
            </w:r>
            <w:r>
              <w:rPr>
                <w:rFonts w:ascii="Noto Sans CJK SC" w:hAnsi="Noto Sans CJK SC" w:eastAsia="Noto Sans CJK SC"/>
                <w:b/>
                <w:color w:val="222222"/>
                <w:sz w:val="16"/>
              </w:rPr>
              <w:t>正文能力</w:t>
            </w:r>
          </w:p>
        </w:tc>
        <w:tc>
          <w:tcPr>
            <w:tcW w:type="dxa" w:w="725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6"/>
              </w:rPr>
              <w:t>深交所PDF样本可直取；上交所PDF样本出现JavaScript Cookie挑战；本地没有完整公告正文库。</w:t>
            </w:r>
          </w:p>
        </w:tc>
      </w:tr>
      <w:tr>
        <w:tc>
          <w:tcPr>
            <w:tcW w:type="dxa" w:w="1814"/>
            <w:vAlign w:val="center"/>
            <w:tcMar>
              <w:top w:w="70" w:type="dxa"/>
              <w:start w:w="70" w:type="dxa"/>
              <w:bottom w:w="70" w:type="dxa"/>
              <w:end w:w="70" w:type="dxa"/>
            </w:tcMar>
            <w:shd w:fill="DDEFEF"/>
          </w:tcPr>
          <w:p>
            <w:pPr>
              <w:keepNext w:val="0"/>
              <w:spacing w:before="0" w:after="0" w:line="252" w:lineRule="auto"/>
            </w:pPr>
            <w:r>
              <w:rPr>
                <w:b/>
              </w:rPr>
            </w:r>
            <w:r>
              <w:rPr>
                <w:rFonts w:ascii="Noto Sans CJK SC" w:hAnsi="Noto Sans CJK SC" w:eastAsia="Noto Sans CJK SC"/>
                <w:b/>
                <w:color w:val="222222"/>
                <w:sz w:val="16"/>
              </w:rPr>
              <w:t>历史实体</w:t>
            </w:r>
          </w:p>
        </w:tc>
        <w:tc>
          <w:tcPr>
            <w:tcW w:type="dxa" w:w="725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6"/>
              </w:rPr>
              <w:t>曾用名、旧代码、完整子公司、品牌、持股和控制有效期缺失。</w:t>
            </w:r>
          </w:p>
        </w:tc>
      </w:tr>
      <w:tr>
        <w:tc>
          <w:tcPr>
            <w:tcW w:type="dxa" w:w="1814"/>
            <w:vAlign w:val="center"/>
            <w:tcMar>
              <w:top w:w="70" w:type="dxa"/>
              <w:start w:w="70" w:type="dxa"/>
              <w:bottom w:w="70" w:type="dxa"/>
              <w:end w:w="70" w:type="dxa"/>
            </w:tcMar>
            <w:shd w:fill="DDEFEF"/>
          </w:tcPr>
          <w:p>
            <w:pPr>
              <w:keepNext w:val="0"/>
              <w:spacing w:before="0" w:after="0" w:line="252" w:lineRule="auto"/>
            </w:pPr>
            <w:r>
              <w:rPr>
                <w:b/>
              </w:rPr>
            </w:r>
            <w:r>
              <w:rPr>
                <w:rFonts w:ascii="Noto Sans CJK SC" w:hAnsi="Noto Sans CJK SC" w:eastAsia="Noto Sans CJK SC"/>
                <w:b/>
                <w:color w:val="222222"/>
                <w:sz w:val="16"/>
              </w:rPr>
              <w:t>关键词扫描</w:t>
            </w:r>
          </w:p>
        </w:tc>
        <w:tc>
          <w:tcPr>
            <w:tcW w:type="dxa" w:w="725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6"/>
              </w:rPr>
              <w:t>新增7个A股线索，但均为lead_only；其中5个明显语义错配，1个最终用途不清，1个荣亿精密需要外部原文复核。</w:t>
            </w:r>
          </w:p>
        </w:tc>
      </w:tr>
      <w:tr>
        <w:tc>
          <w:tcPr>
            <w:tcW w:type="dxa" w:w="1814"/>
            <w:vAlign w:val="center"/>
            <w:tcMar>
              <w:top w:w="70" w:type="dxa"/>
              <w:start w:w="70" w:type="dxa"/>
              <w:bottom w:w="70" w:type="dxa"/>
              <w:end w:w="70" w:type="dxa"/>
            </w:tcMar>
            <w:shd w:fill="DDEFEF"/>
          </w:tcPr>
          <w:p>
            <w:pPr>
              <w:keepNext w:val="0"/>
              <w:spacing w:before="0" w:after="0" w:line="252" w:lineRule="auto"/>
            </w:pPr>
            <w:r>
              <w:rPr>
                <w:b/>
              </w:rPr>
            </w:r>
            <w:r>
              <w:rPr>
                <w:rFonts w:ascii="Noto Sans CJK SC" w:hAnsi="Noto Sans CJK SC" w:eastAsia="Noto Sans CJK SC"/>
                <w:b/>
                <w:color w:val="222222"/>
                <w:sz w:val="16"/>
              </w:rPr>
              <w:t>产业关系</w:t>
            </w:r>
          </w:p>
        </w:tc>
        <w:tc>
          <w:tcPr>
            <w:tcW w:type="dxa" w:w="725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6"/>
              </w:rPr>
              <w:t>A2确认的产业供货关系为0；这是正确结果，因为本地词典命中和主题成员不能承担关系判定。</w:t>
            </w:r>
          </w:p>
        </w:tc>
      </w:tr>
    </w:tbl>
    <w:p/>
    <w:p>
      <w:pPr>
        <w:pStyle w:val="Heading2"/>
      </w:pPr>
      <w:r>
        <w:t>3. A3的实质增量</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1814"/>
            <w:vAlign w:val="center"/>
            <w:tcMar>
              <w:top w:w="70" w:type="dxa"/>
              <w:start w:w="70" w:type="dxa"/>
              <w:bottom w:w="70" w:type="dxa"/>
              <w:end w:w="70" w:type="dxa"/>
            </w:tcMar>
            <w:shd w:fill="2E7D32"/>
          </w:tcPr>
          <w:p>
            <w:pPr>
              <w:keepNext w:val="0"/>
              <w:spacing w:before="0" w:after="0" w:line="252" w:lineRule="auto"/>
              <w:jc w:val="center"/>
            </w:pPr>
            <w:r/>
            <w:r>
              <w:rPr>
                <w:rFonts w:ascii="Noto Sans CJK SC" w:hAnsi="Noto Sans CJK SC" w:eastAsia="Noto Sans CJK SC"/>
                <w:b/>
                <w:color w:val="FFFFFF"/>
                <w:sz w:val="16"/>
              </w:rPr>
              <w:t>变化</w:t>
            </w:r>
          </w:p>
        </w:tc>
        <w:tc>
          <w:tcPr>
            <w:tcW w:type="dxa" w:w="7257"/>
            <w:vAlign w:val="center"/>
            <w:tcMar>
              <w:top w:w="70" w:type="dxa"/>
              <w:start w:w="70" w:type="dxa"/>
              <w:bottom w:w="70" w:type="dxa"/>
              <w:end w:w="70" w:type="dxa"/>
            </w:tcMar>
            <w:shd w:fill="2E7D32"/>
          </w:tcPr>
          <w:p>
            <w:pPr>
              <w:keepNext w:val="0"/>
              <w:spacing w:before="0" w:after="0" w:line="252" w:lineRule="auto"/>
              <w:jc w:val="center"/>
            </w:pPr>
            <w:r/>
            <w:r>
              <w:rPr>
                <w:rFonts w:ascii="Noto Sans CJK SC" w:hAnsi="Noto Sans CJK SC" w:eastAsia="Noto Sans CJK SC"/>
                <w:b/>
                <w:color w:val="FFFFFF"/>
                <w:sz w:val="16"/>
              </w:rPr>
              <w:t>A3最终判断</w:t>
            </w:r>
          </w:p>
        </w:tc>
      </w:tr>
      <w:tr>
        <w:tc>
          <w:tcPr>
            <w:tcW w:type="dxa" w:w="1814"/>
            <w:vAlign w:val="center"/>
            <w:tcMar>
              <w:top w:w="70" w:type="dxa"/>
              <w:start w:w="70" w:type="dxa"/>
              <w:bottom w:w="70" w:type="dxa"/>
              <w:end w:w="70" w:type="dxa"/>
            </w:tcMar>
            <w:shd w:fill="E2F0D9"/>
          </w:tcPr>
          <w:p>
            <w:pPr>
              <w:keepNext w:val="0"/>
              <w:spacing w:before="0" w:after="0" w:line="252" w:lineRule="auto"/>
            </w:pPr>
            <w:r>
              <w:rPr>
                <w:b/>
              </w:rPr>
            </w:r>
            <w:r>
              <w:rPr>
                <w:rFonts w:ascii="Noto Sans CJK SC" w:hAnsi="Noto Sans CJK SC" w:eastAsia="Noto Sans CJK SC"/>
                <w:b/>
                <w:color w:val="222222"/>
                <w:sz w:val="16"/>
              </w:rPr>
              <w:t>实体边界</w:t>
            </w:r>
          </w:p>
        </w:tc>
        <w:tc>
          <w:tcPr>
            <w:tcW w:type="dxa" w:w="725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6"/>
              </w:rPr>
              <w:t>确认曙光数创是直接液冷经营主体；中科曙光只保留持股、合并与利润归属核查，禁止把子公司产品证据直接归给母公司。</w:t>
            </w:r>
          </w:p>
        </w:tc>
      </w:tr>
      <w:tr>
        <w:tc>
          <w:tcPr>
            <w:tcW w:type="dxa" w:w="1814"/>
            <w:vAlign w:val="center"/>
            <w:tcMar>
              <w:top w:w="70" w:type="dxa"/>
              <w:start w:w="70" w:type="dxa"/>
              <w:bottom w:w="70" w:type="dxa"/>
              <w:end w:w="70" w:type="dxa"/>
            </w:tcMar>
            <w:shd w:fill="E2F0D9"/>
          </w:tcPr>
          <w:p>
            <w:pPr>
              <w:keepNext w:val="0"/>
              <w:spacing w:before="0" w:after="0" w:line="252" w:lineRule="auto"/>
            </w:pPr>
            <w:r>
              <w:rPr>
                <w:b/>
              </w:rPr>
            </w:r>
            <w:r>
              <w:rPr>
                <w:rFonts w:ascii="Noto Sans CJK SC" w:hAnsi="Noto Sans CJK SC" w:eastAsia="Noto Sans CJK SC"/>
                <w:b/>
                <w:color w:val="222222"/>
                <w:sz w:val="16"/>
              </w:rPr>
              <w:t>关系升级</w:t>
            </w:r>
          </w:p>
        </w:tc>
        <w:tc>
          <w:tcPr>
            <w:tcW w:type="dxa" w:w="725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6"/>
              </w:rPr>
              <w:t>飞荣达、高澜股份和荣亿精密的公开披露把部分关系从“产品能力”推进到“批量交付/订单趋势/供应链进入”，但仍没有节点级利润和现金。</w:t>
            </w:r>
          </w:p>
        </w:tc>
      </w:tr>
      <w:tr>
        <w:tc>
          <w:tcPr>
            <w:tcW w:type="dxa" w:w="1814"/>
            <w:vAlign w:val="center"/>
            <w:tcMar>
              <w:top w:w="70" w:type="dxa"/>
              <w:start w:w="70" w:type="dxa"/>
              <w:bottom w:w="70" w:type="dxa"/>
              <w:end w:w="70" w:type="dxa"/>
            </w:tcMar>
            <w:shd w:fill="E2F0D9"/>
          </w:tcPr>
          <w:p>
            <w:pPr>
              <w:keepNext w:val="0"/>
              <w:spacing w:before="0" w:after="0" w:line="252" w:lineRule="auto"/>
            </w:pPr>
            <w:r>
              <w:rPr>
                <w:b/>
              </w:rPr>
            </w:r>
            <w:r>
              <w:rPr>
                <w:rFonts w:ascii="Noto Sans CJK SC" w:hAnsi="Noto Sans CJK SC" w:eastAsia="Noto Sans CJK SC"/>
                <w:b/>
                <w:color w:val="222222"/>
                <w:sz w:val="16"/>
              </w:rPr>
              <w:t>关系不升级</w:t>
            </w:r>
          </w:p>
        </w:tc>
        <w:tc>
          <w:tcPr>
            <w:tcW w:type="dxa" w:w="725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6"/>
              </w:rPr>
              <w:t>英维克、申菱环境、同飞股份等具备清晰产品或测试能力；没有命名客户、订单和收入拆分时，仍停在能力/项目应用层。</w:t>
            </w:r>
          </w:p>
        </w:tc>
      </w:tr>
      <w:tr>
        <w:tc>
          <w:tcPr>
            <w:tcW w:type="dxa" w:w="1814"/>
            <w:vAlign w:val="center"/>
            <w:tcMar>
              <w:top w:w="70" w:type="dxa"/>
              <w:start w:w="70" w:type="dxa"/>
              <w:bottom w:w="70" w:type="dxa"/>
              <w:end w:w="70" w:type="dxa"/>
            </w:tcMar>
            <w:shd w:fill="E2F0D9"/>
          </w:tcPr>
          <w:p>
            <w:pPr>
              <w:keepNext w:val="0"/>
              <w:spacing w:before="0" w:after="0" w:line="252" w:lineRule="auto"/>
            </w:pPr>
            <w:r>
              <w:rPr>
                <w:b/>
              </w:rPr>
            </w:r>
            <w:r>
              <w:rPr>
                <w:rFonts w:ascii="Noto Sans CJK SC" w:hAnsi="Noto Sans CJK SC" w:eastAsia="Noto Sans CJK SC"/>
                <w:b/>
                <w:color w:val="222222"/>
                <w:sz w:val="16"/>
              </w:rPr>
              <w:t>误报处理</w:t>
            </w:r>
          </w:p>
        </w:tc>
        <w:tc>
          <w:tcPr>
            <w:tcW w:type="dxa" w:w="725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6"/>
              </w:rPr>
              <w:t>飞龙、万得凯、溯联、纳百川、兰石重装按语义错配排除；海希通讯保留最终用途未知；中航光电保留标准生态线索。</w:t>
            </w:r>
          </w:p>
        </w:tc>
      </w:tr>
      <w:tr>
        <w:tc>
          <w:tcPr>
            <w:tcW w:type="dxa" w:w="1814"/>
            <w:vAlign w:val="center"/>
            <w:tcMar>
              <w:top w:w="70" w:type="dxa"/>
              <w:start w:w="70" w:type="dxa"/>
              <w:bottom w:w="70" w:type="dxa"/>
              <w:end w:w="70" w:type="dxa"/>
            </w:tcMar>
            <w:shd w:fill="E2F0D9"/>
          </w:tcPr>
          <w:p>
            <w:pPr>
              <w:keepNext w:val="0"/>
              <w:spacing w:before="0" w:after="0" w:line="252" w:lineRule="auto"/>
            </w:pPr>
            <w:r>
              <w:rPr>
                <w:b/>
              </w:rPr>
            </w:r>
            <w:r>
              <w:rPr>
                <w:rFonts w:ascii="Noto Sans CJK SC" w:hAnsi="Noto Sans CJK SC" w:eastAsia="Noto Sans CJK SC"/>
                <w:b/>
                <w:color w:val="222222"/>
                <w:sz w:val="16"/>
              </w:rPr>
              <w:t>新进入者</w:t>
            </w:r>
          </w:p>
        </w:tc>
        <w:tc>
          <w:tcPr>
            <w:tcW w:type="dxa" w:w="725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6"/>
              </w:rPr>
              <w:t>荣亿精密从标题线索升级为“小规模已量产/批量交付的新进入者”，同时扩产会增加未来有效供给，既是机会线索也是瓶颈失效风险。</w:t>
            </w:r>
          </w:p>
        </w:tc>
      </w:tr>
      <w:tr>
        <w:tc>
          <w:tcPr>
            <w:tcW w:type="dxa" w:w="1814"/>
            <w:vAlign w:val="center"/>
            <w:tcMar>
              <w:top w:w="70" w:type="dxa"/>
              <w:start w:w="70" w:type="dxa"/>
              <w:bottom w:w="70" w:type="dxa"/>
              <w:end w:w="70" w:type="dxa"/>
            </w:tcMar>
            <w:shd w:fill="E2F0D9"/>
          </w:tcPr>
          <w:p>
            <w:pPr>
              <w:keepNext w:val="0"/>
              <w:spacing w:before="0" w:after="0" w:line="252" w:lineRule="auto"/>
            </w:pPr>
            <w:r>
              <w:rPr>
                <w:b/>
              </w:rPr>
            </w:r>
            <w:r>
              <w:rPr>
                <w:rFonts w:ascii="Noto Sans CJK SC" w:hAnsi="Noto Sans CJK SC" w:eastAsia="Noto Sans CJK SC"/>
                <w:b/>
                <w:color w:val="222222"/>
                <w:sz w:val="16"/>
              </w:rPr>
              <w:t>地基门</w:t>
            </w:r>
          </w:p>
        </w:tc>
        <w:tc>
          <w:tcPr>
            <w:tcW w:type="dxa" w:w="725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6"/>
              </w:rPr>
              <w:t>三道门均为混合；A阶段无需再次让Codex补扫，下一步应由ChatGPT B1缩小合同。</w:t>
            </w:r>
          </w:p>
        </w:tc>
      </w:tr>
    </w:tbl>
    <w:p/>
    <w:tbl>
      <w:tblPr>
        <w:tblW w:type="auto" w:w="0"/>
        <w:jc w:val="center"/>
        <w:tblLayout w:type="fixed"/>
        <w:tblLook w:firstColumn="1" w:firstRow="1" w:lastColumn="0" w:lastRow="0" w:noHBand="0" w:noVBand="1" w:val="04A0"/>
      </w:tblPr>
      <w:tblGrid>
        <w:gridCol w:w="10086"/>
      </w:tblGrid>
      <w:tr>
        <w:tc>
          <w:tcPr>
            <w:tcW w:type="dxa" w:w="10086"/>
            <w:shd w:fill="DDEBF7"/>
            <w:tcBorders>
              <w:top w:val="single" w:sz="16" w:color="0F6B78"/>
              <w:left w:val="single" w:sz="16" w:color="0F6B78"/>
              <w:bottom w:val="single" w:sz="16" w:color="0F6B78"/>
              <w:right w:val="single" w:sz="16" w:color="0F6B78"/>
            </w:tcBorders>
            <w:tcMar>
              <w:top w:w="120" w:type="dxa"/>
              <w:start w:w="160" w:type="dxa"/>
              <w:bottom w:w="120" w:type="dxa"/>
              <w:end w:w="160" w:type="dxa"/>
            </w:tcMar>
          </w:tcPr>
          <w:p>
            <w:pPr>
              <w:keepNext w:val="0"/>
              <w:spacing w:before="0" w:after="60" w:line="264" w:lineRule="auto"/>
            </w:pPr>
            <w:r/>
            <w:r>
              <w:rPr>
                <w:rFonts w:ascii="Noto Sans CJK SC" w:hAnsi="Noto Sans CJK SC" w:eastAsia="Noto Sans CJK SC"/>
                <w:b/>
                <w:color w:val="0F6B78"/>
                <w:sz w:val="20"/>
              </w:rPr>
              <w:t>为什么不生成A3定向补查请求</w:t>
            </w:r>
          </w:p>
          <w:p>
            <w:pPr>
              <w:keepNext w:val="0"/>
              <w:spacing w:before="0" w:after="0" w:line="276" w:lineRule="auto"/>
            </w:pPr>
            <w:r>
              <w:rPr>
                <w:rFonts w:ascii="Noto Sans CJK SC" w:hAnsi="Noto Sans CJK SC" w:eastAsia="Noto Sans CJK SC"/>
                <w:color w:val="222222"/>
                <w:sz w:val="18"/>
              </w:rPr>
              <w:t>A2缺失的公告全文、历史股权、私企主体和客户关系很重要，但它们不会改变“液冷应按35节点和七视图研究、B阶段必须缩小范围”的A结论。重复本地关键词扫描不会解决这些缺口；更合理的是在B1中只为少量实体定义原文和字段合同，并把取不到的关系继续标为未知。</w:t>
            </w:r>
          </w:p>
        </w:tc>
      </w:tr>
    </w:tbl>
    <w:p/>
    <w:p>
      <w:pPr>
        <w:pStyle w:val="Heading1"/>
      </w:pPr>
      <w:r>
        <w:t>第二部分　公司关系必须分九层，不能一步跳到利润</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247"/>
            <w:vAlign w:val="center"/>
            <w:tcMar>
              <w:top w:w="70" w:type="dxa"/>
              <w:start w:w="70" w:type="dxa"/>
              <w:bottom w:w="70" w:type="dxa"/>
              <w:end w:w="70" w:type="dxa"/>
            </w:tcMar>
            <w:shd w:fill="17365D"/>
          </w:tcPr>
          <w:p>
            <w:pPr>
              <w:keepNext w:val="0"/>
              <w:spacing w:before="0" w:after="0" w:line="252" w:lineRule="auto"/>
              <w:jc w:val="center"/>
            </w:pPr>
            <w:r/>
            <w:r>
              <w:rPr>
                <w:rFonts w:ascii="Noto Sans CJK SC" w:hAnsi="Noto Sans CJK SC" w:eastAsia="Noto Sans CJK SC"/>
                <w:b/>
                <w:color w:val="FFFFFF"/>
                <w:sz w:val="16"/>
              </w:rPr>
              <w:t>层级</w:t>
            </w:r>
          </w:p>
        </w:tc>
        <w:tc>
          <w:tcPr>
            <w:tcW w:type="dxa" w:w="2551"/>
            <w:vAlign w:val="center"/>
            <w:tcMar>
              <w:top w:w="70" w:type="dxa"/>
              <w:start w:w="70" w:type="dxa"/>
              <w:bottom w:w="70" w:type="dxa"/>
              <w:end w:w="70" w:type="dxa"/>
            </w:tcMar>
            <w:shd w:fill="17365D"/>
          </w:tcPr>
          <w:p>
            <w:pPr>
              <w:keepNext w:val="0"/>
              <w:spacing w:before="0" w:after="0" w:line="252" w:lineRule="auto"/>
              <w:jc w:val="center"/>
            </w:pPr>
            <w:r/>
            <w:r>
              <w:rPr>
                <w:rFonts w:ascii="Noto Sans CJK SC" w:hAnsi="Noto Sans CJK SC" w:eastAsia="Noto Sans CJK SC"/>
                <w:b/>
                <w:color w:val="FFFFFF"/>
                <w:sz w:val="16"/>
              </w:rPr>
              <w:t>要证明什么</w:t>
            </w:r>
          </w:p>
        </w:tc>
        <w:tc>
          <w:tcPr>
            <w:tcW w:type="dxa" w:w="2551"/>
            <w:vAlign w:val="center"/>
            <w:tcMar>
              <w:top w:w="70" w:type="dxa"/>
              <w:start w:w="70" w:type="dxa"/>
              <w:bottom w:w="70" w:type="dxa"/>
              <w:end w:w="70" w:type="dxa"/>
            </w:tcMar>
            <w:shd w:fill="17365D"/>
          </w:tcPr>
          <w:p>
            <w:pPr>
              <w:keepNext w:val="0"/>
              <w:spacing w:before="0" w:after="0" w:line="252" w:lineRule="auto"/>
              <w:jc w:val="center"/>
            </w:pPr>
            <w:r/>
            <w:r>
              <w:rPr>
                <w:rFonts w:ascii="Noto Sans CJK SC" w:hAnsi="Noto Sans CJK SC" w:eastAsia="Noto Sans CJK SC"/>
                <w:b/>
                <w:color w:val="FFFFFF"/>
                <w:sz w:val="16"/>
              </w:rPr>
              <w:t>优先证据</w:t>
            </w:r>
          </w:p>
        </w:tc>
        <w:tc>
          <w:tcPr>
            <w:tcW w:type="dxa" w:w="2721"/>
            <w:vAlign w:val="center"/>
            <w:tcMar>
              <w:top w:w="70" w:type="dxa"/>
              <w:start w:w="70" w:type="dxa"/>
              <w:bottom w:w="70" w:type="dxa"/>
              <w:end w:w="70" w:type="dxa"/>
            </w:tcMar>
            <w:shd w:fill="17365D"/>
          </w:tcPr>
          <w:p>
            <w:pPr>
              <w:keepNext w:val="0"/>
              <w:spacing w:before="0" w:after="0" w:line="252" w:lineRule="auto"/>
              <w:jc w:val="center"/>
            </w:pPr>
            <w:r/>
            <w:r>
              <w:rPr>
                <w:rFonts w:ascii="Noto Sans CJK SC" w:hAnsi="Noto Sans CJK SC" w:eastAsia="Noto Sans CJK SC"/>
                <w:b/>
                <w:color w:val="FFFFFF"/>
                <w:sz w:val="16"/>
              </w:rPr>
              <w:t>禁止跨越</w:t>
            </w:r>
          </w:p>
        </w:tc>
      </w:tr>
      <w:tr>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1 身份</w:t>
            </w:r>
          </w:p>
        </w:tc>
        <w:tc>
          <w:tcPr>
            <w:tcW w:type="dxa" w:w="255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法定主体、证券代码、别名、股权与有效期</w:t>
            </w:r>
          </w:p>
        </w:tc>
        <w:tc>
          <w:tcPr>
            <w:tcW w:type="dxa" w:w="255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工商/交易所/正式年报</w:t>
            </w:r>
          </w:p>
        </w:tc>
        <w:tc>
          <w:tcPr>
            <w:tcW w:type="dxa" w:w="272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同名、品牌和母子公司混淆</w:t>
            </w:r>
          </w:p>
        </w:tc>
      </w:tr>
      <w:tr>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5"/>
              </w:rPr>
              <w:t>2 能力</w:t>
            </w:r>
          </w:p>
        </w:tc>
        <w:tc>
          <w:tcPr>
            <w:tcW w:type="dxa" w:w="255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5"/>
              </w:rPr>
              <w:t>有准确产品、工艺、测试或产线</w:t>
            </w:r>
          </w:p>
        </w:tc>
        <w:tc>
          <w:tcPr>
            <w:tcW w:type="dxa" w:w="255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5"/>
              </w:rPr>
              <w:t>规格书、产品页、测试/标准、产线</w:t>
            </w:r>
          </w:p>
        </w:tc>
        <w:tc>
          <w:tcPr>
            <w:tcW w:type="dxa" w:w="272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5"/>
              </w:rPr>
              <w:t>有产品≠已进入客户</w:t>
            </w:r>
          </w:p>
        </w:tc>
      </w:tr>
      <w:tr>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3 认证/试点</w:t>
            </w:r>
          </w:p>
        </w:tc>
        <w:tc>
          <w:tcPr>
            <w:tcW w:type="dxa" w:w="255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通过标准、客户验证、送样或项目试点</w:t>
            </w:r>
          </w:p>
        </w:tc>
        <w:tc>
          <w:tcPr>
            <w:tcW w:type="dxa" w:w="255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认证、白皮书、客户测试、试点</w:t>
            </w:r>
          </w:p>
        </w:tc>
        <w:tc>
          <w:tcPr>
            <w:tcW w:type="dxa" w:w="272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认证≠订单</w:t>
            </w:r>
          </w:p>
        </w:tc>
      </w:tr>
      <w:tr>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5"/>
              </w:rPr>
              <w:t>4 供货</w:t>
            </w:r>
          </w:p>
        </w:tc>
        <w:tc>
          <w:tcPr>
            <w:tcW w:type="dxa" w:w="255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5"/>
              </w:rPr>
              <w:t>进入真实客户或供应链</w:t>
            </w:r>
          </w:p>
        </w:tc>
        <w:tc>
          <w:tcPr>
            <w:tcW w:type="dxa" w:w="255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5"/>
              </w:rPr>
              <w:t>客户文件、年报、供应商披露</w:t>
            </w:r>
          </w:p>
        </w:tc>
        <w:tc>
          <w:tcPr>
            <w:tcW w:type="dxa" w:w="272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5"/>
              </w:rPr>
              <w:t>一次关系≠核心份额</w:t>
            </w:r>
          </w:p>
        </w:tc>
      </w:tr>
      <w:tr>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5 订单</w:t>
            </w:r>
          </w:p>
        </w:tc>
        <w:tc>
          <w:tcPr>
            <w:tcW w:type="dxa" w:w="255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合同、定点、订单或中标</w:t>
            </w:r>
          </w:p>
        </w:tc>
        <w:tc>
          <w:tcPr>
            <w:tcW w:type="dxa" w:w="255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公告、合同、订单金额</w:t>
            </w:r>
          </w:p>
        </w:tc>
        <w:tc>
          <w:tcPr>
            <w:tcW w:type="dxa" w:w="272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订单≠收入</w:t>
            </w:r>
          </w:p>
        </w:tc>
      </w:tr>
      <w:tr>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5"/>
              </w:rPr>
              <w:t>6 重复交付</w:t>
            </w:r>
          </w:p>
        </w:tc>
        <w:tc>
          <w:tcPr>
            <w:tcW w:type="dxa" w:w="255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5"/>
              </w:rPr>
              <w:t>追加、跨客户复制或批量交付</w:t>
            </w:r>
          </w:p>
        </w:tc>
        <w:tc>
          <w:tcPr>
            <w:tcW w:type="dxa" w:w="255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5"/>
              </w:rPr>
              <w:t>重复订单、批量交付、第二客户</w:t>
            </w:r>
          </w:p>
        </w:tc>
        <w:tc>
          <w:tcPr>
            <w:tcW w:type="dxa" w:w="272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5"/>
              </w:rPr>
              <w:t>批量≠高毛利</w:t>
            </w:r>
          </w:p>
        </w:tc>
      </w:tr>
      <w:tr>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7 收入</w:t>
            </w:r>
          </w:p>
        </w:tc>
        <w:tc>
          <w:tcPr>
            <w:tcW w:type="dxa" w:w="255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目标节点收入被确认并可区分</w:t>
            </w:r>
          </w:p>
        </w:tc>
        <w:tc>
          <w:tcPr>
            <w:tcW w:type="dxa" w:w="255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主营/分部/项目收入</w:t>
            </w:r>
          </w:p>
        </w:tc>
        <w:tc>
          <w:tcPr>
            <w:tcW w:type="dxa" w:w="272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收入≠利润</w:t>
            </w:r>
          </w:p>
        </w:tc>
      </w:tr>
      <w:tr>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5"/>
              </w:rPr>
              <w:t>8 利润</w:t>
            </w:r>
          </w:p>
        </w:tc>
        <w:tc>
          <w:tcPr>
            <w:tcW w:type="dxa" w:w="255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5"/>
              </w:rPr>
              <w:t>目标节点毛利和新增净利润重要</w:t>
            </w:r>
          </w:p>
        </w:tc>
        <w:tc>
          <w:tcPr>
            <w:tcW w:type="dxa" w:w="255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5"/>
              </w:rPr>
              <w:t>产品毛利、费用、折旧、减值</w:t>
            </w:r>
          </w:p>
        </w:tc>
        <w:tc>
          <w:tcPr>
            <w:tcW w:type="dxa" w:w="272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5"/>
              </w:rPr>
              <w:t>利润≠现金</w:t>
            </w:r>
          </w:p>
        </w:tc>
      </w:tr>
      <w:tr>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9 现金</w:t>
            </w:r>
          </w:p>
        </w:tc>
        <w:tc>
          <w:tcPr>
            <w:tcW w:type="dxa" w:w="255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经营现金兑现，未被应收存货吞噬</w:t>
            </w:r>
          </w:p>
        </w:tc>
        <w:tc>
          <w:tcPr>
            <w:tcW w:type="dxa" w:w="255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回款、CFO、账期、库存</w:t>
            </w:r>
          </w:p>
        </w:tc>
        <w:tc>
          <w:tcPr>
            <w:tcW w:type="dxa" w:w="272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5"/>
              </w:rPr>
              <w:t>现金好≠价格便宜</w:t>
            </w:r>
          </w:p>
        </w:tc>
      </w:tr>
    </w:tbl>
    <w:p/>
    <w:p>
      <w:pPr>
        <w:pStyle w:val="Heading2"/>
      </w:pPr>
      <w:r>
        <w:t>4. B核心实体：前五层</w:t>
      </w:r>
    </w:p>
    <w:tbl>
      <w:tblPr>
        <w:tblStyle w:val="TableGrid"/>
        <w:tblW w:type="auto" w:w="0"/>
        <w:jc w:val="center"/>
        <w:tblLayout w:type="fixed"/>
        <w:tblLook w:firstColumn="1" w:firstRow="1" w:lastColumn="0" w:lastRow="0" w:noHBand="0" w:noVBand="1" w:val="04A0"/>
      </w:tblPr>
      <w:tblGrid>
        <w:gridCol w:w="1681"/>
        <w:gridCol w:w="1681"/>
        <w:gridCol w:w="1681"/>
        <w:gridCol w:w="1681"/>
        <w:gridCol w:w="1681"/>
        <w:gridCol w:w="1681"/>
      </w:tblGrid>
      <w:tr>
        <w:trPr>
          <w:tblHeader w:val="true"/>
        </w:trPr>
        <w:tc>
          <w:tcPr>
            <w:tcW w:type="dxa" w:w="1361"/>
            <w:vAlign w:val="center"/>
            <w:tcMar>
              <w:top w:w="70" w:type="dxa"/>
              <w:start w:w="70" w:type="dxa"/>
              <w:bottom w:w="70" w:type="dxa"/>
              <w:end w:w="70" w:type="dxa"/>
            </w:tcMar>
            <w:shd w:fill="0F6B78"/>
          </w:tcPr>
          <w:p>
            <w:pPr>
              <w:keepNext w:val="0"/>
              <w:spacing w:before="0" w:after="0" w:line="252" w:lineRule="auto"/>
              <w:jc w:val="center"/>
            </w:pPr>
            <w:r/>
            <w:r>
              <w:rPr>
                <w:rFonts w:ascii="Noto Sans CJK SC" w:hAnsi="Noto Sans CJK SC" w:eastAsia="Noto Sans CJK SC"/>
                <w:b/>
                <w:color w:val="FFFFFF"/>
                <w:sz w:val="16"/>
              </w:rPr>
              <w:t>实体</w:t>
            </w:r>
          </w:p>
        </w:tc>
        <w:tc>
          <w:tcPr>
            <w:tcW w:type="dxa" w:w="1361"/>
            <w:vAlign w:val="center"/>
            <w:tcMar>
              <w:top w:w="70" w:type="dxa"/>
              <w:start w:w="70" w:type="dxa"/>
              <w:bottom w:w="70" w:type="dxa"/>
              <w:end w:w="70" w:type="dxa"/>
            </w:tcMar>
            <w:shd w:fill="0F6B78"/>
          </w:tcPr>
          <w:p>
            <w:pPr>
              <w:keepNext w:val="0"/>
              <w:spacing w:before="0" w:after="0" w:line="252" w:lineRule="auto"/>
              <w:jc w:val="center"/>
            </w:pPr>
            <w:r/>
            <w:r>
              <w:rPr>
                <w:rFonts w:ascii="Noto Sans CJK SC" w:hAnsi="Noto Sans CJK SC" w:eastAsia="Noto Sans CJK SC"/>
                <w:b/>
                <w:color w:val="FFFFFF"/>
                <w:sz w:val="16"/>
              </w:rPr>
              <w:t>身份</w:t>
            </w:r>
          </w:p>
        </w:tc>
        <w:tc>
          <w:tcPr>
            <w:tcW w:type="dxa" w:w="1701"/>
            <w:vAlign w:val="center"/>
            <w:tcMar>
              <w:top w:w="70" w:type="dxa"/>
              <w:start w:w="70" w:type="dxa"/>
              <w:bottom w:w="70" w:type="dxa"/>
              <w:end w:w="70" w:type="dxa"/>
            </w:tcMar>
            <w:shd w:fill="0F6B78"/>
          </w:tcPr>
          <w:p>
            <w:pPr>
              <w:keepNext w:val="0"/>
              <w:spacing w:before="0" w:after="0" w:line="252" w:lineRule="auto"/>
              <w:jc w:val="center"/>
            </w:pPr>
            <w:r/>
            <w:r>
              <w:rPr>
                <w:rFonts w:ascii="Noto Sans CJK SC" w:hAnsi="Noto Sans CJK SC" w:eastAsia="Noto Sans CJK SC"/>
                <w:b/>
                <w:color w:val="FFFFFF"/>
                <w:sz w:val="16"/>
              </w:rPr>
              <w:t>能力</w:t>
            </w:r>
          </w:p>
        </w:tc>
        <w:tc>
          <w:tcPr>
            <w:tcW w:type="dxa" w:w="1701"/>
            <w:vAlign w:val="center"/>
            <w:tcMar>
              <w:top w:w="70" w:type="dxa"/>
              <w:start w:w="70" w:type="dxa"/>
              <w:bottom w:w="70" w:type="dxa"/>
              <w:end w:w="70" w:type="dxa"/>
            </w:tcMar>
            <w:shd w:fill="0F6B78"/>
          </w:tcPr>
          <w:p>
            <w:pPr>
              <w:keepNext w:val="0"/>
              <w:spacing w:before="0" w:after="0" w:line="252" w:lineRule="auto"/>
              <w:jc w:val="center"/>
            </w:pPr>
            <w:r/>
            <w:r>
              <w:rPr>
                <w:rFonts w:ascii="Noto Sans CJK SC" w:hAnsi="Noto Sans CJK SC" w:eastAsia="Noto Sans CJK SC"/>
                <w:b/>
                <w:color w:val="FFFFFF"/>
                <w:sz w:val="16"/>
              </w:rPr>
              <w:t>认证/试点</w:t>
            </w:r>
          </w:p>
        </w:tc>
        <w:tc>
          <w:tcPr>
            <w:tcW w:type="dxa" w:w="1701"/>
            <w:vAlign w:val="center"/>
            <w:tcMar>
              <w:top w:w="70" w:type="dxa"/>
              <w:start w:w="70" w:type="dxa"/>
              <w:bottom w:w="70" w:type="dxa"/>
              <w:end w:w="70" w:type="dxa"/>
            </w:tcMar>
            <w:shd w:fill="0F6B78"/>
          </w:tcPr>
          <w:p>
            <w:pPr>
              <w:keepNext w:val="0"/>
              <w:spacing w:before="0" w:after="0" w:line="252" w:lineRule="auto"/>
              <w:jc w:val="center"/>
            </w:pPr>
            <w:r/>
            <w:r>
              <w:rPr>
                <w:rFonts w:ascii="Noto Sans CJK SC" w:hAnsi="Noto Sans CJK SC" w:eastAsia="Noto Sans CJK SC"/>
                <w:b/>
                <w:color w:val="FFFFFF"/>
                <w:sz w:val="16"/>
              </w:rPr>
              <w:t>供货</w:t>
            </w:r>
          </w:p>
        </w:tc>
        <w:tc>
          <w:tcPr>
            <w:tcW w:type="dxa" w:w="1701"/>
            <w:vAlign w:val="center"/>
            <w:tcMar>
              <w:top w:w="70" w:type="dxa"/>
              <w:start w:w="70" w:type="dxa"/>
              <w:bottom w:w="70" w:type="dxa"/>
              <w:end w:w="70" w:type="dxa"/>
            </w:tcMar>
            <w:shd w:fill="0F6B78"/>
          </w:tcPr>
          <w:p>
            <w:pPr>
              <w:keepNext w:val="0"/>
              <w:spacing w:before="0" w:after="0" w:line="252" w:lineRule="auto"/>
              <w:jc w:val="center"/>
            </w:pPr>
            <w:r/>
            <w:r>
              <w:rPr>
                <w:rFonts w:ascii="Noto Sans CJK SC" w:hAnsi="Noto Sans CJK SC" w:eastAsia="Noto Sans CJK SC"/>
                <w:b/>
                <w:color w:val="FFFFFF"/>
                <w:sz w:val="16"/>
              </w:rPr>
              <w:t>订单</w:t>
            </w:r>
          </w:p>
        </w:tc>
      </w:tr>
      <w:tr>
        <w:tc>
          <w:tcPr>
            <w:tcW w:type="dxa" w:w="136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英维克</w:t>
              <w:br/>
              <w:t>002837.SZ</w:t>
            </w:r>
          </w:p>
        </w:tc>
        <w:tc>
          <w:tcPr>
            <w:tcW w:type="dxa" w:w="136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已确认</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有日期正式资料确认</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平台验证已见，商业规模未证</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未知</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未知</w:t>
            </w:r>
          </w:p>
        </w:tc>
      </w:tr>
      <w:tr>
        <w:tc>
          <w:tcPr>
            <w:tcW w:type="dxa" w:w="136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申菱环境</w:t>
              <w:br/>
              <w:t>301018.SZ</w:t>
            </w:r>
          </w:p>
        </w:tc>
        <w:tc>
          <w:tcPr>
            <w:tcW w:type="dxa" w:w="136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已确认</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有日期正式资料确认</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标准/测试参与已确认</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公司披露项目应用</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未知</w:t>
            </w:r>
          </w:p>
        </w:tc>
      </w:tr>
      <w:tr>
        <w:tc>
          <w:tcPr>
            <w:tcW w:type="dxa" w:w="136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曙光数创</w:t>
              <w:br/>
              <w:t>920808.BJ</w:t>
            </w:r>
          </w:p>
        </w:tc>
        <w:tc>
          <w:tcPr>
            <w:tcW w:type="dxa" w:w="136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已确认</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已确认</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部分</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年报显示商业产品交付</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客户与合同未知</w:t>
            </w:r>
          </w:p>
        </w:tc>
      </w:tr>
      <w:tr>
        <w:tc>
          <w:tcPr>
            <w:tcW w:type="dxa" w:w="136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中科曙光</w:t>
              <w:br/>
              <w:t>603019.SH</w:t>
            </w:r>
          </w:p>
        </w:tc>
        <w:tc>
          <w:tcPr>
            <w:tcW w:type="dxa" w:w="136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已确认</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不得由子公司证据转移</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不适用</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不得归入</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不得归入</w:t>
            </w:r>
          </w:p>
        </w:tc>
      </w:tr>
      <w:tr>
        <w:tc>
          <w:tcPr>
            <w:tcW w:type="dxa" w:w="136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飞荣达</w:t>
              <w:br/>
              <w:t>300602.SZ</w:t>
            </w:r>
          </w:p>
        </w:tc>
        <w:tc>
          <w:tcPr>
            <w:tcW w:type="dxa" w:w="136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已确认</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公司披露确认</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打样/试产已披露</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多类产品批量交付披露</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订单增长，未披露客户</w:t>
            </w:r>
          </w:p>
        </w:tc>
      </w:tr>
      <w:tr>
        <w:tc>
          <w:tcPr>
            <w:tcW w:type="dxa" w:w="136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佳力图</w:t>
              <w:br/>
              <w:t>603912.SH</w:t>
            </w:r>
          </w:p>
        </w:tc>
        <w:tc>
          <w:tcPr>
            <w:tcW w:type="dxa" w:w="136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已确认</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设施侧明确，直接液路部分</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未知</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液冷专属关系未知</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液冷专属关系未知</w:t>
            </w:r>
          </w:p>
        </w:tc>
      </w:tr>
      <w:tr>
        <w:tc>
          <w:tcPr>
            <w:tcW w:type="dxa" w:w="136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高澜股份</w:t>
              <w:br/>
              <w:t>300499.SZ</w:t>
            </w:r>
          </w:p>
        </w:tc>
        <w:tc>
          <w:tcPr>
            <w:tcW w:type="dxa" w:w="136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已确认</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公司披露确认</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部分产品认证披露</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公司披露服务客户类别</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公司披露订单增长</w:t>
            </w:r>
          </w:p>
        </w:tc>
      </w:tr>
      <w:tr>
        <w:tc>
          <w:tcPr>
            <w:tcW w:type="dxa" w:w="136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同飞股份</w:t>
              <w:br/>
              <w:t>300990.SZ</w:t>
            </w:r>
          </w:p>
        </w:tc>
        <w:tc>
          <w:tcPr>
            <w:tcW w:type="dxa" w:w="136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已确认</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公司稿确认产品能力</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未知</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未知</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未知</w:t>
            </w:r>
          </w:p>
        </w:tc>
      </w:tr>
      <w:tr>
        <w:tc>
          <w:tcPr>
            <w:tcW w:type="dxa" w:w="136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荣亿精密</w:t>
              <w:br/>
              <w:t>920223.BJ</w:t>
            </w:r>
          </w:p>
        </w:tc>
        <w:tc>
          <w:tcPr>
            <w:tcW w:type="dxa" w:w="136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已确认</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年报摘要确认</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市场验证已披露</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进入供应链已披露</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客户/金额仅二手摘要</w:t>
            </w:r>
          </w:p>
        </w:tc>
      </w:tr>
    </w:tbl>
    <w:p/>
    <w:p>
      <w:pPr>
        <w:pStyle w:val="Heading2"/>
      </w:pPr>
      <w:r>
        <w:t>5. B核心实体：后四层</w:t>
      </w:r>
    </w:p>
    <w:tbl>
      <w:tblPr>
        <w:tblStyle w:val="TableGrid"/>
        <w:tblW w:type="auto" w:w="0"/>
        <w:jc w:val="center"/>
        <w:tblLayout w:type="fixed"/>
        <w:tblLook w:firstColumn="1" w:firstRow="1" w:lastColumn="0" w:lastRow="0" w:noHBand="0" w:noVBand="1" w:val="04A0"/>
      </w:tblPr>
      <w:tblGrid>
        <w:gridCol w:w="1681"/>
        <w:gridCol w:w="1681"/>
        <w:gridCol w:w="1681"/>
        <w:gridCol w:w="1681"/>
        <w:gridCol w:w="1681"/>
        <w:gridCol w:w="1681"/>
      </w:tblGrid>
      <w:tr>
        <w:trPr>
          <w:tblHeader w:val="true"/>
        </w:trPr>
        <w:tc>
          <w:tcPr>
            <w:tcW w:type="dxa" w:w="1417"/>
            <w:vAlign w:val="center"/>
            <w:tcMar>
              <w:top w:w="70" w:type="dxa"/>
              <w:start w:w="70" w:type="dxa"/>
              <w:bottom w:w="70" w:type="dxa"/>
              <w:end w:w="70" w:type="dxa"/>
            </w:tcMar>
            <w:shd w:fill="2E7D32"/>
          </w:tcPr>
          <w:p>
            <w:pPr>
              <w:keepNext w:val="0"/>
              <w:spacing w:before="0" w:after="0" w:line="252" w:lineRule="auto"/>
              <w:jc w:val="center"/>
            </w:pPr>
            <w:r/>
            <w:r>
              <w:rPr>
                <w:rFonts w:ascii="Noto Sans CJK SC" w:hAnsi="Noto Sans CJK SC" w:eastAsia="Noto Sans CJK SC"/>
                <w:b/>
                <w:color w:val="FFFFFF"/>
                <w:sz w:val="16"/>
              </w:rPr>
              <w:t>实体</w:t>
            </w:r>
          </w:p>
        </w:tc>
        <w:tc>
          <w:tcPr>
            <w:tcW w:type="dxa" w:w="1814"/>
            <w:vAlign w:val="center"/>
            <w:tcMar>
              <w:top w:w="70" w:type="dxa"/>
              <w:start w:w="70" w:type="dxa"/>
              <w:bottom w:w="70" w:type="dxa"/>
              <w:end w:w="70" w:type="dxa"/>
            </w:tcMar>
            <w:shd w:fill="2E7D32"/>
          </w:tcPr>
          <w:p>
            <w:pPr>
              <w:keepNext w:val="0"/>
              <w:spacing w:before="0" w:after="0" w:line="252" w:lineRule="auto"/>
              <w:jc w:val="center"/>
            </w:pPr>
            <w:r/>
            <w:r>
              <w:rPr>
                <w:rFonts w:ascii="Noto Sans CJK SC" w:hAnsi="Noto Sans CJK SC" w:eastAsia="Noto Sans CJK SC"/>
                <w:b/>
                <w:color w:val="FFFFFF"/>
                <w:sz w:val="16"/>
              </w:rPr>
              <w:t>重复交付</w:t>
            </w:r>
          </w:p>
        </w:tc>
        <w:tc>
          <w:tcPr>
            <w:tcW w:type="dxa" w:w="1814"/>
            <w:vAlign w:val="center"/>
            <w:tcMar>
              <w:top w:w="70" w:type="dxa"/>
              <w:start w:w="70" w:type="dxa"/>
              <w:bottom w:w="70" w:type="dxa"/>
              <w:end w:w="70" w:type="dxa"/>
            </w:tcMar>
            <w:shd w:fill="2E7D32"/>
          </w:tcPr>
          <w:p>
            <w:pPr>
              <w:keepNext w:val="0"/>
              <w:spacing w:before="0" w:after="0" w:line="252" w:lineRule="auto"/>
              <w:jc w:val="center"/>
            </w:pPr>
            <w:r/>
            <w:r>
              <w:rPr>
                <w:rFonts w:ascii="Noto Sans CJK SC" w:hAnsi="Noto Sans CJK SC" w:eastAsia="Noto Sans CJK SC"/>
                <w:b/>
                <w:color w:val="FFFFFF"/>
                <w:sz w:val="16"/>
              </w:rPr>
              <w:t>收入</w:t>
            </w:r>
          </w:p>
        </w:tc>
        <w:tc>
          <w:tcPr>
            <w:tcW w:type="dxa" w:w="1474"/>
            <w:vAlign w:val="center"/>
            <w:tcMar>
              <w:top w:w="70" w:type="dxa"/>
              <w:start w:w="70" w:type="dxa"/>
              <w:bottom w:w="70" w:type="dxa"/>
              <w:end w:w="70" w:type="dxa"/>
            </w:tcMar>
            <w:shd w:fill="2E7D32"/>
          </w:tcPr>
          <w:p>
            <w:pPr>
              <w:keepNext w:val="0"/>
              <w:spacing w:before="0" w:after="0" w:line="252" w:lineRule="auto"/>
              <w:jc w:val="center"/>
            </w:pPr>
            <w:r/>
            <w:r>
              <w:rPr>
                <w:rFonts w:ascii="Noto Sans CJK SC" w:hAnsi="Noto Sans CJK SC" w:eastAsia="Noto Sans CJK SC"/>
                <w:b/>
                <w:color w:val="FFFFFF"/>
                <w:sz w:val="16"/>
              </w:rPr>
              <w:t>利润</w:t>
            </w:r>
          </w:p>
        </w:tc>
        <w:tc>
          <w:tcPr>
            <w:tcW w:type="dxa" w:w="1474"/>
            <w:vAlign w:val="center"/>
            <w:tcMar>
              <w:top w:w="70" w:type="dxa"/>
              <w:start w:w="70" w:type="dxa"/>
              <w:bottom w:w="70" w:type="dxa"/>
              <w:end w:w="70" w:type="dxa"/>
            </w:tcMar>
            <w:shd w:fill="2E7D32"/>
          </w:tcPr>
          <w:p>
            <w:pPr>
              <w:keepNext w:val="0"/>
              <w:spacing w:before="0" w:after="0" w:line="252" w:lineRule="auto"/>
              <w:jc w:val="center"/>
            </w:pPr>
            <w:r/>
            <w:r>
              <w:rPr>
                <w:rFonts w:ascii="Noto Sans CJK SC" w:hAnsi="Noto Sans CJK SC" w:eastAsia="Noto Sans CJK SC"/>
                <w:b/>
                <w:color w:val="FFFFFF"/>
                <w:sz w:val="16"/>
              </w:rPr>
              <w:t>现金</w:t>
            </w:r>
          </w:p>
        </w:tc>
        <w:tc>
          <w:tcPr>
            <w:tcW w:type="dxa" w:w="1814"/>
            <w:vAlign w:val="center"/>
            <w:tcMar>
              <w:top w:w="70" w:type="dxa"/>
              <w:start w:w="70" w:type="dxa"/>
              <w:bottom w:w="70" w:type="dxa"/>
              <w:end w:w="70" w:type="dxa"/>
            </w:tcMar>
            <w:shd w:fill="2E7D32"/>
          </w:tcPr>
          <w:p>
            <w:pPr>
              <w:keepNext w:val="0"/>
              <w:spacing w:before="0" w:after="0" w:line="252" w:lineRule="auto"/>
              <w:jc w:val="center"/>
            </w:pPr>
            <w:r/>
            <w:r>
              <w:rPr>
                <w:rFonts w:ascii="Noto Sans CJK SC" w:hAnsi="Noto Sans CJK SC" w:eastAsia="Noto Sans CJK SC"/>
                <w:b/>
                <w:color w:val="FFFFFF"/>
                <w:sz w:val="16"/>
              </w:rPr>
              <w:t>A3处置</w:t>
            </w:r>
          </w:p>
        </w:tc>
      </w:tr>
      <w:tr>
        <w:tc>
          <w:tcPr>
            <w:tcW w:type="dxa" w:w="141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英维克</w:t>
              <w:br/>
              <w:t>002837.SZ</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未知</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液冷收入未拆</w:t>
            </w:r>
          </w:p>
        </w:tc>
        <w:tc>
          <w:tcPr>
            <w:tcW w:type="dxa" w:w="147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未知</w:t>
            </w:r>
          </w:p>
        </w:tc>
        <w:tc>
          <w:tcPr>
            <w:tcW w:type="dxa" w:w="147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未知</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核心进入B</w:t>
            </w:r>
          </w:p>
        </w:tc>
      </w:tr>
      <w:tr>
        <w:tc>
          <w:tcPr>
            <w:tcW w:type="dxa" w:w="141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申菱环境</w:t>
              <w:br/>
              <w:t>301018.SZ</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未知</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液冷收入未拆</w:t>
            </w:r>
          </w:p>
        </w:tc>
        <w:tc>
          <w:tcPr>
            <w:tcW w:type="dxa" w:w="147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未知</w:t>
            </w:r>
          </w:p>
        </w:tc>
        <w:tc>
          <w:tcPr>
            <w:tcW w:type="dxa" w:w="147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未知</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核心进入B</w:t>
            </w:r>
          </w:p>
        </w:tc>
      </w:tr>
      <w:tr>
        <w:tc>
          <w:tcPr>
            <w:tcW w:type="dxa" w:w="141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曙光数创</w:t>
              <w:br/>
              <w:t>920808.BJ</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收入增长可见，订单链未知</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产品类别收入已确认</w:t>
            </w:r>
          </w:p>
        </w:tc>
        <w:tc>
          <w:tcPr>
            <w:tcW w:type="dxa" w:w="147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公司利润已知，主题利润未拆</w:t>
            </w:r>
          </w:p>
        </w:tc>
        <w:tc>
          <w:tcPr>
            <w:tcW w:type="dxa" w:w="147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公司现金已知，主题现金未拆</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核心进入B</w:t>
            </w:r>
          </w:p>
        </w:tc>
      </w:tr>
      <w:tr>
        <w:tc>
          <w:tcPr>
            <w:tcW w:type="dxa" w:w="141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中科曙光</w:t>
              <w:br/>
              <w:t>603019.SH</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不得归入</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持股敞口未知</w:t>
            </w:r>
          </w:p>
        </w:tc>
        <w:tc>
          <w:tcPr>
            <w:tcW w:type="dxa" w:w="147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利润归属未知</w:t>
            </w:r>
          </w:p>
        </w:tc>
        <w:tc>
          <w:tcPr>
            <w:tcW w:type="dxa" w:w="147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不适用</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仅核对持股/利润归属</w:t>
            </w:r>
          </w:p>
        </w:tc>
      </w:tr>
      <w:tr>
        <w:tc>
          <w:tcPr>
            <w:tcW w:type="dxa" w:w="141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飞荣达</w:t>
              <w:br/>
              <w:t>300602.SZ</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部分</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汇总业务增长，液冷未拆</w:t>
            </w:r>
          </w:p>
        </w:tc>
        <w:tc>
          <w:tcPr>
            <w:tcW w:type="dxa" w:w="147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主题贡献未知</w:t>
            </w:r>
          </w:p>
        </w:tc>
        <w:tc>
          <w:tcPr>
            <w:tcW w:type="dxa" w:w="147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主题贡献未知</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核心进入B</w:t>
            </w:r>
          </w:p>
        </w:tc>
      </w:tr>
      <w:tr>
        <w:tc>
          <w:tcPr>
            <w:tcW w:type="dxa" w:w="141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佳力图</w:t>
              <w:br/>
              <w:t>603912.SH</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未知</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数据中心业务已知，液冷未拆</w:t>
            </w:r>
          </w:p>
        </w:tc>
        <w:tc>
          <w:tcPr>
            <w:tcW w:type="dxa" w:w="147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主题贡献未知</w:t>
            </w:r>
          </w:p>
        </w:tc>
        <w:tc>
          <w:tcPr>
            <w:tcW w:type="dxa" w:w="147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主题贡献未知</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条件进入：设施侧</w:t>
            </w:r>
          </w:p>
        </w:tc>
      </w:tr>
      <w:tr>
        <w:tc>
          <w:tcPr>
            <w:tcW w:type="dxa" w:w="141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高澜股份</w:t>
              <w:br/>
              <w:t>300499.SZ</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部分</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高功率密度分部，液冷未精确拆分</w:t>
            </w:r>
          </w:p>
        </w:tc>
        <w:tc>
          <w:tcPr>
            <w:tcW w:type="dxa" w:w="147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主题贡献未知</w:t>
            </w:r>
          </w:p>
        </w:tc>
        <w:tc>
          <w:tcPr>
            <w:tcW w:type="dxa" w:w="147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主题贡献未知</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核心进入B</w:t>
            </w:r>
          </w:p>
        </w:tc>
      </w:tr>
      <w:tr>
        <w:tc>
          <w:tcPr>
            <w:tcW w:type="dxa" w:w="141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同飞股份</w:t>
              <w:br/>
              <w:t>300990.SZ</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未知</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液冷收入未拆</w:t>
            </w:r>
          </w:p>
        </w:tc>
        <w:tc>
          <w:tcPr>
            <w:tcW w:type="dxa" w:w="147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未知</w:t>
            </w:r>
          </w:p>
        </w:tc>
        <w:tc>
          <w:tcPr>
            <w:tcW w:type="dxa" w:w="147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未知</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条件进入：先补关系</w:t>
            </w:r>
          </w:p>
        </w:tc>
      </w:tr>
      <w:tr>
        <w:tc>
          <w:tcPr>
            <w:tcW w:type="dxa" w:w="141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荣亿精密</w:t>
              <w:br/>
              <w:t>920223.BJ</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批量交付已披露</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收入已出现，占比仍低</w:t>
            </w:r>
          </w:p>
        </w:tc>
        <w:tc>
          <w:tcPr>
            <w:tcW w:type="dxa" w:w="147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未形成重大业绩贡献</w:t>
            </w:r>
          </w:p>
        </w:tc>
        <w:tc>
          <w:tcPr>
            <w:tcW w:type="dxa" w:w="147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主题贡献未知</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新进入者，核心进入B</w:t>
            </w:r>
          </w:p>
        </w:tc>
      </w:tr>
    </w:tbl>
    <w:p/>
    <w:tbl>
      <w:tblPr>
        <w:tblW w:type="auto" w:w="0"/>
        <w:jc w:val="center"/>
        <w:tblLayout w:type="fixed"/>
        <w:tblLook w:firstColumn="1" w:firstRow="1" w:lastColumn="0" w:lastRow="0" w:noHBand="0" w:noVBand="1" w:val="04A0"/>
      </w:tblPr>
      <w:tblGrid>
        <w:gridCol w:w="10086"/>
      </w:tblGrid>
      <w:tr>
        <w:tc>
          <w:tcPr>
            <w:tcW w:type="dxa" w:w="10086"/>
            <w:shd w:fill="FFF2CC"/>
            <w:tcBorders>
              <w:top w:val="single" w:sz="16" w:color="B8860B"/>
              <w:left w:val="single" w:sz="16" w:color="B8860B"/>
              <w:bottom w:val="single" w:sz="16" w:color="B8860B"/>
              <w:right w:val="single" w:sz="16" w:color="B8860B"/>
            </w:tcBorders>
            <w:tcMar>
              <w:top w:w="120" w:type="dxa"/>
              <w:start w:w="160" w:type="dxa"/>
              <w:bottom w:w="120" w:type="dxa"/>
              <w:end w:w="160" w:type="dxa"/>
            </w:tcMar>
          </w:tcPr>
          <w:p>
            <w:pPr>
              <w:keepNext w:val="0"/>
              <w:spacing w:before="0" w:after="60" w:line="264" w:lineRule="auto"/>
            </w:pPr>
            <w:r/>
            <w:r>
              <w:rPr>
                <w:rFonts w:ascii="Noto Sans CJK SC" w:hAnsi="Noto Sans CJK SC" w:eastAsia="Noto Sans CJK SC"/>
                <w:b/>
                <w:color w:val="B8860B"/>
                <w:sz w:val="20"/>
              </w:rPr>
              <w:t>关系分层的直接后果</w:t>
            </w:r>
          </w:p>
          <w:p>
            <w:pPr>
              <w:keepNext w:val="0"/>
              <w:spacing w:before="0" w:after="0" w:line="276" w:lineRule="auto"/>
            </w:pPr>
            <w:r>
              <w:rPr>
                <w:rFonts w:ascii="Noto Sans CJK SC" w:hAnsi="Noto Sans CJK SC" w:eastAsia="Noto Sans CJK SC"/>
                <w:color w:val="222222"/>
                <w:sz w:val="18"/>
              </w:rPr>
              <w:t>英维克、申菱环境和同飞股份有正式产品能力，不等于已经形成可重复订单；飞荣达、高澜股份和荣亿精密出现批量交付、订单趋势或供应链进入，不等于主题利润已经重要；曙光数创有液冷产品收入，不等于现金质量已经通过。B阶段必须沿这条阶梯继续，而不是把所有公司统一跑一个“液冷得分”。</w:t>
            </w:r>
          </w:p>
        </w:tc>
      </w:tr>
    </w:tbl>
    <w:p/>
    <w:p>
      <w:r>
        <w:br w:type="page"/>
      </w:r>
    </w:p>
    <w:p>
      <w:pPr>
        <w:pStyle w:val="Heading1"/>
      </w:pPr>
      <w:r>
        <w:t>第三部分　三道地基门正式验收</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trPr>
        <w:tc>
          <w:tcPr>
            <w:tcW w:type="dxa" w:w="1361"/>
            <w:vAlign w:val="center"/>
            <w:tcMar>
              <w:top w:w="70" w:type="dxa"/>
              <w:start w:w="70" w:type="dxa"/>
              <w:bottom w:w="70" w:type="dxa"/>
              <w:end w:w="70" w:type="dxa"/>
            </w:tcMar>
            <w:shd w:fill="17365D"/>
          </w:tcPr>
          <w:p>
            <w:pPr>
              <w:keepNext w:val="0"/>
              <w:spacing w:before="0" w:after="0" w:line="252" w:lineRule="auto"/>
              <w:jc w:val="center"/>
            </w:pPr>
            <w:r/>
            <w:r>
              <w:rPr>
                <w:rFonts w:ascii="Noto Sans CJK SC" w:hAnsi="Noto Sans CJK SC" w:eastAsia="Noto Sans CJK SC"/>
                <w:b/>
                <w:color w:val="FFFFFF"/>
                <w:sz w:val="16"/>
              </w:rPr>
              <w:t>地基门</w:t>
            </w:r>
          </w:p>
        </w:tc>
        <w:tc>
          <w:tcPr>
            <w:tcW w:type="dxa" w:w="964"/>
            <w:vAlign w:val="center"/>
            <w:tcMar>
              <w:top w:w="70" w:type="dxa"/>
              <w:start w:w="70" w:type="dxa"/>
              <w:bottom w:w="70" w:type="dxa"/>
              <w:end w:w="70" w:type="dxa"/>
            </w:tcMar>
            <w:shd w:fill="17365D"/>
          </w:tcPr>
          <w:p>
            <w:pPr>
              <w:keepNext w:val="0"/>
              <w:spacing w:before="0" w:after="0" w:line="252" w:lineRule="auto"/>
              <w:jc w:val="center"/>
            </w:pPr>
            <w:r/>
            <w:r>
              <w:rPr>
                <w:rFonts w:ascii="Noto Sans CJK SC" w:hAnsi="Noto Sans CJK SC" w:eastAsia="Noto Sans CJK SC"/>
                <w:b/>
                <w:color w:val="FFFFFF"/>
                <w:sz w:val="16"/>
              </w:rPr>
              <w:t>结论</w:t>
            </w:r>
          </w:p>
        </w:tc>
        <w:tc>
          <w:tcPr>
            <w:tcW w:type="dxa" w:w="2381"/>
            <w:vAlign w:val="center"/>
            <w:tcMar>
              <w:top w:w="70" w:type="dxa"/>
              <w:start w:w="70" w:type="dxa"/>
              <w:bottom w:w="70" w:type="dxa"/>
              <w:end w:w="70" w:type="dxa"/>
            </w:tcMar>
            <w:shd w:fill="17365D"/>
          </w:tcPr>
          <w:p>
            <w:pPr>
              <w:keepNext w:val="0"/>
              <w:spacing w:before="0" w:after="0" w:line="252" w:lineRule="auto"/>
              <w:jc w:val="center"/>
            </w:pPr>
            <w:r/>
            <w:r>
              <w:rPr>
                <w:rFonts w:ascii="Noto Sans CJK SC" w:hAnsi="Noto Sans CJK SC" w:eastAsia="Noto Sans CJK SC"/>
                <w:b/>
                <w:color w:val="FFFFFF"/>
                <w:sz w:val="16"/>
              </w:rPr>
              <w:t>已经通过</w:t>
            </w:r>
          </w:p>
        </w:tc>
        <w:tc>
          <w:tcPr>
            <w:tcW w:type="dxa" w:w="2381"/>
            <w:vAlign w:val="center"/>
            <w:tcMar>
              <w:top w:w="70" w:type="dxa"/>
              <w:start w:w="70" w:type="dxa"/>
              <w:bottom w:w="70" w:type="dxa"/>
              <w:end w:w="70" w:type="dxa"/>
            </w:tcMar>
            <w:shd w:fill="17365D"/>
          </w:tcPr>
          <w:p>
            <w:pPr>
              <w:keepNext w:val="0"/>
              <w:spacing w:before="0" w:after="0" w:line="252" w:lineRule="auto"/>
              <w:jc w:val="center"/>
            </w:pPr>
            <w:r/>
            <w:r>
              <w:rPr>
                <w:rFonts w:ascii="Noto Sans CJK SC" w:hAnsi="Noto Sans CJK SC" w:eastAsia="Noto Sans CJK SC"/>
                <w:b/>
                <w:color w:val="FFFFFF"/>
                <w:sz w:val="16"/>
              </w:rPr>
              <w:t>没有通过</w:t>
            </w:r>
          </w:p>
        </w:tc>
        <w:tc>
          <w:tcPr>
            <w:tcW w:type="dxa" w:w="2381"/>
            <w:vAlign w:val="center"/>
            <w:tcMar>
              <w:top w:w="70" w:type="dxa"/>
              <w:start w:w="70" w:type="dxa"/>
              <w:bottom w:w="70" w:type="dxa"/>
              <w:end w:w="70" w:type="dxa"/>
            </w:tcMar>
            <w:shd w:fill="17365D"/>
          </w:tcPr>
          <w:p>
            <w:pPr>
              <w:keepNext w:val="0"/>
              <w:spacing w:before="0" w:after="0" w:line="252" w:lineRule="auto"/>
              <w:jc w:val="center"/>
            </w:pPr>
            <w:r/>
            <w:r>
              <w:rPr>
                <w:rFonts w:ascii="Noto Sans CJK SC" w:hAnsi="Noto Sans CJK SC" w:eastAsia="Noto Sans CJK SC"/>
                <w:b/>
                <w:color w:val="FFFFFF"/>
                <w:sz w:val="16"/>
              </w:rPr>
              <w:t>处理</w:t>
            </w:r>
          </w:p>
        </w:tc>
      </w:tr>
      <w:tr>
        <w:tc>
          <w:tcPr>
            <w:tcW w:type="dxa" w:w="136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产业链完整性</w:t>
            </w:r>
          </w:p>
        </w:tc>
        <w:tc>
          <w:tcPr>
            <w:tcW w:type="dxa" w:w="96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混合</w:t>
            </w:r>
          </w:p>
        </w:tc>
        <w:tc>
          <w:tcPr>
            <w:tcW w:type="dxa" w:w="238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35节点、七视图、替代/自制/运维均有结构；27节点达到双源且含一级来源。</w:t>
            </w:r>
          </w:p>
        </w:tc>
        <w:tc>
          <w:tcPr>
            <w:tcW w:type="dxa" w:w="238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8节点来源仍部分；没有完成两轮搜索饱和；私有B2B与区域小供应商可能遗漏。</w:t>
            </w:r>
          </w:p>
        </w:tc>
        <w:tc>
          <w:tcPr>
            <w:tcW w:type="dxa" w:w="238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保留全结构；B只查高影响节点，未知继续留账。</w:t>
            </w:r>
          </w:p>
        </w:tc>
      </w:tr>
      <w:tr>
        <w:tc>
          <w:tcPr>
            <w:tcW w:type="dxa" w:w="136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数据可获得性</w:t>
            </w:r>
          </w:p>
        </w:tc>
        <w:tc>
          <w:tcPr>
            <w:tcW w:type="dxa" w:w="96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混合</w:t>
            </w:r>
          </w:p>
        </w:tc>
        <w:tc>
          <w:tcPr>
            <w:tcW w:type="dxa" w:w="238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九个证券身份、三表、财务指标、点时清单可用；公告元数据API可用。</w:t>
            </w:r>
          </w:p>
        </w:tc>
        <w:tc>
          <w:tcPr>
            <w:tcW w:type="dxa" w:w="238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无完整公告正文、历史名称/股权、客户供应、认证/项目和私企主数据；920808历史价格身份未知。</w:t>
            </w:r>
          </w:p>
        </w:tc>
        <w:tc>
          <w:tcPr>
            <w:tcW w:type="dxa" w:w="238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沿用金融仓库，按需读少量原文；unsupported不当零。</w:t>
            </w:r>
          </w:p>
        </w:tc>
      </w:tr>
      <w:tr>
        <w:tc>
          <w:tcPr>
            <w:tcW w:type="dxa" w:w="136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证据可靠性</w:t>
            </w:r>
          </w:p>
        </w:tc>
        <w:tc>
          <w:tcPr>
            <w:tcW w:type="dxa" w:w="96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混合</w:t>
            </w:r>
          </w:p>
        </w:tc>
        <w:tc>
          <w:tcPr>
            <w:tcW w:type="dxa" w:w="238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能力、标准/测试、部分批量交付与订单进展可追溯；7个关键词线索未被自动升级。</w:t>
            </w:r>
          </w:p>
        </w:tc>
        <w:tc>
          <w:tcPr>
            <w:tcW w:type="dxa" w:w="238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命名客户、合同金额、重复交付、节点收入/利润/现金普遍缺失；部分来源需回原文。</w:t>
            </w:r>
          </w:p>
        </w:tc>
        <w:tc>
          <w:tcPr>
            <w:tcW w:type="dxa" w:w="238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只允许窄实体进入B；条件实体先补G2关系。</w:t>
            </w:r>
          </w:p>
        </w:tc>
      </w:tr>
    </w:tbl>
    <w:p/>
    <w:p>
      <w:pPr>
        <w:pStyle w:val="Heading2"/>
      </w:pPr>
      <w:r>
        <w:t>6. 为什么总体不是“缩减”或“阻塞”</w:t>
      </w:r>
    </w:p>
    <w:p>
      <w:pPr>
        <w:pStyle w:val="ListBullet"/>
        <w:keepNext w:val="0"/>
        <w:spacing w:before="0" w:after="40" w:line="264" w:lineRule="auto"/>
      </w:pPr>
      <w:r>
        <w:rPr>
          <w:rFonts w:ascii="Noto Sans CJK SC" w:hAnsi="Noto Sans CJK SC" w:eastAsia="Noto Sans CJK SC"/>
          <w:color w:val="222222"/>
          <w:sz w:val="18"/>
        </w:rPr>
        <w:t>产业结构足以把本地核查对象缩小到精确节点，不需要从A股概念名单反向拼产业链。</w:t>
      </w:r>
    </w:p>
    <w:p>
      <w:pPr>
        <w:pStyle w:val="ListBullet"/>
        <w:keepNext w:val="0"/>
        <w:spacing w:before="0" w:after="40" w:line="264" w:lineRule="auto"/>
      </w:pPr>
      <w:r>
        <w:rPr>
          <w:rFonts w:ascii="Noto Sans CJK SC" w:hAnsi="Noto Sans CJK SC" w:eastAsia="Noto Sans CJK SC"/>
          <w:color w:val="222222"/>
          <w:sz w:val="18"/>
        </w:rPr>
        <w:t>现有仓库已经能够承担证券身份、点时财务、主营、公告元数据、估值和价格的后半段工作。</w:t>
      </w:r>
    </w:p>
    <w:p>
      <w:pPr>
        <w:pStyle w:val="ListBullet"/>
        <w:keepNext w:val="0"/>
        <w:spacing w:before="0" w:after="40" w:line="264" w:lineRule="auto"/>
      </w:pPr>
      <w:r>
        <w:rPr>
          <w:rFonts w:ascii="Noto Sans CJK SC" w:hAnsi="Noto Sans CJK SC" w:eastAsia="Noto Sans CJK SC"/>
          <w:color w:val="222222"/>
          <w:sz w:val="18"/>
        </w:rPr>
        <w:t>至少有少量实体的能力、商业进展或产品收入达到进入B1的最低研究价值。</w:t>
      </w:r>
    </w:p>
    <w:p>
      <w:pPr>
        <w:pStyle w:val="ListBullet"/>
        <w:keepNext w:val="0"/>
        <w:spacing w:before="0" w:after="40" w:line="264" w:lineRule="auto"/>
      </w:pPr>
      <w:r>
        <w:rPr>
          <w:rFonts w:ascii="Noto Sans CJK SC" w:hAnsi="Noto Sans CJK SC" w:eastAsia="Noto Sans CJK SC"/>
          <w:color w:val="222222"/>
          <w:sz w:val="18"/>
        </w:rPr>
        <w:t>关键缺口可以通过“窄合同 + 少量正式原文 + 未知保留”处理，不需要建设全量爬虫或新平台。</w:t>
      </w:r>
    </w:p>
    <w:p>
      <w:pPr>
        <w:pStyle w:val="Heading2"/>
      </w:pPr>
      <w:r>
        <w:t>7. 为什么总体也不是“完全通过”</w:t>
      </w:r>
    </w:p>
    <w:p>
      <w:pPr>
        <w:pStyle w:val="ListBullet"/>
        <w:keepNext w:val="0"/>
        <w:spacing w:before="0" w:after="40" w:line="264" w:lineRule="auto"/>
      </w:pPr>
      <w:r>
        <w:rPr>
          <w:rFonts w:ascii="Noto Sans CJK SC" w:hAnsi="Noto Sans CJK SC" w:eastAsia="Noto Sans CJK SC"/>
          <w:color w:val="222222"/>
          <w:sz w:val="18"/>
        </w:rPr>
        <w:t>没有完成所有关键节点和关系的双源/一级来源闭合，也没有证明搜索饱和。</w:t>
      </w:r>
    </w:p>
    <w:p>
      <w:pPr>
        <w:pStyle w:val="ListBullet"/>
        <w:keepNext w:val="0"/>
        <w:spacing w:before="0" w:after="40" w:line="264" w:lineRule="auto"/>
      </w:pPr>
      <w:r>
        <w:rPr>
          <w:rFonts w:ascii="Noto Sans CJK SC" w:hAnsi="Noto Sans CJK SC" w:eastAsia="Noto Sans CJK SC"/>
          <w:color w:val="222222"/>
          <w:sz w:val="18"/>
        </w:rPr>
        <w:t>本地数据对客户—供应商、非上市实体和公告正文覆盖不足，无法自动确认公司关系。</w:t>
      </w:r>
    </w:p>
    <w:p>
      <w:pPr>
        <w:pStyle w:val="ListBullet"/>
        <w:keepNext w:val="0"/>
        <w:spacing w:before="0" w:after="40" w:line="264" w:lineRule="auto"/>
      </w:pPr>
      <w:r>
        <w:rPr>
          <w:rFonts w:ascii="Noto Sans CJK SC" w:hAnsi="Noto Sans CJK SC" w:eastAsia="Noto Sans CJK SC"/>
          <w:color w:val="222222"/>
          <w:sz w:val="18"/>
        </w:rPr>
        <w:t>多数上市实体的液冷收入、毛利、利润和现金没有独立分拆。</w:t>
      </w:r>
    </w:p>
    <w:p>
      <w:pPr>
        <w:pStyle w:val="ListBullet"/>
        <w:keepNext w:val="0"/>
        <w:spacing w:before="0" w:after="40" w:line="264" w:lineRule="auto"/>
      </w:pPr>
      <w:r>
        <w:rPr>
          <w:rFonts w:ascii="Noto Sans CJK SC" w:hAnsi="Noto Sans CJK SC" w:eastAsia="Noto Sans CJK SC"/>
          <w:color w:val="222222"/>
          <w:sz w:val="18"/>
        </w:rPr>
        <w:t>当前产品页和二手年报摘要仍需按点时和原文规则复核。</w:t>
      </w:r>
    </w:p>
    <w:tbl>
      <w:tblPr>
        <w:tblW w:type="auto" w:w="0"/>
        <w:jc w:val="center"/>
        <w:tblLayout w:type="fixed"/>
        <w:tblLook w:firstColumn="1" w:firstRow="1" w:lastColumn="0" w:lastRow="0" w:noHBand="0" w:noVBand="1" w:val="04A0"/>
      </w:tblPr>
      <w:tblGrid>
        <w:gridCol w:w="10086"/>
      </w:tblGrid>
      <w:tr>
        <w:tc>
          <w:tcPr>
            <w:tcW w:type="dxa" w:w="10086"/>
            <w:shd w:fill="E2F0D9"/>
            <w:tcBorders>
              <w:top w:val="single" w:sz="16" w:color="2E7D32"/>
              <w:left w:val="single" w:sz="16" w:color="2E7D32"/>
              <w:bottom w:val="single" w:sz="16" w:color="2E7D32"/>
              <w:right w:val="single" w:sz="16" w:color="2E7D32"/>
            </w:tcBorders>
            <w:tcMar>
              <w:top w:w="120" w:type="dxa"/>
              <w:start w:w="160" w:type="dxa"/>
              <w:bottom w:w="120" w:type="dxa"/>
              <w:end w:w="160" w:type="dxa"/>
            </w:tcMar>
          </w:tcPr>
          <w:p>
            <w:pPr>
              <w:keepNext w:val="0"/>
              <w:spacing w:before="0" w:after="60" w:line="264" w:lineRule="auto"/>
            </w:pPr>
            <w:r/>
            <w:r>
              <w:rPr>
                <w:rFonts w:ascii="Noto Sans CJK SC" w:hAnsi="Noto Sans CJK SC" w:eastAsia="Noto Sans CJK SC"/>
                <w:b/>
                <w:color w:val="2E7D32"/>
                <w:sz w:val="20"/>
              </w:rPr>
              <w:t>A阶段正式路线</w:t>
            </w:r>
          </w:p>
          <w:p>
            <w:pPr>
              <w:keepNext w:val="0"/>
              <w:spacing w:before="0" w:after="0" w:line="276" w:lineRule="auto"/>
            </w:pPr>
            <w:r>
              <w:rPr>
                <w:rFonts w:ascii="Noto Sans CJK SC" w:hAnsi="Noto Sans CJK SC" w:eastAsia="Noto Sans CJK SC"/>
                <w:color w:val="222222"/>
                <w:sz w:val="18"/>
              </w:rPr>
              <w:t>混合通过：缩小范围后进入B：允许进入B1，但B1必须先由ChatGPT把实体、业务模式、数据集、字段、公式、替代口径和禁止推断写成窄合同；Codex不能直接对全部液冷线索运行财务、估值或价格比较。</w:t>
            </w:r>
          </w:p>
        </w:tc>
      </w:tr>
    </w:tbl>
    <w:p/>
    <w:p>
      <w:r>
        <w:br w:type="page"/>
      </w:r>
    </w:p>
    <w:p>
      <w:pPr>
        <w:pStyle w:val="Heading1"/>
      </w:pPr>
      <w:r>
        <w:t>第四部分　实体最终处置：进入B、条件进入、排除与未知</w:t>
      </w:r>
    </w:p>
    <w:p>
      <w:pPr>
        <w:pStyle w:val="Heading2"/>
      </w:pPr>
      <w:r>
        <w:t>8. 六个核心进入B的经营实体</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trPr>
        <w:tc>
          <w:tcPr>
            <w:tcW w:type="dxa" w:w="1417"/>
            <w:vAlign w:val="center"/>
            <w:tcMar>
              <w:top w:w="70" w:type="dxa"/>
              <w:start w:w="70" w:type="dxa"/>
              <w:bottom w:w="70" w:type="dxa"/>
              <w:end w:w="70" w:type="dxa"/>
            </w:tcMar>
            <w:shd w:fill="2E7D32"/>
          </w:tcPr>
          <w:p>
            <w:pPr>
              <w:keepNext w:val="0"/>
              <w:spacing w:before="0" w:after="0" w:line="252" w:lineRule="auto"/>
              <w:jc w:val="center"/>
            </w:pPr>
            <w:r/>
            <w:r>
              <w:rPr>
                <w:rFonts w:ascii="Noto Sans CJK SC" w:hAnsi="Noto Sans CJK SC" w:eastAsia="Noto Sans CJK SC"/>
                <w:b/>
                <w:color w:val="FFFFFF"/>
                <w:sz w:val="16"/>
              </w:rPr>
              <w:t>实体</w:t>
            </w:r>
          </w:p>
        </w:tc>
        <w:tc>
          <w:tcPr>
            <w:tcW w:type="dxa" w:w="1814"/>
            <w:vAlign w:val="center"/>
            <w:tcMar>
              <w:top w:w="70" w:type="dxa"/>
              <w:start w:w="70" w:type="dxa"/>
              <w:bottom w:w="70" w:type="dxa"/>
              <w:end w:w="70" w:type="dxa"/>
            </w:tcMar>
            <w:shd w:fill="2E7D32"/>
          </w:tcPr>
          <w:p>
            <w:pPr>
              <w:keepNext w:val="0"/>
              <w:spacing w:before="0" w:after="0" w:line="252" w:lineRule="auto"/>
              <w:jc w:val="center"/>
            </w:pPr>
            <w:r/>
            <w:r>
              <w:rPr>
                <w:rFonts w:ascii="Noto Sans CJK SC" w:hAnsi="Noto Sans CJK SC" w:eastAsia="Noto Sans CJK SC"/>
                <w:b/>
                <w:color w:val="FFFFFF"/>
                <w:sz w:val="16"/>
              </w:rPr>
              <w:t>角色</w:t>
            </w:r>
          </w:p>
        </w:tc>
        <w:tc>
          <w:tcPr>
            <w:tcW w:type="dxa" w:w="2268"/>
            <w:vAlign w:val="center"/>
            <w:tcMar>
              <w:top w:w="70" w:type="dxa"/>
              <w:start w:w="70" w:type="dxa"/>
              <w:bottom w:w="70" w:type="dxa"/>
              <w:end w:w="70" w:type="dxa"/>
            </w:tcMar>
            <w:shd w:fill="2E7D32"/>
          </w:tcPr>
          <w:p>
            <w:pPr>
              <w:keepNext w:val="0"/>
              <w:spacing w:before="0" w:after="0" w:line="252" w:lineRule="auto"/>
              <w:jc w:val="center"/>
            </w:pPr>
            <w:r/>
            <w:r>
              <w:rPr>
                <w:rFonts w:ascii="Noto Sans CJK SC" w:hAnsi="Noto Sans CJK SC" w:eastAsia="Noto Sans CJK SC"/>
                <w:b/>
                <w:color w:val="FFFFFF"/>
                <w:sz w:val="16"/>
              </w:rPr>
              <w:t>精确节点</w:t>
            </w:r>
          </w:p>
        </w:tc>
        <w:tc>
          <w:tcPr>
            <w:tcW w:type="dxa" w:w="2381"/>
            <w:vAlign w:val="center"/>
            <w:tcMar>
              <w:top w:w="70" w:type="dxa"/>
              <w:start w:w="70" w:type="dxa"/>
              <w:bottom w:w="70" w:type="dxa"/>
              <w:end w:w="70" w:type="dxa"/>
            </w:tcMar>
            <w:shd w:fill="2E7D32"/>
          </w:tcPr>
          <w:p>
            <w:pPr>
              <w:keepNext w:val="0"/>
              <w:spacing w:before="0" w:after="0" w:line="252" w:lineRule="auto"/>
              <w:jc w:val="center"/>
            </w:pPr>
            <w:r/>
            <w:r>
              <w:rPr>
                <w:rFonts w:ascii="Noto Sans CJK SC" w:hAnsi="Noto Sans CJK SC" w:eastAsia="Noto Sans CJK SC"/>
                <w:b/>
                <w:color w:val="FFFFFF"/>
                <w:sz w:val="16"/>
              </w:rPr>
              <w:t>最强支持</w:t>
            </w:r>
          </w:p>
        </w:tc>
        <w:tc>
          <w:tcPr>
            <w:tcW w:type="dxa" w:w="2381"/>
            <w:vAlign w:val="center"/>
            <w:tcMar>
              <w:top w:w="70" w:type="dxa"/>
              <w:start w:w="70" w:type="dxa"/>
              <w:bottom w:w="70" w:type="dxa"/>
              <w:end w:w="70" w:type="dxa"/>
            </w:tcMar>
            <w:shd w:fill="2E7D32"/>
          </w:tcPr>
          <w:p>
            <w:pPr>
              <w:keepNext w:val="0"/>
              <w:spacing w:before="0" w:after="0" w:line="252" w:lineRule="auto"/>
              <w:jc w:val="center"/>
            </w:pPr>
            <w:r/>
            <w:r>
              <w:rPr>
                <w:rFonts w:ascii="Noto Sans CJK SC" w:hAnsi="Noto Sans CJK SC" w:eastAsia="Noto Sans CJK SC"/>
                <w:b/>
                <w:color w:val="FFFFFF"/>
                <w:sz w:val="16"/>
              </w:rPr>
              <w:t>最强反证</w:t>
            </w:r>
          </w:p>
        </w:tc>
      </w:tr>
      <w:tr>
        <w:tc>
          <w:tcPr>
            <w:tcW w:type="dxa" w:w="141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英维克</w:t>
              <w:br/>
              <w:t>002837.SZ</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液冷系统与部件供应商</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服务器内管路与快速接头/盲插接头、机架歧管/供回液分配、流量/压力/温度/水质/漏液传感、冷却液分配单元CDU、单相水/乙二醇/丙二醇冷却液、BMS/DCIM/遥测与控制接口、预制管路、skid与模块化交付</w:t>
            </w:r>
          </w:p>
        </w:tc>
        <w:tc>
          <w:tcPr>
            <w:tcW w:type="dxa" w:w="238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公司正式资料显示具备面向数据中心的全链条液冷产品、工质检测与多平台冷板系统验证能力。</w:t>
            </w:r>
          </w:p>
        </w:tc>
        <w:tc>
          <w:tcPr>
            <w:tcW w:type="dxa" w:w="238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正式资料仍未把液冷客户、订单、重复交付、收入、利润和现金按数据中心场景拆分；储能液冷不能外推为AI数据中心液冷。</w:t>
            </w:r>
          </w:p>
        </w:tc>
      </w:tr>
      <w:tr>
        <w:tc>
          <w:tcPr>
            <w:tcW w:type="dxa" w:w="141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申菱环境</w:t>
              <w:br/>
              <w:t>301018.SZ</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CDU、一次/二次侧输配、系统集成与设施冷源</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机架歧管/供回液分配、冷却液分配单元CDU、设施水环/一次侧管网、最终排热：干冷器/冷机/冷却塔、BMS/DCIM/遥测与控制接口、预制管路、skid与模块化交付、系统设计、集成、机房改造与调试</w:t>
            </w:r>
          </w:p>
        </w:tc>
        <w:tc>
          <w:tcPr>
            <w:tcW w:type="dxa" w:w="238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公司正式资料显示CDU覆盖AI/智算场景，并参与冷板式液冷测试验证白皮书和工程标准，披露过超算、海外数据中心及运营商项目应用。</w:t>
            </w:r>
          </w:p>
        </w:tc>
        <w:tc>
          <w:tcPr>
            <w:tcW w:type="dxa" w:w="238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产品页和项目案例不能替代可回放的客户合同、订单金额、重复交付、液冷收入和利润拆分。</w:t>
            </w:r>
          </w:p>
        </w:tc>
      </w:tr>
      <w:tr>
        <w:tc>
          <w:tcPr>
            <w:tcW w:type="dxa" w:w="141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曙光数创</w:t>
              <w:br/>
              <w:t>920808.BJ</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冷板/浸没液冷数据中心基础设施、系统集成与服务</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导热界面材料与芯片—冷板接触界面、冷板、服务器内管路与快速接头/盲插接头、机架歧管/供回液分配、冷却液分配单元CDU、单相浸没槽/系统、系统设计、集成、机房改造与调试、液到气局部闭环/风液混合、单相浸没路线</w:t>
            </w:r>
          </w:p>
        </w:tc>
        <w:tc>
          <w:tcPr>
            <w:tcW w:type="dxa" w:w="238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本地主营分项和2025年报摘要均表明其直接经营冷板、浸没液冷及模块化数据中心产品，并以项目验收确认收入。</w:t>
            </w:r>
          </w:p>
        </w:tc>
        <w:tc>
          <w:tcPr>
            <w:tcW w:type="dxa" w:w="238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客户、供应商、订单与产品线毛利未公开；公司层经营现金流与存货压力需要B阶段按点时口径核对。</w:t>
            </w:r>
          </w:p>
        </w:tc>
      </w:tr>
      <w:tr>
        <w:tc>
          <w:tcPr>
            <w:tcW w:type="dxa" w:w="141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飞荣达</w:t>
              <w:br/>
              <w:t>300602.SZ</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TIM、冷板、流量控制、CDU、快接及液冷机箱/机柜</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导热界面材料与芯片—冷板接触界面、冷板、服务器内管路与快速接头/盲插接头、冷却液分配单元CDU、精密加工与微通道制造、钎焊/焊接/密封与表面处理</w:t>
            </w:r>
          </w:p>
        </w:tc>
        <w:tc>
          <w:tcPr>
            <w:tcW w:type="dxa" w:w="238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公司披露服务器/数据中心液冷产品矩阵，多类产品已批量交付，订单量与相关营业收入增长。</w:t>
            </w:r>
          </w:p>
        </w:tc>
        <w:tc>
          <w:tcPr>
            <w:tcW w:type="dxa" w:w="238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披露为汇总口径，客户、产品线收入、毛利、订单金额和现金贡献没有分拆，且公司业务跨消费电子、通信、汽车和储能。</w:t>
            </w:r>
          </w:p>
        </w:tc>
      </w:tr>
      <w:tr>
        <w:tc>
          <w:tcPr>
            <w:tcW w:type="dxa" w:w="141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高澜股份</w:t>
              <w:br/>
              <w:t>300499.SZ</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数据中心液冷系统与热管理项目</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冷却液分配单元CDU、系统设计、集成、机房改造与调试、单相浸没路线</w:t>
            </w:r>
          </w:p>
        </w:tc>
        <w:tc>
          <w:tcPr>
            <w:tcW w:type="dxa" w:w="238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2026年8月公司公告披露数据中心液冷客户结构、运营商/海外进展和在手订单增长，半年报摘要亦称算力中心液冷项目批量落地。</w:t>
            </w:r>
          </w:p>
        </w:tc>
        <w:tc>
          <w:tcPr>
            <w:tcW w:type="dxa" w:w="238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未披露客户名称、订单金额和节点级收入；高功率密度装置同时包含其他业务，且经营现金流需要单独审查。</w:t>
            </w:r>
          </w:p>
        </w:tc>
      </w:tr>
      <w:tr>
        <w:tc>
          <w:tcPr>
            <w:tcW w:type="dxa" w:w="141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荣亿精密</w:t>
              <w:br/>
              <w:t>920223.BJ</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服务器液冷快速接头金属外壳及精密结构件</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服务器内管路与快速接头/盲插接头、精密加工与微通道制造、钎焊/焊接/密封与表面处理、泄漏/压力/流量/热性能/腐蚀/寿命测试</w:t>
            </w:r>
          </w:p>
        </w:tc>
        <w:tc>
          <w:tcPr>
            <w:tcW w:type="dxa" w:w="238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2025年报公开摘要称服务器液冷快接零部件实现量产、进入供应链并完成批量交付；同时已公告1亿元扩产项目。</w:t>
            </w:r>
          </w:p>
        </w:tc>
        <w:tc>
          <w:tcPr>
            <w:tcW w:type="dxa" w:w="238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该业务仍处导入与爬坡阶段，收入和订单占比低、未形成重大业绩贡献；客户、单价、良率、现金回收和项目投产进度仍需核查。</w:t>
            </w:r>
          </w:p>
        </w:tc>
      </w:tr>
    </w:tbl>
    <w:p/>
    <w:p>
      <w:pPr>
        <w:pStyle w:val="Heading2"/>
      </w:pPr>
      <w:r>
        <w:t>9. 条件进入与持股背景</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trPr>
        <w:tc>
          <w:tcPr>
            <w:tcW w:type="dxa" w:w="1417"/>
            <w:vAlign w:val="center"/>
            <w:tcMar>
              <w:top w:w="70" w:type="dxa"/>
              <w:start w:w="70" w:type="dxa"/>
              <w:bottom w:w="70" w:type="dxa"/>
              <w:end w:w="70" w:type="dxa"/>
            </w:tcMar>
            <w:shd w:fill="0F6B78"/>
          </w:tcPr>
          <w:p>
            <w:pPr>
              <w:keepNext w:val="0"/>
              <w:spacing w:before="0" w:after="0" w:line="252" w:lineRule="auto"/>
              <w:jc w:val="center"/>
            </w:pPr>
            <w:r/>
            <w:r>
              <w:rPr>
                <w:rFonts w:ascii="Noto Sans CJK SC" w:hAnsi="Noto Sans CJK SC" w:eastAsia="Noto Sans CJK SC"/>
                <w:b/>
                <w:color w:val="FFFFFF"/>
                <w:sz w:val="16"/>
              </w:rPr>
              <w:t>实体</w:t>
            </w:r>
          </w:p>
        </w:tc>
        <w:tc>
          <w:tcPr>
            <w:tcW w:type="dxa" w:w="1871"/>
            <w:vAlign w:val="center"/>
            <w:tcMar>
              <w:top w:w="70" w:type="dxa"/>
              <w:start w:w="70" w:type="dxa"/>
              <w:bottom w:w="70" w:type="dxa"/>
              <w:end w:w="70" w:type="dxa"/>
            </w:tcMar>
            <w:shd w:fill="0F6B78"/>
          </w:tcPr>
          <w:p>
            <w:pPr>
              <w:keepNext w:val="0"/>
              <w:spacing w:before="0" w:after="0" w:line="252" w:lineRule="auto"/>
              <w:jc w:val="center"/>
            </w:pPr>
            <w:r/>
            <w:r>
              <w:rPr>
                <w:rFonts w:ascii="Noto Sans CJK SC" w:hAnsi="Noto Sans CJK SC" w:eastAsia="Noto Sans CJK SC"/>
                <w:b/>
                <w:color w:val="FFFFFF"/>
                <w:sz w:val="16"/>
              </w:rPr>
              <w:t>处理</w:t>
            </w:r>
          </w:p>
        </w:tc>
        <w:tc>
          <w:tcPr>
            <w:tcW w:type="dxa" w:w="1984"/>
            <w:vAlign w:val="center"/>
            <w:tcMar>
              <w:top w:w="70" w:type="dxa"/>
              <w:start w:w="70" w:type="dxa"/>
              <w:bottom w:w="70" w:type="dxa"/>
              <w:end w:w="70" w:type="dxa"/>
            </w:tcMar>
            <w:shd w:fill="0F6B78"/>
          </w:tcPr>
          <w:p>
            <w:pPr>
              <w:keepNext w:val="0"/>
              <w:spacing w:before="0" w:after="0" w:line="252" w:lineRule="auto"/>
              <w:jc w:val="center"/>
            </w:pPr>
            <w:r/>
            <w:r>
              <w:rPr>
                <w:rFonts w:ascii="Noto Sans CJK SC" w:hAnsi="Noto Sans CJK SC" w:eastAsia="Noto Sans CJK SC"/>
                <w:b/>
                <w:color w:val="FFFFFF"/>
                <w:sz w:val="16"/>
              </w:rPr>
              <w:t>角色</w:t>
            </w:r>
          </w:p>
        </w:tc>
        <w:tc>
          <w:tcPr>
            <w:tcW w:type="dxa" w:w="2268"/>
            <w:vAlign w:val="center"/>
            <w:tcMar>
              <w:top w:w="70" w:type="dxa"/>
              <w:start w:w="70" w:type="dxa"/>
              <w:bottom w:w="70" w:type="dxa"/>
              <w:end w:w="70" w:type="dxa"/>
            </w:tcMar>
            <w:shd w:fill="0F6B78"/>
          </w:tcPr>
          <w:p>
            <w:pPr>
              <w:keepNext w:val="0"/>
              <w:spacing w:before="0" w:after="0" w:line="252" w:lineRule="auto"/>
              <w:jc w:val="center"/>
            </w:pPr>
            <w:r/>
            <w:r>
              <w:rPr>
                <w:rFonts w:ascii="Noto Sans CJK SC" w:hAnsi="Noto Sans CJK SC" w:eastAsia="Noto Sans CJK SC"/>
                <w:b/>
                <w:color w:val="FFFFFF"/>
                <w:sz w:val="16"/>
              </w:rPr>
              <w:t>允许核查</w:t>
            </w:r>
          </w:p>
        </w:tc>
        <w:tc>
          <w:tcPr>
            <w:tcW w:type="dxa" w:w="2268"/>
            <w:vAlign w:val="center"/>
            <w:tcMar>
              <w:top w:w="70" w:type="dxa"/>
              <w:start w:w="70" w:type="dxa"/>
              <w:bottom w:w="70" w:type="dxa"/>
              <w:end w:w="70" w:type="dxa"/>
            </w:tcMar>
            <w:shd w:fill="0F6B78"/>
          </w:tcPr>
          <w:p>
            <w:pPr>
              <w:keepNext w:val="0"/>
              <w:spacing w:before="0" w:after="0" w:line="252" w:lineRule="auto"/>
              <w:jc w:val="center"/>
            </w:pPr>
            <w:r/>
            <w:r>
              <w:rPr>
                <w:rFonts w:ascii="Noto Sans CJK SC" w:hAnsi="Noto Sans CJK SC" w:eastAsia="Noto Sans CJK SC"/>
                <w:b/>
                <w:color w:val="FFFFFF"/>
                <w:sz w:val="16"/>
              </w:rPr>
              <w:t>禁止外推</w:t>
            </w:r>
          </w:p>
        </w:tc>
      </w:tr>
      <w:tr>
        <w:tc>
          <w:tcPr>
            <w:tcW w:type="dxa" w:w="141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中科曙光</w:t>
              <w:br/>
              <w:t>603019.SH</w:t>
            </w:r>
          </w:p>
        </w:tc>
        <w:tc>
          <w:tcPr>
            <w:tcW w:type="dxa" w:w="187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仅核对持股/利润归属</w:t>
            </w:r>
          </w:p>
        </w:tc>
        <w:tc>
          <w:tcPr>
            <w:tcW w:type="dxa" w:w="198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曙光数创控股/集团关系与利润归属核查对象</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2025年报摘要将曙光数创表述为中科曙光控股子公司。</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不能把920808的产品、收入和订单直接归入603019；持股比例、控制有效期、合并口径和利润归属需要正式年报股权表核验。</w:t>
            </w:r>
          </w:p>
        </w:tc>
      </w:tr>
      <w:tr>
        <w:tc>
          <w:tcPr>
            <w:tcW w:type="dxa" w:w="141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佳力图</w:t>
              <w:br/>
              <w:t>603912.SH</w:t>
            </w:r>
          </w:p>
        </w:tc>
        <w:tc>
          <w:tcPr>
            <w:tcW w:type="dxa" w:w="187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条件进入：设施侧</w:t>
            </w:r>
          </w:p>
        </w:tc>
        <w:tc>
          <w:tcPr>
            <w:tcW w:type="dxa" w:w="198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设施侧冷源、风液混合、数据中心温控与改造</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公司身份和数据中心设施侧温控业务明确，属于液冷系统外围设施水环、最终排热和存量改造的重要对照。</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A1/A2没有形成冷板、UQD或CDU等直接液路硬证据，不能与直接液冷部件商放在同一业务模板。</w:t>
            </w:r>
          </w:p>
        </w:tc>
      </w:tr>
      <w:tr>
        <w:tc>
          <w:tcPr>
            <w:tcW w:type="dxa" w:w="141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同飞股份</w:t>
              <w:br/>
              <w:t>300990.SZ</w:t>
            </w:r>
          </w:p>
        </w:tc>
        <w:tc>
          <w:tcPr>
            <w:tcW w:type="dxa" w:w="187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条件进入：先补关系</w:t>
            </w:r>
          </w:p>
        </w:tc>
        <w:tc>
          <w:tcPr>
            <w:tcW w:type="dxa" w:w="198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数据中心液冷全链条产品与系统方案</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公司来源材料列出液冷机柜、CDU、Manifold、浸没箱体、预制管路和室外冷源等完整产品矩阵。</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展会/公司宣传只能证明能力与产品，不能证明客户、订单、重复交付、收入、利润和现金。</w:t>
            </w:r>
          </w:p>
        </w:tc>
      </w:tr>
    </w:tbl>
    <w:p/>
    <w:p>
      <w:pPr>
        <w:pStyle w:val="Heading2"/>
      </w:pPr>
      <w:r>
        <w:t>10. A2关键词线索的最终处理</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trPr>
        <w:tc>
          <w:tcPr>
            <w:tcW w:type="dxa" w:w="1417"/>
            <w:vAlign w:val="center"/>
            <w:tcMar>
              <w:top w:w="70" w:type="dxa"/>
              <w:start w:w="70" w:type="dxa"/>
              <w:bottom w:w="70" w:type="dxa"/>
              <w:end w:w="70" w:type="dxa"/>
            </w:tcMar>
            <w:shd w:fill="B8860B"/>
          </w:tcPr>
          <w:p>
            <w:pPr>
              <w:keepNext w:val="0"/>
              <w:spacing w:before="0" w:after="0" w:line="252" w:lineRule="auto"/>
              <w:jc w:val="center"/>
            </w:pPr>
            <w:r/>
            <w:r>
              <w:rPr>
                <w:rFonts w:ascii="Noto Sans CJK SC" w:hAnsi="Noto Sans CJK SC" w:eastAsia="Noto Sans CJK SC"/>
                <w:b/>
                <w:color w:val="FFFFFF"/>
                <w:sz w:val="16"/>
              </w:rPr>
              <w:t>实体</w:t>
            </w:r>
          </w:p>
        </w:tc>
        <w:tc>
          <w:tcPr>
            <w:tcW w:type="dxa" w:w="1134"/>
            <w:vAlign w:val="center"/>
            <w:tcMar>
              <w:top w:w="70" w:type="dxa"/>
              <w:start w:w="70" w:type="dxa"/>
              <w:bottom w:w="70" w:type="dxa"/>
              <w:end w:w="70" w:type="dxa"/>
            </w:tcMar>
            <w:shd w:fill="B8860B"/>
          </w:tcPr>
          <w:p>
            <w:pPr>
              <w:keepNext w:val="0"/>
              <w:spacing w:before="0" w:after="0" w:line="252" w:lineRule="auto"/>
              <w:jc w:val="center"/>
            </w:pPr>
            <w:r/>
            <w:r>
              <w:rPr>
                <w:rFonts w:ascii="Noto Sans CJK SC" w:hAnsi="Noto Sans CJK SC" w:eastAsia="Noto Sans CJK SC"/>
                <w:b/>
                <w:color w:val="FFFFFF"/>
                <w:sz w:val="16"/>
              </w:rPr>
              <w:t>命中节点</w:t>
            </w:r>
          </w:p>
        </w:tc>
        <w:tc>
          <w:tcPr>
            <w:tcW w:type="dxa" w:w="1814"/>
            <w:vAlign w:val="center"/>
            <w:tcMar>
              <w:top w:w="70" w:type="dxa"/>
              <w:start w:w="70" w:type="dxa"/>
              <w:bottom w:w="70" w:type="dxa"/>
              <w:end w:w="70" w:type="dxa"/>
            </w:tcMar>
            <w:shd w:fill="B8860B"/>
          </w:tcPr>
          <w:p>
            <w:pPr>
              <w:keepNext w:val="0"/>
              <w:spacing w:before="0" w:after="0" w:line="252" w:lineRule="auto"/>
              <w:jc w:val="center"/>
            </w:pPr>
            <w:r/>
            <w:r>
              <w:rPr>
                <w:rFonts w:ascii="Noto Sans CJK SC" w:hAnsi="Noto Sans CJK SC" w:eastAsia="Noto Sans CJK SC"/>
                <w:b/>
                <w:color w:val="FFFFFF"/>
                <w:sz w:val="16"/>
              </w:rPr>
              <w:t>A3处理</w:t>
            </w:r>
          </w:p>
        </w:tc>
        <w:tc>
          <w:tcPr>
            <w:tcW w:type="dxa" w:w="2835"/>
            <w:vAlign w:val="center"/>
            <w:tcMar>
              <w:top w:w="70" w:type="dxa"/>
              <w:start w:w="70" w:type="dxa"/>
              <w:bottom w:w="70" w:type="dxa"/>
              <w:end w:w="70" w:type="dxa"/>
            </w:tcMar>
            <w:shd w:fill="B8860B"/>
          </w:tcPr>
          <w:p>
            <w:pPr>
              <w:keepNext w:val="0"/>
              <w:spacing w:before="0" w:after="0" w:line="252" w:lineRule="auto"/>
              <w:jc w:val="center"/>
            </w:pPr>
            <w:r/>
            <w:r>
              <w:rPr>
                <w:rFonts w:ascii="Noto Sans CJK SC" w:hAnsi="Noto Sans CJK SC" w:eastAsia="Noto Sans CJK SC"/>
                <w:b/>
                <w:color w:val="FFFFFF"/>
                <w:sz w:val="16"/>
              </w:rPr>
              <w:t>原因</w:t>
            </w:r>
          </w:p>
        </w:tc>
        <w:tc>
          <w:tcPr>
            <w:tcW w:type="dxa" w:w="2381"/>
            <w:vAlign w:val="center"/>
            <w:tcMar>
              <w:top w:w="70" w:type="dxa"/>
              <w:start w:w="70" w:type="dxa"/>
              <w:bottom w:w="70" w:type="dxa"/>
              <w:end w:w="70" w:type="dxa"/>
            </w:tcMar>
            <w:shd w:fill="B8860B"/>
          </w:tcPr>
          <w:p>
            <w:pPr>
              <w:keepNext w:val="0"/>
              <w:spacing w:before="0" w:after="0" w:line="252" w:lineRule="auto"/>
              <w:jc w:val="center"/>
            </w:pPr>
            <w:r/>
            <w:r>
              <w:rPr>
                <w:rFonts w:ascii="Noto Sans CJK SC" w:hAnsi="Noto Sans CJK SC" w:eastAsia="Noto Sans CJK SC"/>
                <w:b/>
                <w:color w:val="FFFFFF"/>
                <w:sz w:val="16"/>
              </w:rPr>
              <w:t>以后怎样升级</w:t>
            </w:r>
          </w:p>
        </w:tc>
      </w:tr>
      <w:tr>
        <w:tc>
          <w:tcPr>
            <w:tcW w:type="dxa" w:w="141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飞龙股份</w:t>
              <w:br/>
              <w:t>002536.SZ</w:t>
            </w:r>
          </w:p>
        </w:tc>
        <w:tc>
          <w:tcPr>
            <w:tcW w:type="dxa" w:w="113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N05</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排除：语义错配</w:t>
            </w:r>
          </w:p>
        </w:tc>
        <w:tc>
          <w:tcPr>
            <w:tcW w:type="dxa" w:w="2835"/>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命中的是汽车发动机进排气歧管，不是机架液冷供回液歧管。</w:t>
            </w:r>
          </w:p>
        </w:tc>
        <w:tc>
          <w:tcPr>
            <w:tcW w:type="dxa" w:w="238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只有出现数据中心液冷产品规格、客户/认证或正式项目证据时重启。</w:t>
            </w:r>
          </w:p>
        </w:tc>
      </w:tr>
      <w:tr>
        <w:tc>
          <w:tcPr>
            <w:tcW w:type="dxa" w:w="141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万得凯</w:t>
              <w:br/>
              <w:t>301309.SZ</w:t>
            </w:r>
          </w:p>
        </w:tc>
        <w:tc>
          <w:tcPr>
            <w:tcW w:type="dxa" w:w="113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N04</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排除：语义错配</w:t>
            </w:r>
          </w:p>
        </w:tc>
        <w:tc>
          <w:tcPr>
            <w:tcW w:type="dxa" w:w="2835"/>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命中通用水管快速接头，没有服务器液冷材料、压力、盲插、洁净度和客户认证语境。</w:t>
            </w:r>
          </w:p>
        </w:tc>
        <w:tc>
          <w:tcPr>
            <w:tcW w:type="dxa" w:w="238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需数据中心液冷规格与客户验证。</w:t>
            </w:r>
          </w:p>
        </w:tc>
      </w:tr>
      <w:tr>
        <w:tc>
          <w:tcPr>
            <w:tcW w:type="dxa" w:w="141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溯联股份</w:t>
              <w:br/>
              <w:t>301397.SZ</w:t>
            </w:r>
          </w:p>
        </w:tc>
        <w:tc>
          <w:tcPr>
            <w:tcW w:type="dxa" w:w="113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N04</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排除：语义错配</w:t>
            </w:r>
          </w:p>
        </w:tc>
        <w:tc>
          <w:tcPr>
            <w:tcW w:type="dxa" w:w="2835"/>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命中汽车流体管路和塑料快接，不能外推服务器液冷。</w:t>
            </w:r>
          </w:p>
        </w:tc>
        <w:tc>
          <w:tcPr>
            <w:tcW w:type="dxa" w:w="238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需数据中心液冷规格与正式客户证据。</w:t>
            </w:r>
          </w:p>
        </w:tc>
      </w:tr>
      <w:tr>
        <w:tc>
          <w:tcPr>
            <w:tcW w:type="dxa" w:w="141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纳百川</w:t>
              <w:br/>
              <w:t>301667.SZ</w:t>
            </w:r>
          </w:p>
        </w:tc>
        <w:tc>
          <w:tcPr>
            <w:tcW w:type="dxa" w:w="113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N03</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排除：语义错配</w:t>
            </w:r>
          </w:p>
        </w:tc>
        <w:tc>
          <w:tcPr>
            <w:tcW w:type="dxa" w:w="2835"/>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主营命中电池液冷板，属于汽车/储能场景，不等于AI服务器冷板。</w:t>
            </w:r>
          </w:p>
        </w:tc>
        <w:tc>
          <w:tcPr>
            <w:tcW w:type="dxa" w:w="238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需芯片/服务器冷板规格、认证和客户证据。</w:t>
            </w:r>
          </w:p>
        </w:tc>
      </w:tr>
      <w:tr>
        <w:tc>
          <w:tcPr>
            <w:tcW w:type="dxa" w:w="141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兰石重装</w:t>
              <w:br/>
              <w:t>603169.SH</w:t>
            </w:r>
          </w:p>
        </w:tc>
        <w:tc>
          <w:tcPr>
            <w:tcW w:type="dxa" w:w="113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N10</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排除：通用部件</w:t>
            </w:r>
          </w:p>
        </w:tc>
        <w:tc>
          <w:tcPr>
            <w:tcW w:type="dxa" w:w="2835"/>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板式换热器处于炼化和能源装备语境，未证明数据中心资格和主题重要性。</w:t>
            </w:r>
          </w:p>
        </w:tc>
        <w:tc>
          <w:tcPr>
            <w:tcW w:type="dxa" w:w="238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需数据中心专用换热器规格、客户和收入证据。</w:t>
            </w:r>
          </w:p>
        </w:tc>
      </w:tr>
      <w:tr>
        <w:tc>
          <w:tcPr>
            <w:tcW w:type="dxa" w:w="141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海希通讯</w:t>
              <w:br/>
              <w:t>920405.BJ</w:t>
            </w:r>
          </w:p>
        </w:tc>
        <w:tc>
          <w:tcPr>
            <w:tcW w:type="dxa" w:w="113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N03</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保留未知：用途不清</w:t>
            </w:r>
          </w:p>
        </w:tc>
        <w:tc>
          <w:tcPr>
            <w:tcW w:type="dxa" w:w="2835"/>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“冷板式液冷PACK加工服务”的最终用途不清，不能确认是AI服务器还是电池PACK。</w:t>
            </w:r>
          </w:p>
        </w:tc>
        <w:tc>
          <w:tcPr>
            <w:tcW w:type="dxa" w:w="238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读取主营原文/客户材料，确认最终用途和产品规格。</w:t>
            </w:r>
          </w:p>
        </w:tc>
      </w:tr>
      <w:tr>
        <w:tc>
          <w:tcPr>
            <w:tcW w:type="dxa" w:w="141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中航光电</w:t>
              <w:br/>
              <w:t>002179.SZ</w:t>
            </w:r>
          </w:p>
        </w:tc>
        <w:tc>
          <w:tcPr>
            <w:tcW w:type="dxa" w:w="113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N04</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观察：仅标准生态</w:t>
            </w:r>
          </w:p>
        </w:tc>
        <w:tc>
          <w:tcPr>
            <w:tcW w:type="dxa" w:w="2835"/>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当前只能确认标准/生态参与，缺少液冷快接产品规格、客户资格和供货证据。</w:t>
            </w:r>
          </w:p>
        </w:tc>
        <w:tc>
          <w:tcPr>
            <w:tcW w:type="dxa" w:w="238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出现正式产品、认证或客户/项目证据后再进入B。</w:t>
            </w:r>
          </w:p>
        </w:tc>
      </w:tr>
    </w:tbl>
    <w:p/>
    <w:tbl>
      <w:tblPr>
        <w:tblW w:type="auto" w:w="0"/>
        <w:jc w:val="center"/>
        <w:tblLayout w:type="fixed"/>
        <w:tblLook w:firstColumn="1" w:firstRow="1" w:lastColumn="0" w:lastRow="0" w:noHBand="0" w:noVBand="1" w:val="04A0"/>
      </w:tblPr>
      <w:tblGrid>
        <w:gridCol w:w="10086"/>
      </w:tblGrid>
      <w:tr>
        <w:tc>
          <w:tcPr>
            <w:tcW w:type="dxa" w:w="10086"/>
            <w:shd w:fill="FFF2CC"/>
            <w:tcBorders>
              <w:top w:val="single" w:sz="16" w:color="B8860B"/>
              <w:left w:val="single" w:sz="16" w:color="B8860B"/>
              <w:bottom w:val="single" w:sz="16" w:color="B8860B"/>
              <w:right w:val="single" w:sz="16" w:color="B8860B"/>
            </w:tcBorders>
            <w:tcMar>
              <w:top w:w="120" w:type="dxa"/>
              <w:start w:w="160" w:type="dxa"/>
              <w:bottom w:w="120" w:type="dxa"/>
              <w:end w:w="160" w:type="dxa"/>
            </w:tcMar>
          </w:tcPr>
          <w:p>
            <w:pPr>
              <w:keepNext w:val="0"/>
              <w:spacing w:before="0" w:after="60" w:line="264" w:lineRule="auto"/>
            </w:pPr>
            <w:r/>
            <w:r>
              <w:rPr>
                <w:rFonts w:ascii="Noto Sans CJK SC" w:hAnsi="Noto Sans CJK SC" w:eastAsia="Noto Sans CJK SC"/>
                <w:b/>
                <w:color w:val="B8860B"/>
                <w:sz w:val="20"/>
              </w:rPr>
              <w:t>荣亿精密为什么与其余关键词线索不同</w:t>
            </w:r>
          </w:p>
          <w:p>
            <w:pPr>
              <w:keepNext w:val="0"/>
              <w:spacing w:before="0" w:after="0" w:line="276" w:lineRule="auto"/>
            </w:pPr>
            <w:r>
              <w:rPr>
                <w:rFonts w:ascii="Noto Sans CJK SC" w:hAnsi="Noto Sans CJK SC" w:eastAsia="Noto Sans CJK SC"/>
                <w:color w:val="222222"/>
                <w:sz w:val="18"/>
              </w:rPr>
              <w:t>A2最初只看到“投资服务器液冷快接项目”的公告标题，因此正确地标为lead_only。A3补到年报摘要后，才出现“量产、进入供应链、批量交付、收入占比仍低”的更高层证据，所以它被升级为小规模新进入者，并进入B。这个过程说明：关键词发现可以有价值，但升级必须依靠能证明更高关系层级的来源。</w:t>
            </w:r>
          </w:p>
        </w:tc>
      </w:tr>
    </w:tbl>
    <w:p/>
    <w:p>
      <w:r>
        <w:br w:type="page"/>
      </w:r>
    </w:p>
    <w:p>
      <w:pPr>
        <w:pStyle w:val="Heading1"/>
      </w:pPr>
      <w:r>
        <w:t>第五部分　替代路线、客户自制、二供和新进入者</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701"/>
            <w:vAlign w:val="center"/>
            <w:tcMar>
              <w:top w:w="70" w:type="dxa"/>
              <w:start w:w="70" w:type="dxa"/>
              <w:bottom w:w="70" w:type="dxa"/>
              <w:end w:w="70" w:type="dxa"/>
            </w:tcMar>
            <w:shd w:fill="0F6B78"/>
          </w:tcPr>
          <w:p>
            <w:pPr>
              <w:keepNext w:val="0"/>
              <w:spacing w:before="0" w:after="0" w:line="252" w:lineRule="auto"/>
              <w:jc w:val="center"/>
            </w:pPr>
            <w:r/>
            <w:r>
              <w:rPr>
                <w:rFonts w:ascii="Noto Sans CJK SC" w:hAnsi="Noto Sans CJK SC" w:eastAsia="Noto Sans CJK SC"/>
                <w:b/>
                <w:color w:val="FFFFFF"/>
                <w:sz w:val="16"/>
              </w:rPr>
              <w:t>力量</w:t>
            </w:r>
          </w:p>
        </w:tc>
        <w:tc>
          <w:tcPr>
            <w:tcW w:type="dxa" w:w="2835"/>
            <w:vAlign w:val="center"/>
            <w:tcMar>
              <w:top w:w="70" w:type="dxa"/>
              <w:start w:w="70" w:type="dxa"/>
              <w:bottom w:w="70" w:type="dxa"/>
              <w:end w:w="70" w:type="dxa"/>
            </w:tcMar>
            <w:shd w:fill="0F6B78"/>
          </w:tcPr>
          <w:p>
            <w:pPr>
              <w:keepNext w:val="0"/>
              <w:spacing w:before="0" w:after="0" w:line="252" w:lineRule="auto"/>
              <w:jc w:val="center"/>
            </w:pPr>
            <w:r/>
            <w:r>
              <w:rPr>
                <w:rFonts w:ascii="Noto Sans CJK SC" w:hAnsi="Noto Sans CJK SC" w:eastAsia="Noto Sans CJK SC"/>
                <w:b/>
                <w:color w:val="FFFFFF"/>
                <w:sz w:val="16"/>
              </w:rPr>
              <w:t>发生什么</w:t>
            </w:r>
          </w:p>
        </w:tc>
        <w:tc>
          <w:tcPr>
            <w:tcW w:type="dxa" w:w="2835"/>
            <w:vAlign w:val="center"/>
            <w:tcMar>
              <w:top w:w="70" w:type="dxa"/>
              <w:start w:w="70" w:type="dxa"/>
              <w:bottom w:w="70" w:type="dxa"/>
              <w:end w:w="70" w:type="dxa"/>
            </w:tcMar>
            <w:shd w:fill="0F6B78"/>
          </w:tcPr>
          <w:p>
            <w:pPr>
              <w:keepNext w:val="0"/>
              <w:spacing w:before="0" w:after="0" w:line="252" w:lineRule="auto"/>
              <w:jc w:val="center"/>
            </w:pPr>
            <w:r/>
            <w:r>
              <w:rPr>
                <w:rFonts w:ascii="Noto Sans CJK SC" w:hAnsi="Noto Sans CJK SC" w:eastAsia="Noto Sans CJK SC"/>
                <w:b/>
                <w:color w:val="FFFFFF"/>
                <w:sz w:val="16"/>
              </w:rPr>
              <w:t>对利润池的影响</w:t>
            </w:r>
          </w:p>
        </w:tc>
        <w:tc>
          <w:tcPr>
            <w:tcW w:type="dxa" w:w="1701"/>
            <w:vAlign w:val="center"/>
            <w:tcMar>
              <w:top w:w="70" w:type="dxa"/>
              <w:start w:w="70" w:type="dxa"/>
              <w:bottom w:w="70" w:type="dxa"/>
              <w:end w:w="70" w:type="dxa"/>
            </w:tcMar>
            <w:shd w:fill="0F6B78"/>
          </w:tcPr>
          <w:p>
            <w:pPr>
              <w:keepNext w:val="0"/>
              <w:spacing w:before="0" w:after="0" w:line="252" w:lineRule="auto"/>
              <w:jc w:val="center"/>
            </w:pPr>
            <w:r/>
            <w:r>
              <w:rPr>
                <w:rFonts w:ascii="Noto Sans CJK SC" w:hAnsi="Noto Sans CJK SC" w:eastAsia="Noto Sans CJK SC"/>
                <w:b/>
                <w:color w:val="FFFFFF"/>
                <w:sz w:val="16"/>
              </w:rPr>
              <w:t>相关节点</w:t>
            </w:r>
          </w:p>
        </w:tc>
      </w:tr>
      <w:tr>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客户自制/平台定义</w:t>
            </w:r>
          </w:p>
        </w:tc>
        <w:tc>
          <w:tcPr>
            <w:tcW w:type="dxa" w:w="2835"/>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Google、Meta、NVIDIA及服务器OEM可能自研或指定冷板、歧管、接口、固件和控制。</w:t>
            </w:r>
          </w:p>
        </w:tc>
        <w:tc>
          <w:tcPr>
            <w:tcW w:type="dxa" w:w="2835"/>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外部供应商可服务市场被高估；产品需按平台版本认证。</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N02—N05、N08、N23、N31</w:t>
            </w:r>
          </w:p>
        </w:tc>
      </w:tr>
      <w:tr>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开放标准与多供应</w:t>
            </w:r>
          </w:p>
        </w:tc>
        <w:tc>
          <w:tcPr>
            <w:tcW w:type="dxa" w:w="2835"/>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OCP等推动UQD、CDU、歧管、工质和机架接口互换。</w:t>
            </w:r>
          </w:p>
        </w:tc>
        <w:tc>
          <w:tcPr>
            <w:tcW w:type="dxa" w:w="2835"/>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认证壁垒可能下降，客户更易扶持二供，价格和份额正常化。</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N04、N05、N08、N14、N24</w:t>
            </w:r>
          </w:p>
        </w:tc>
      </w:tr>
      <w:tr>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系统大厂整合</w:t>
            </w:r>
          </w:p>
        </w:tc>
        <w:tc>
          <w:tcPr>
            <w:tcW w:type="dxa" w:w="2835"/>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全球温控、电气和换热大厂通过并购和端到端方案扩展。</w:t>
            </w:r>
          </w:p>
        </w:tc>
        <w:tc>
          <w:tcPr>
            <w:tcW w:type="dxa" w:w="2835"/>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利润可能向系统集成/服务迁移，也可能压低独立部件商议价。</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N08、N17、N19、N24、N28</w:t>
            </w:r>
          </w:p>
        </w:tc>
      </w:tr>
      <w:tr>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浸没/两相DTC</w:t>
            </w:r>
          </w:p>
        </w:tc>
        <w:tc>
          <w:tcPr>
            <w:tcW w:type="dxa" w:w="2835"/>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单相浸没、两相浸没和两相DTC在特定高密场景替代冷板路线。</w:t>
            </w:r>
          </w:p>
        </w:tc>
        <w:tc>
          <w:tcPr>
            <w:tcW w:type="dxa" w:w="2835"/>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会改变冷板、UQD、CDU、工质和运维价值；应用比例仍未知。</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N15、N16、N21、N22、N33、N34</w:t>
            </w:r>
          </w:p>
        </w:tc>
      </w:tr>
      <w:tr>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RDHx/风液混合</w:t>
            </w:r>
          </w:p>
        </w:tc>
        <w:tc>
          <w:tcPr>
            <w:tcW w:type="dxa" w:w="2835"/>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存量机房可采用后门换热、液到气局部闭环和高效风冷。</w:t>
            </w:r>
          </w:p>
        </w:tc>
        <w:tc>
          <w:tcPr>
            <w:tcW w:type="dxa" w:w="2835"/>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液冷渗透不是全量替换；改造经济性决定节奏。</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N20、N31、N35</w:t>
            </w:r>
          </w:p>
        </w:tc>
      </w:tr>
      <w:tr>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芯片与系统效率</w:t>
            </w:r>
          </w:p>
        </w:tc>
        <w:tc>
          <w:tcPr>
            <w:tcW w:type="dxa" w:w="2835"/>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封装、TIM、芯片效率、调度和工作负载优化可降低单位热负荷。</w:t>
            </w:r>
          </w:p>
        </w:tc>
        <w:tc>
          <w:tcPr>
            <w:tcW w:type="dxa" w:w="2835"/>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总算力增长不一定按相同比例传导到每个冷却部件。</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N01、N02、N32</w:t>
            </w:r>
          </w:p>
        </w:tc>
      </w:tr>
      <w:tr>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新增快接供给</w:t>
            </w:r>
          </w:p>
        </w:tc>
        <w:tc>
          <w:tcPr>
            <w:tcW w:type="dxa" w:w="2835"/>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荣亿精密扩产，加上多家UQD供应商生态。</w:t>
            </w:r>
          </w:p>
        </w:tc>
        <w:tc>
          <w:tcPr>
            <w:tcW w:type="dxa" w:w="2835"/>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快接短缺和议价权可能比市场想象更快正常化。</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N04、N25—N27</w:t>
            </w:r>
          </w:p>
        </w:tc>
      </w:tr>
    </w:tbl>
    <w:p/>
    <w:p>
      <w:pPr>
        <w:pStyle w:val="Heading2"/>
      </w:pPr>
      <w:r>
        <w:t>11. A3需要继续保留的关键未知</w:t>
      </w:r>
    </w:p>
    <w:p>
      <w:pPr>
        <w:pStyle w:val="ListBullet"/>
        <w:keepNext w:val="0"/>
        <w:spacing w:before="0" w:after="40" w:line="264" w:lineRule="auto"/>
      </w:pPr>
      <w:r>
        <w:rPr>
          <w:rFonts w:ascii="Noto Sans CJK SC" w:hAnsi="Noto Sans CJK SC" w:eastAsia="Noto Sans CJK SC"/>
          <w:color w:val="222222"/>
          <w:sz w:val="18"/>
        </w:rPr>
        <w:t>客户自制、专用接口与二供切换在不同平台中的真实比例。</w:t>
      </w:r>
    </w:p>
    <w:p>
      <w:pPr>
        <w:pStyle w:val="ListBullet"/>
        <w:keepNext w:val="0"/>
        <w:spacing w:before="0" w:after="40" w:line="264" w:lineRule="auto"/>
      </w:pPr>
      <w:r>
        <w:rPr>
          <w:rFonts w:ascii="Noto Sans CJK SC" w:hAnsi="Noto Sans CJK SC" w:eastAsia="Noto Sans CJK SC"/>
          <w:color w:val="222222"/>
          <w:sz w:val="18"/>
        </w:rPr>
        <w:t>单相冷板、浸没和两相DTC在未来半年内的应用比例和运维经济性。</w:t>
      </w:r>
    </w:p>
    <w:p>
      <w:pPr>
        <w:pStyle w:val="ListBullet"/>
        <w:keepNext w:val="0"/>
        <w:spacing w:before="0" w:after="40" w:line="264" w:lineRule="auto"/>
      </w:pPr>
      <w:r>
        <w:rPr>
          <w:rFonts w:ascii="Noto Sans CJK SC" w:hAnsi="Noto Sans CJK SC" w:eastAsia="Noto Sans CJK SC"/>
          <w:color w:val="222222"/>
          <w:sz w:val="18"/>
        </w:rPr>
        <w:t>私有B2B合同、保密供应关系和非上市供应商的商业规模。</w:t>
      </w:r>
    </w:p>
    <w:p>
      <w:pPr>
        <w:pStyle w:val="ListBullet"/>
        <w:keepNext w:val="0"/>
        <w:spacing w:before="0" w:after="40" w:line="264" w:lineRule="auto"/>
      </w:pPr>
      <w:r>
        <w:rPr>
          <w:rFonts w:ascii="Noto Sans CJK SC" w:hAnsi="Noto Sans CJK SC" w:eastAsia="Noto Sans CJK SC"/>
          <w:color w:val="222222"/>
          <w:sz w:val="18"/>
        </w:rPr>
        <w:t>液冷产品在多数上市公司中的收入、毛利、净利润和现金贡献。</w:t>
      </w:r>
    </w:p>
    <w:p>
      <w:pPr>
        <w:pStyle w:val="ListBullet"/>
        <w:keepNext w:val="0"/>
        <w:spacing w:before="0" w:after="40" w:line="264" w:lineRule="auto"/>
      </w:pPr>
      <w:r>
        <w:rPr>
          <w:rFonts w:ascii="Noto Sans CJK SC" w:hAnsi="Noto Sans CJK SC" w:eastAsia="Noto Sans CJK SC"/>
          <w:color w:val="222222"/>
          <w:sz w:val="18"/>
        </w:rPr>
        <w:t>制造、清洗、焊接、测试与认证的有效产能、良率和交期。</w:t>
      </w:r>
    </w:p>
    <w:p>
      <w:pPr>
        <w:pStyle w:val="ListBullet"/>
        <w:keepNext w:val="0"/>
        <w:spacing w:before="0" w:after="40" w:line="264" w:lineRule="auto"/>
      </w:pPr>
      <w:r>
        <w:rPr>
          <w:rFonts w:ascii="Noto Sans CJK SC" w:hAnsi="Noto Sans CJK SC" w:eastAsia="Noto Sans CJK SC"/>
          <w:color w:val="222222"/>
          <w:sz w:val="18"/>
        </w:rPr>
        <w:t>两轮独立来源检索的新增节点/实体比例，以及个人长期维护成本。</w:t>
      </w:r>
    </w:p>
    <w:p>
      <w:pPr>
        <w:pStyle w:val="ListBullet"/>
        <w:keepNext w:val="0"/>
        <w:spacing w:before="0" w:after="40" w:line="264" w:lineRule="auto"/>
      </w:pPr>
      <w:r>
        <w:rPr>
          <w:rFonts w:ascii="Noto Sans CJK SC" w:hAnsi="Noto Sans CJK SC" w:eastAsia="Noto Sans CJK SC"/>
          <w:color w:val="222222"/>
          <w:sz w:val="18"/>
        </w:rPr>
        <w:t>920808.BJ上市日前价格数据的代码和交易场所语义。</w:t>
      </w:r>
    </w:p>
    <w:p>
      <w:pPr>
        <w:pStyle w:val="Heading2"/>
      </w:pPr>
      <w:r>
        <w:t>12. 升级、降级与失效条件</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2268"/>
            <w:vAlign w:val="center"/>
            <w:tcMar>
              <w:top w:w="70" w:type="dxa"/>
              <w:start w:w="70" w:type="dxa"/>
              <w:bottom w:w="70" w:type="dxa"/>
              <w:end w:w="70" w:type="dxa"/>
            </w:tcMar>
            <w:shd w:fill="B8860B"/>
          </w:tcPr>
          <w:p>
            <w:pPr>
              <w:keepNext w:val="0"/>
              <w:spacing w:before="0" w:after="0" w:line="252" w:lineRule="auto"/>
              <w:jc w:val="center"/>
            </w:pPr>
            <w:r/>
            <w:r>
              <w:rPr>
                <w:rFonts w:ascii="Noto Sans CJK SC" w:hAnsi="Noto Sans CJK SC" w:eastAsia="Noto Sans CJK SC"/>
                <w:b/>
                <w:color w:val="FFFFFF"/>
                <w:sz w:val="16"/>
              </w:rPr>
              <w:t>状态变化</w:t>
            </w:r>
          </w:p>
        </w:tc>
        <w:tc>
          <w:tcPr>
            <w:tcW w:type="dxa" w:w="6803"/>
            <w:vAlign w:val="center"/>
            <w:tcMar>
              <w:top w:w="70" w:type="dxa"/>
              <w:start w:w="70" w:type="dxa"/>
              <w:bottom w:w="70" w:type="dxa"/>
              <w:end w:w="70" w:type="dxa"/>
            </w:tcMar>
            <w:shd w:fill="B8860B"/>
          </w:tcPr>
          <w:p>
            <w:pPr>
              <w:keepNext w:val="0"/>
              <w:spacing w:before="0" w:after="0" w:line="252" w:lineRule="auto"/>
              <w:jc w:val="center"/>
            </w:pPr>
            <w:r/>
            <w:r>
              <w:rPr>
                <w:rFonts w:ascii="Noto Sans CJK SC" w:hAnsi="Noto Sans CJK SC" w:eastAsia="Noto Sans CJK SC"/>
                <w:b/>
                <w:color w:val="FFFFFF"/>
                <w:sz w:val="16"/>
              </w:rPr>
              <w:t>条件</w:t>
            </w:r>
          </w:p>
        </w:tc>
      </w:tr>
      <w:tr>
        <w:tc>
          <w:tcPr>
            <w:tcW w:type="dxa" w:w="2268"/>
            <w:vAlign w:val="center"/>
            <w:tcMar>
              <w:top w:w="70" w:type="dxa"/>
              <w:start w:w="70" w:type="dxa"/>
              <w:bottom w:w="70" w:type="dxa"/>
              <w:end w:w="70" w:type="dxa"/>
            </w:tcMar>
            <w:shd w:fill="FFF2CC"/>
          </w:tcPr>
          <w:p>
            <w:pPr>
              <w:keepNext w:val="0"/>
              <w:spacing w:before="0" w:after="0" w:line="252" w:lineRule="auto"/>
            </w:pPr>
            <w:r>
              <w:rPr>
                <w:b/>
              </w:rPr>
            </w:r>
            <w:r>
              <w:rPr>
                <w:rFonts w:ascii="Noto Sans CJK SC" w:hAnsi="Noto Sans CJK SC" w:eastAsia="Noto Sans CJK SC"/>
                <w:b/>
                <w:color w:val="222222"/>
                <w:sz w:val="16"/>
              </w:rPr>
              <w:t>能力→供货</w:t>
            </w:r>
          </w:p>
        </w:tc>
        <w:tc>
          <w:tcPr>
            <w:tcW w:type="dxa" w:w="6803"/>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6"/>
              </w:rPr>
              <w:t>出现客户公告、正式年报客户/供应链说明、招标/中标、合同或可回源的定点/批量交付。</w:t>
            </w:r>
          </w:p>
        </w:tc>
      </w:tr>
      <w:tr>
        <w:tc>
          <w:tcPr>
            <w:tcW w:type="dxa" w:w="2268"/>
            <w:vAlign w:val="center"/>
            <w:tcMar>
              <w:top w:w="70" w:type="dxa"/>
              <w:start w:w="70" w:type="dxa"/>
              <w:bottom w:w="70" w:type="dxa"/>
              <w:end w:w="70" w:type="dxa"/>
            </w:tcMar>
            <w:shd w:fill="FFF2CC"/>
          </w:tcPr>
          <w:p>
            <w:pPr>
              <w:keepNext w:val="0"/>
              <w:spacing w:before="0" w:after="0" w:line="252" w:lineRule="auto"/>
            </w:pPr>
            <w:r>
              <w:rPr>
                <w:b/>
              </w:rPr>
            </w:r>
            <w:r>
              <w:rPr>
                <w:rFonts w:ascii="Noto Sans CJK SC" w:hAnsi="Noto Sans CJK SC" w:eastAsia="Noto Sans CJK SC"/>
                <w:b/>
                <w:color w:val="222222"/>
                <w:sz w:val="16"/>
              </w:rPr>
              <w:t>供货→重复交付</w:t>
            </w:r>
          </w:p>
        </w:tc>
        <w:tc>
          <w:tcPr>
            <w:tcW w:type="dxa" w:w="6803"/>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6"/>
              </w:rPr>
              <w:t>同一客户追加、第二客户出现、跨平台复制或连续报告期交付。</w:t>
            </w:r>
          </w:p>
        </w:tc>
      </w:tr>
      <w:tr>
        <w:tc>
          <w:tcPr>
            <w:tcW w:type="dxa" w:w="2268"/>
            <w:vAlign w:val="center"/>
            <w:tcMar>
              <w:top w:w="70" w:type="dxa"/>
              <w:start w:w="70" w:type="dxa"/>
              <w:bottom w:w="70" w:type="dxa"/>
              <w:end w:w="70" w:type="dxa"/>
            </w:tcMar>
            <w:shd w:fill="FFF2CC"/>
          </w:tcPr>
          <w:p>
            <w:pPr>
              <w:keepNext w:val="0"/>
              <w:spacing w:before="0" w:after="0" w:line="252" w:lineRule="auto"/>
            </w:pPr>
            <w:r>
              <w:rPr>
                <w:b/>
              </w:rPr>
            </w:r>
            <w:r>
              <w:rPr>
                <w:rFonts w:ascii="Noto Sans CJK SC" w:hAnsi="Noto Sans CJK SC" w:eastAsia="Noto Sans CJK SC"/>
                <w:b/>
                <w:color w:val="222222"/>
                <w:sz w:val="16"/>
              </w:rPr>
              <w:t>重复交付→收入</w:t>
            </w:r>
          </w:p>
        </w:tc>
        <w:tc>
          <w:tcPr>
            <w:tcW w:type="dxa" w:w="6803"/>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6"/>
              </w:rPr>
              <w:t>目标节点收入可从主营/分部/项目中独立识别，并与验收时点一致。</w:t>
            </w:r>
          </w:p>
        </w:tc>
      </w:tr>
      <w:tr>
        <w:tc>
          <w:tcPr>
            <w:tcW w:type="dxa" w:w="2268"/>
            <w:vAlign w:val="center"/>
            <w:tcMar>
              <w:top w:w="70" w:type="dxa"/>
              <w:start w:w="70" w:type="dxa"/>
              <w:bottom w:w="70" w:type="dxa"/>
              <w:end w:w="70" w:type="dxa"/>
            </w:tcMar>
            <w:shd w:fill="FFF2CC"/>
          </w:tcPr>
          <w:p>
            <w:pPr>
              <w:keepNext w:val="0"/>
              <w:spacing w:before="0" w:after="0" w:line="252" w:lineRule="auto"/>
            </w:pPr>
            <w:r>
              <w:rPr>
                <w:b/>
              </w:rPr>
            </w:r>
            <w:r>
              <w:rPr>
                <w:rFonts w:ascii="Noto Sans CJK SC" w:hAnsi="Noto Sans CJK SC" w:eastAsia="Noto Sans CJK SC"/>
                <w:b/>
                <w:color w:val="222222"/>
                <w:sz w:val="16"/>
              </w:rPr>
              <w:t>收入→利润/现金</w:t>
            </w:r>
          </w:p>
        </w:tc>
        <w:tc>
          <w:tcPr>
            <w:tcW w:type="dxa" w:w="6803"/>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6"/>
              </w:rPr>
              <w:t>节点毛利和新增净利润对公司重要，经营现金未被应收、存货、垫资和扩产吞噬。</w:t>
            </w:r>
          </w:p>
        </w:tc>
      </w:tr>
      <w:tr>
        <w:tc>
          <w:tcPr>
            <w:tcW w:type="dxa" w:w="2268"/>
            <w:vAlign w:val="center"/>
            <w:tcMar>
              <w:top w:w="70" w:type="dxa"/>
              <w:start w:w="70" w:type="dxa"/>
              <w:bottom w:w="70" w:type="dxa"/>
              <w:end w:w="70" w:type="dxa"/>
            </w:tcMar>
            <w:shd w:fill="FFF2CC"/>
          </w:tcPr>
          <w:p>
            <w:pPr>
              <w:keepNext w:val="0"/>
              <w:spacing w:before="0" w:after="0" w:line="252" w:lineRule="auto"/>
            </w:pPr>
            <w:r>
              <w:rPr>
                <w:b/>
              </w:rPr>
            </w:r>
            <w:r>
              <w:rPr>
                <w:rFonts w:ascii="Noto Sans CJK SC" w:hAnsi="Noto Sans CJK SC" w:eastAsia="Noto Sans CJK SC"/>
                <w:b/>
                <w:color w:val="222222"/>
                <w:sz w:val="16"/>
              </w:rPr>
              <w:t>降级</w:t>
            </w:r>
          </w:p>
        </w:tc>
        <w:tc>
          <w:tcPr>
            <w:tcW w:type="dxa" w:w="6803"/>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6"/>
              </w:rPr>
              <w:t>客户否认、产品规格不匹配、公告原文不支持、长期无新增证据、订单不转收入或关系过期。</w:t>
            </w:r>
          </w:p>
        </w:tc>
      </w:tr>
      <w:tr>
        <w:tc>
          <w:tcPr>
            <w:tcW w:type="dxa" w:w="2268"/>
            <w:vAlign w:val="center"/>
            <w:tcMar>
              <w:top w:w="70" w:type="dxa"/>
              <w:start w:w="70" w:type="dxa"/>
              <w:bottom w:w="70" w:type="dxa"/>
              <w:end w:w="70" w:type="dxa"/>
            </w:tcMar>
            <w:shd w:fill="FFF2CC"/>
          </w:tcPr>
          <w:p>
            <w:pPr>
              <w:keepNext w:val="0"/>
              <w:spacing w:before="0" w:after="0" w:line="252" w:lineRule="auto"/>
            </w:pPr>
            <w:r>
              <w:rPr>
                <w:b/>
              </w:rPr>
            </w:r>
            <w:r>
              <w:rPr>
                <w:rFonts w:ascii="Noto Sans CJK SC" w:hAnsi="Noto Sans CJK SC" w:eastAsia="Noto Sans CJK SC"/>
                <w:b/>
                <w:color w:val="222222"/>
                <w:sz w:val="16"/>
              </w:rPr>
              <w:t>失效</w:t>
            </w:r>
          </w:p>
        </w:tc>
        <w:tc>
          <w:tcPr>
            <w:tcW w:type="dxa" w:w="6803"/>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6"/>
              </w:rPr>
              <w:t>主流路线替代、客户大规模自制、多家二供认证、价格/交期快速下降、扩产导致有效供给显著超过需求。</w:t>
            </w:r>
          </w:p>
        </w:tc>
      </w:tr>
    </w:tbl>
    <w:p/>
    <w:p>
      <w:r>
        <w:br w:type="page"/>
      </w:r>
    </w:p>
    <w:p>
      <w:pPr>
        <w:pStyle w:val="Heading1"/>
      </w:pPr>
      <w:r>
        <w:t>第六部分　B阶段的准确范围和字段合同</w:t>
      </w:r>
    </w:p>
    <w:p>
      <w:pPr>
        <w:pStyle w:val="Heading2"/>
      </w:pPr>
      <w:r>
        <w:t>13. B阶段不是“把九家公司都算一遍”</w:t>
      </w:r>
    </w:p>
    <w:p>
      <w:pPr>
        <w:keepNext w:val="0"/>
        <w:spacing w:before="0" w:after="120" w:line="276" w:lineRule="auto"/>
      </w:pPr>
      <w:r>
        <w:rPr>
          <w:rFonts w:ascii="Noto Sans CJK SC" w:hAnsi="Noto Sans CJK SC" w:eastAsia="Noto Sans CJK SC"/>
          <w:b/>
          <w:color w:val="17365D"/>
          <w:sz w:val="18"/>
        </w:rPr>
        <w:t>B1必须先按三种业务口径拆开：</w:t>
      </w:r>
      <w:r>
        <w:rPr>
          <w:rFonts w:ascii="Noto Sans CJK SC" w:hAnsi="Noto Sans CJK SC" w:eastAsia="Noto Sans CJK SC"/>
          <w:sz w:val="18"/>
        </w:rPr>
        <w:t>核心部件/硬件、系统设备/工程、设施侧/改造。</w:t>
      </w:r>
      <w:r>
        <w:rPr>
          <w:rFonts w:ascii="Noto Sans CJK SC" w:hAnsi="Noto Sans CJK SC" w:eastAsia="Noto Sans CJK SC"/>
          <w:sz w:val="18"/>
        </w:rPr>
        <w:t>同一指标在不同模式中含义不同；例如订单对部件商意味着认证和产能，对工程商意味着交付、验收和垫资。</w:t>
      </w:r>
    </w:p>
    <w:tbl>
      <w:tblPr>
        <w:tblStyle w:val="TableGrid"/>
        <w:tblW w:type="auto" w:w="0"/>
        <w:jc w:val="center"/>
        <w:tblLayout w:type="fixed"/>
        <w:tblLook w:firstColumn="1" w:firstRow="1" w:lastColumn="0" w:lastRow="0" w:noHBand="0" w:noVBand="1" w:val="04A0"/>
      </w:tblPr>
      <w:tblGrid>
        <w:gridCol w:w="5043"/>
        <w:gridCol w:w="5043"/>
      </w:tblGrid>
      <w:tr>
        <w:trPr>
          <w:tblHeader w:val="true"/>
        </w:trPr>
        <w:tc>
          <w:tcPr>
            <w:tcW w:type="dxa" w:w="1984"/>
            <w:vAlign w:val="center"/>
            <w:tcMar>
              <w:top w:w="70" w:type="dxa"/>
              <w:start w:w="70" w:type="dxa"/>
              <w:bottom w:w="70" w:type="dxa"/>
              <w:end w:w="70" w:type="dxa"/>
            </w:tcMar>
            <w:shd w:fill="17365D"/>
          </w:tcPr>
          <w:p>
            <w:pPr>
              <w:keepNext w:val="0"/>
              <w:spacing w:before="0" w:after="0" w:line="252" w:lineRule="auto"/>
              <w:jc w:val="center"/>
            </w:pPr>
            <w:r/>
            <w:r>
              <w:rPr>
                <w:rFonts w:ascii="Noto Sans CJK SC" w:hAnsi="Noto Sans CJK SC" w:eastAsia="Noto Sans CJK SC"/>
                <w:b/>
                <w:color w:val="FFFFFF"/>
                <w:sz w:val="16"/>
              </w:rPr>
              <w:t>字段组</w:t>
            </w:r>
          </w:p>
        </w:tc>
        <w:tc>
          <w:tcPr>
            <w:tcW w:type="dxa" w:w="7087"/>
            <w:vAlign w:val="center"/>
            <w:tcMar>
              <w:top w:w="70" w:type="dxa"/>
              <w:start w:w="70" w:type="dxa"/>
              <w:bottom w:w="70" w:type="dxa"/>
              <w:end w:w="70" w:type="dxa"/>
            </w:tcMar>
            <w:shd w:fill="17365D"/>
          </w:tcPr>
          <w:p>
            <w:pPr>
              <w:keepNext w:val="0"/>
              <w:spacing w:before="0" w:after="0" w:line="252" w:lineRule="auto"/>
              <w:jc w:val="center"/>
            </w:pPr>
            <w:r/>
            <w:r>
              <w:rPr>
                <w:rFonts w:ascii="Noto Sans CJK SC" w:hAnsi="Noto Sans CJK SC" w:eastAsia="Noto Sans CJK SC"/>
                <w:b/>
                <w:color w:val="FFFFFF"/>
                <w:sz w:val="16"/>
              </w:rPr>
              <w:t>B1必须写进合同的内容</w:t>
            </w:r>
          </w:p>
        </w:tc>
      </w:tr>
      <w:tr>
        <w:tc>
          <w:tcPr>
            <w:tcW w:type="dxa" w:w="1984"/>
            <w:vAlign w:val="center"/>
            <w:tcMar>
              <w:top w:w="70" w:type="dxa"/>
              <w:start w:w="70" w:type="dxa"/>
              <w:bottom w:w="70" w:type="dxa"/>
              <w:end w:w="70" w:type="dxa"/>
            </w:tcMar>
            <w:shd w:fill="DDEBF7"/>
          </w:tcPr>
          <w:p>
            <w:pPr>
              <w:keepNext w:val="0"/>
              <w:spacing w:before="0" w:after="0" w:line="252" w:lineRule="auto"/>
            </w:pPr>
            <w:r>
              <w:rPr>
                <w:b/>
              </w:rPr>
            </w:r>
            <w:r>
              <w:rPr>
                <w:rFonts w:ascii="Noto Sans CJK SC" w:hAnsi="Noto Sans CJK SC" w:eastAsia="Noto Sans CJK SC"/>
                <w:b/>
                <w:color w:val="222222"/>
                <w:sz w:val="16"/>
              </w:rPr>
              <w:t>实体与时间</w:t>
            </w:r>
          </w:p>
        </w:tc>
        <w:tc>
          <w:tcPr>
            <w:tcW w:type="dxa" w:w="708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6"/>
              </w:rPr>
              <w:t>法定主体、证券代码、别名、子公司、持股/控制有效期、available_at、公告链版本。</w:t>
            </w:r>
          </w:p>
        </w:tc>
      </w:tr>
      <w:tr>
        <w:tc>
          <w:tcPr>
            <w:tcW w:type="dxa" w:w="1984"/>
            <w:vAlign w:val="center"/>
            <w:tcMar>
              <w:top w:w="70" w:type="dxa"/>
              <w:start w:w="70" w:type="dxa"/>
              <w:bottom w:w="70" w:type="dxa"/>
              <w:end w:w="70" w:type="dxa"/>
            </w:tcMar>
            <w:shd w:fill="DDEBF7"/>
          </w:tcPr>
          <w:p>
            <w:pPr>
              <w:keepNext w:val="0"/>
              <w:spacing w:before="0" w:after="0" w:line="252" w:lineRule="auto"/>
            </w:pPr>
            <w:r>
              <w:rPr>
                <w:b/>
              </w:rPr>
            </w:r>
            <w:r>
              <w:rPr>
                <w:rFonts w:ascii="Noto Sans CJK SC" w:hAnsi="Noto Sans CJK SC" w:eastAsia="Noto Sans CJK SC"/>
                <w:b/>
                <w:color w:val="222222"/>
                <w:sz w:val="16"/>
              </w:rPr>
              <w:t>产品匹配</w:t>
            </w:r>
          </w:p>
        </w:tc>
        <w:tc>
          <w:tcPr>
            <w:tcW w:type="dxa" w:w="708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6"/>
              </w:rPr>
              <w:t>精确节点、规格、场景、客户类型；不能用“热管理/液冷”宽词替代。</w:t>
            </w:r>
          </w:p>
        </w:tc>
      </w:tr>
      <w:tr>
        <w:tc>
          <w:tcPr>
            <w:tcW w:type="dxa" w:w="1984"/>
            <w:vAlign w:val="center"/>
            <w:tcMar>
              <w:top w:w="70" w:type="dxa"/>
              <w:start w:w="70" w:type="dxa"/>
              <w:bottom w:w="70" w:type="dxa"/>
              <w:end w:w="70" w:type="dxa"/>
            </w:tcMar>
            <w:shd w:fill="DDEBF7"/>
          </w:tcPr>
          <w:p>
            <w:pPr>
              <w:keepNext w:val="0"/>
              <w:spacing w:before="0" w:after="0" w:line="252" w:lineRule="auto"/>
            </w:pPr>
            <w:r>
              <w:rPr>
                <w:b/>
              </w:rPr>
            </w:r>
            <w:r>
              <w:rPr>
                <w:rFonts w:ascii="Noto Sans CJK SC" w:hAnsi="Noto Sans CJK SC" w:eastAsia="Noto Sans CJK SC"/>
                <w:b/>
                <w:color w:val="222222"/>
                <w:sz w:val="16"/>
              </w:rPr>
              <w:t>关系进度</w:t>
            </w:r>
          </w:p>
        </w:tc>
        <w:tc>
          <w:tcPr>
            <w:tcW w:type="dxa" w:w="708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6"/>
              </w:rPr>
              <w:t>认证/试点、供货、合同/订单、重复交付、验收、第二客户。</w:t>
            </w:r>
          </w:p>
        </w:tc>
      </w:tr>
      <w:tr>
        <w:tc>
          <w:tcPr>
            <w:tcW w:type="dxa" w:w="1984"/>
            <w:vAlign w:val="center"/>
            <w:tcMar>
              <w:top w:w="70" w:type="dxa"/>
              <w:start w:w="70" w:type="dxa"/>
              <w:bottom w:w="70" w:type="dxa"/>
              <w:end w:w="70" w:type="dxa"/>
            </w:tcMar>
            <w:shd w:fill="DDEBF7"/>
          </w:tcPr>
          <w:p>
            <w:pPr>
              <w:keepNext w:val="0"/>
              <w:spacing w:before="0" w:after="0" w:line="252" w:lineRule="auto"/>
            </w:pPr>
            <w:r>
              <w:rPr>
                <w:b/>
              </w:rPr>
            </w:r>
            <w:r>
              <w:rPr>
                <w:rFonts w:ascii="Noto Sans CJK SC" w:hAnsi="Noto Sans CJK SC" w:eastAsia="Noto Sans CJK SC"/>
                <w:b/>
                <w:color w:val="222222"/>
                <w:sz w:val="16"/>
              </w:rPr>
              <w:t>业务拆分</w:t>
            </w:r>
          </w:p>
        </w:tc>
        <w:tc>
          <w:tcPr>
            <w:tcW w:type="dxa" w:w="708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6"/>
              </w:rPr>
              <w:t>液冷与储能/汽车/传统温控拆分；冷板/CDU/UQD/工程/运维分别拆分。</w:t>
            </w:r>
          </w:p>
        </w:tc>
      </w:tr>
      <w:tr>
        <w:tc>
          <w:tcPr>
            <w:tcW w:type="dxa" w:w="1984"/>
            <w:vAlign w:val="center"/>
            <w:tcMar>
              <w:top w:w="70" w:type="dxa"/>
              <w:start w:w="70" w:type="dxa"/>
              <w:bottom w:w="70" w:type="dxa"/>
              <w:end w:w="70" w:type="dxa"/>
            </w:tcMar>
            <w:shd w:fill="DDEBF7"/>
          </w:tcPr>
          <w:p>
            <w:pPr>
              <w:keepNext w:val="0"/>
              <w:spacing w:before="0" w:after="0" w:line="252" w:lineRule="auto"/>
            </w:pPr>
            <w:r>
              <w:rPr>
                <w:b/>
              </w:rPr>
            </w:r>
            <w:r>
              <w:rPr>
                <w:rFonts w:ascii="Noto Sans CJK SC" w:hAnsi="Noto Sans CJK SC" w:eastAsia="Noto Sans CJK SC"/>
                <w:b/>
                <w:color w:val="222222"/>
                <w:sz w:val="16"/>
              </w:rPr>
              <w:t>业绩质量</w:t>
            </w:r>
          </w:p>
        </w:tc>
        <w:tc>
          <w:tcPr>
            <w:tcW w:type="dxa" w:w="708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6"/>
              </w:rPr>
              <w:t>收入、毛利、费用、折旧、应收、存货、合同资产/负债、资本开支、减值、经营现金流。</w:t>
            </w:r>
          </w:p>
        </w:tc>
      </w:tr>
      <w:tr>
        <w:tc>
          <w:tcPr>
            <w:tcW w:type="dxa" w:w="1984"/>
            <w:vAlign w:val="center"/>
            <w:tcMar>
              <w:top w:w="70" w:type="dxa"/>
              <w:start w:w="70" w:type="dxa"/>
              <w:bottom w:w="70" w:type="dxa"/>
              <w:end w:w="70" w:type="dxa"/>
            </w:tcMar>
            <w:shd w:fill="DDEBF7"/>
          </w:tcPr>
          <w:p>
            <w:pPr>
              <w:keepNext w:val="0"/>
              <w:spacing w:before="0" w:after="0" w:line="252" w:lineRule="auto"/>
            </w:pPr>
            <w:r>
              <w:rPr>
                <w:b/>
              </w:rPr>
            </w:r>
            <w:r>
              <w:rPr>
                <w:rFonts w:ascii="Noto Sans CJK SC" w:hAnsi="Noto Sans CJK SC" w:eastAsia="Noto Sans CJK SC"/>
                <w:b/>
                <w:color w:val="222222"/>
                <w:sz w:val="16"/>
              </w:rPr>
              <w:t>竞争持续性</w:t>
            </w:r>
          </w:p>
        </w:tc>
        <w:tc>
          <w:tcPr>
            <w:tcW w:type="dxa" w:w="708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6"/>
              </w:rPr>
              <w:t>扩产、二供、客户自制、替代路线、交期、价格与认证进度。</w:t>
            </w:r>
          </w:p>
        </w:tc>
      </w:tr>
      <w:tr>
        <w:tc>
          <w:tcPr>
            <w:tcW w:type="dxa" w:w="1984"/>
            <w:vAlign w:val="center"/>
            <w:tcMar>
              <w:top w:w="70" w:type="dxa"/>
              <w:start w:w="70" w:type="dxa"/>
              <w:bottom w:w="70" w:type="dxa"/>
              <w:end w:w="70" w:type="dxa"/>
            </w:tcMar>
            <w:shd w:fill="DDEBF7"/>
          </w:tcPr>
          <w:p>
            <w:pPr>
              <w:keepNext w:val="0"/>
              <w:spacing w:before="0" w:after="0" w:line="252" w:lineRule="auto"/>
            </w:pPr>
            <w:r>
              <w:rPr>
                <w:b/>
              </w:rPr>
            </w:r>
            <w:r>
              <w:rPr>
                <w:rFonts w:ascii="Noto Sans CJK SC" w:hAnsi="Noto Sans CJK SC" w:eastAsia="Noto Sans CJK SC"/>
                <w:b/>
                <w:color w:val="222222"/>
                <w:sz w:val="16"/>
              </w:rPr>
              <w:t>证据边界</w:t>
            </w:r>
          </w:p>
        </w:tc>
        <w:tc>
          <w:tcPr>
            <w:tcW w:type="dxa" w:w="708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6"/>
              </w:rPr>
              <w:t>原文、发布时间、known_at、能证明什么、不能证明什么、冲突和review_due。</w:t>
            </w:r>
          </w:p>
        </w:tc>
      </w:tr>
    </w:tbl>
    <w:p/>
    <w:p>
      <w:pPr>
        <w:pStyle w:val="Heading2"/>
      </w:pPr>
      <w:r>
        <w:t>14. 每个进入B实体的专门问题</w:t>
      </w:r>
    </w:p>
    <w:tbl>
      <w:tblPr>
        <w:tblStyle w:val="TableGrid"/>
        <w:tblW w:type="auto" w:w="0"/>
        <w:jc w:val="center"/>
        <w:tblLayout w:type="fixed"/>
        <w:tblLook w:firstColumn="1" w:firstRow="1" w:lastColumn="0" w:lastRow="0" w:noHBand="0" w:noVBand="1" w:val="04A0"/>
      </w:tblPr>
      <w:tblGrid>
        <w:gridCol w:w="3362"/>
        <w:gridCol w:w="3362"/>
        <w:gridCol w:w="3362"/>
      </w:tblGrid>
      <w:tr>
        <w:trPr>
          <w:tblHeader w:val="true"/>
        </w:trPr>
        <w:tc>
          <w:tcPr>
            <w:tcW w:type="dxa" w:w="1474"/>
            <w:vAlign w:val="center"/>
            <w:tcMar>
              <w:top w:w="70" w:type="dxa"/>
              <w:start w:w="70" w:type="dxa"/>
              <w:bottom w:w="70" w:type="dxa"/>
              <w:end w:w="70" w:type="dxa"/>
            </w:tcMar>
            <w:shd w:fill="0F6B78"/>
          </w:tcPr>
          <w:p>
            <w:pPr>
              <w:keepNext w:val="0"/>
              <w:spacing w:before="0" w:after="0" w:line="252" w:lineRule="auto"/>
              <w:jc w:val="center"/>
            </w:pPr>
            <w:r/>
            <w:r>
              <w:rPr>
                <w:rFonts w:ascii="Noto Sans CJK SC" w:hAnsi="Noto Sans CJK SC" w:eastAsia="Noto Sans CJK SC"/>
                <w:b/>
                <w:color w:val="FFFFFF"/>
                <w:sz w:val="16"/>
              </w:rPr>
              <w:t>实体</w:t>
            </w:r>
          </w:p>
        </w:tc>
        <w:tc>
          <w:tcPr>
            <w:tcW w:type="dxa" w:w="1928"/>
            <w:vAlign w:val="center"/>
            <w:tcMar>
              <w:top w:w="70" w:type="dxa"/>
              <w:start w:w="70" w:type="dxa"/>
              <w:bottom w:w="70" w:type="dxa"/>
              <w:end w:w="70" w:type="dxa"/>
            </w:tcMar>
            <w:shd w:fill="0F6B78"/>
          </w:tcPr>
          <w:p>
            <w:pPr>
              <w:keepNext w:val="0"/>
              <w:spacing w:before="0" w:after="0" w:line="252" w:lineRule="auto"/>
              <w:jc w:val="center"/>
            </w:pPr>
            <w:r/>
            <w:r>
              <w:rPr>
                <w:rFonts w:ascii="Noto Sans CJK SC" w:hAnsi="Noto Sans CJK SC" w:eastAsia="Noto Sans CJK SC"/>
                <w:b/>
                <w:color w:val="FFFFFF"/>
                <w:sz w:val="16"/>
              </w:rPr>
              <w:t>B身份</w:t>
            </w:r>
          </w:p>
        </w:tc>
        <w:tc>
          <w:tcPr>
            <w:tcW w:type="dxa" w:w="5669"/>
            <w:vAlign w:val="center"/>
            <w:tcMar>
              <w:top w:w="70" w:type="dxa"/>
              <w:start w:w="70" w:type="dxa"/>
              <w:bottom w:w="70" w:type="dxa"/>
              <w:end w:w="70" w:type="dxa"/>
            </w:tcMar>
            <w:shd w:fill="0F6B78"/>
          </w:tcPr>
          <w:p>
            <w:pPr>
              <w:keepNext w:val="0"/>
              <w:spacing w:before="0" w:after="0" w:line="252" w:lineRule="auto"/>
              <w:jc w:val="center"/>
            </w:pPr>
            <w:r/>
            <w:r>
              <w:rPr>
                <w:rFonts w:ascii="Noto Sans CJK SC" w:hAnsi="Noto Sans CJK SC" w:eastAsia="Noto Sans CJK SC"/>
                <w:b/>
                <w:color w:val="FFFFFF"/>
                <w:sz w:val="16"/>
              </w:rPr>
              <w:t>专门核查问题</w:t>
            </w:r>
          </w:p>
        </w:tc>
      </w:tr>
      <w:tr>
        <w:tc>
          <w:tcPr>
            <w:tcW w:type="dxa" w:w="147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英维克</w:t>
              <w:br/>
              <w:t>002837.SZ</w:t>
            </w:r>
          </w:p>
        </w:tc>
        <w:tc>
          <w:tcPr>
            <w:tcW w:type="dxa" w:w="192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核心进入B</w:t>
            </w:r>
          </w:p>
        </w:tc>
        <w:tc>
          <w:tcPr>
            <w:tcW w:type="dxa" w:w="5669"/>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 数据中心液冷与储能液冷收入分拆</w:t>
              <w:br/>
              <w:t>• 冷板/CDU/快接/歧管/工质/机柜各节点收入与毛利</w:t>
              <w:br/>
              <w:t>• 客户类型、认证版本、订单、交付与复购</w:t>
              <w:br/>
              <w:t>• 应收、存货、合同负债、资本开支和经营现金流</w:t>
              <w:br/>
              <w:t>• 公告原文中的客户/项目/验收与风险</w:t>
            </w:r>
          </w:p>
        </w:tc>
      </w:tr>
      <w:tr>
        <w:tc>
          <w:tcPr>
            <w:tcW w:type="dxa" w:w="147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申菱环境</w:t>
              <w:br/>
              <w:t>301018.SZ</w:t>
            </w:r>
          </w:p>
        </w:tc>
        <w:tc>
          <w:tcPr>
            <w:tcW w:type="dxa" w:w="192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核心进入B</w:t>
            </w:r>
          </w:p>
        </w:tc>
        <w:tc>
          <w:tcPr>
            <w:tcW w:type="dxa" w:w="5669"/>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 液冷CDU/液冷大系统/水力模块对应主营分项</w:t>
              <w:br/>
              <w:t>• 数据服务收入中液冷与传统设施冷却的拆分</w:t>
              <w:br/>
              <w:t>• 项目客户、合同、验收、重复交付与回款</w:t>
              <w:br/>
              <w:t>• 系统集成/工程毛利、应收、存货、合同资产和现金流</w:t>
              <w:br/>
              <w:t>• 正式公告原文及点时时间</w:t>
            </w:r>
          </w:p>
        </w:tc>
      </w:tr>
      <w:tr>
        <w:tc>
          <w:tcPr>
            <w:tcW w:type="dxa" w:w="147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曙光数创</w:t>
              <w:br/>
              <w:t>920808.BJ</w:t>
            </w:r>
          </w:p>
        </w:tc>
        <w:tc>
          <w:tcPr>
            <w:tcW w:type="dxa" w:w="192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核心进入B</w:t>
            </w:r>
          </w:p>
        </w:tc>
        <w:tc>
          <w:tcPr>
            <w:tcW w:type="dxa" w:w="5669"/>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 冷板/浸没/模块化产品收入、毛利与项目验收</w:t>
              <w:br/>
              <w:t>• 客户集中、订单、存货、合同资产/负债、应收和现金流</w:t>
              <w:br/>
              <w:t>• 项目周期与收入确认时点</w:t>
              <w:br/>
              <w:t>• 2025年收入增长、存货和现金流的匹配</w:t>
              <w:br/>
              <w:t>• 920808历史证券代码/交易场所规范化</w:t>
            </w:r>
          </w:p>
        </w:tc>
      </w:tr>
      <w:tr>
        <w:tc>
          <w:tcPr>
            <w:tcW w:type="dxa" w:w="147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中科曙光</w:t>
              <w:br/>
              <w:t>603019.SH</w:t>
            </w:r>
          </w:p>
        </w:tc>
        <w:tc>
          <w:tcPr>
            <w:tcW w:type="dxa" w:w="192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仅核对持股/利润归属</w:t>
            </w:r>
          </w:p>
        </w:tc>
        <w:tc>
          <w:tcPr>
            <w:tcW w:type="dxa" w:w="5669"/>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 截至as_of的持股比例、控制关系和有效期</w:t>
              <w:br/>
              <w:t>• 合并报表范围与少数股东权益</w:t>
              <w:br/>
              <w:t>• 曙光数创收入/利润对603019的归属方式</w:t>
              <w:br/>
              <w:t>• 相关交易与品牌授权边界</w:t>
            </w:r>
          </w:p>
        </w:tc>
      </w:tr>
      <w:tr>
        <w:tc>
          <w:tcPr>
            <w:tcW w:type="dxa" w:w="147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飞荣达</w:t>
              <w:br/>
              <w:t>300602.SZ</w:t>
            </w:r>
          </w:p>
        </w:tc>
        <w:tc>
          <w:tcPr>
            <w:tcW w:type="dxa" w:w="192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核心进入B</w:t>
            </w:r>
          </w:p>
        </w:tc>
        <w:tc>
          <w:tcPr>
            <w:tcW w:type="dxa" w:w="5669"/>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 AI服务器与储能液冷业务拆分</w:t>
              <w:br/>
              <w:t>• TIM/冷板/CDU/快接/机箱机柜各产品收入和毛利</w:t>
              <w:br/>
              <w:t>• 批量交付的客户、订单与复购</w:t>
              <w:br/>
              <w:t>• 样品/试产项目转量产进度</w:t>
              <w:br/>
              <w:t>• 应收、存货、产能、资本开支、现金流和减值</w:t>
            </w:r>
          </w:p>
        </w:tc>
      </w:tr>
      <w:tr>
        <w:tc>
          <w:tcPr>
            <w:tcW w:type="dxa" w:w="147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佳力图</w:t>
              <w:br/>
              <w:t>603912.SH</w:t>
            </w:r>
          </w:p>
        </w:tc>
        <w:tc>
          <w:tcPr>
            <w:tcW w:type="dxa" w:w="192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条件进入：设施侧</w:t>
            </w:r>
          </w:p>
        </w:tc>
        <w:tc>
          <w:tcPr>
            <w:tcW w:type="dxa" w:w="5669"/>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 数据中心温控中液冷设施侧、传统风冷和IDC运营收入拆分</w:t>
              <w:br/>
              <w:t>• 液冷改造/设施水环/最终排热项目合同与验收</w:t>
              <w:br/>
              <w:t>• 工程毛利、应收、合同资产、资本开支和现金流</w:t>
              <w:br/>
              <w:t>• 仅按设施侧业务模板核查</w:t>
            </w:r>
          </w:p>
        </w:tc>
      </w:tr>
      <w:tr>
        <w:tc>
          <w:tcPr>
            <w:tcW w:type="dxa" w:w="147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高澜股份</w:t>
              <w:br/>
              <w:t>300499.SZ</w:t>
            </w:r>
          </w:p>
        </w:tc>
        <w:tc>
          <w:tcPr>
            <w:tcW w:type="dxa" w:w="192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核心进入B</w:t>
            </w:r>
          </w:p>
        </w:tc>
        <w:tc>
          <w:tcPr>
            <w:tcW w:type="dxa" w:w="5669"/>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 数据中心液冷与输电/储能液冷收入、毛利拆分</w:t>
              <w:br/>
              <w:t>• 在手订单的产品、客户、交付、验收和复购</w:t>
              <w:br/>
              <w:t>• 高功率密度装置热管理分部口径</w:t>
              <w:br/>
              <w:t>• 经营现金流、应收、存货、合同负债和发出商品</w:t>
              <w:br/>
              <w:t>• 产品认证与海外订单原文</w:t>
            </w:r>
          </w:p>
        </w:tc>
      </w:tr>
      <w:tr>
        <w:tc>
          <w:tcPr>
            <w:tcW w:type="dxa" w:w="147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同飞股份</w:t>
              <w:br/>
              <w:t>300990.SZ</w:t>
            </w:r>
          </w:p>
        </w:tc>
        <w:tc>
          <w:tcPr>
            <w:tcW w:type="dxa" w:w="192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条件进入：先补关系</w:t>
            </w:r>
          </w:p>
        </w:tc>
        <w:tc>
          <w:tcPr>
            <w:tcW w:type="dxa" w:w="5669"/>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 正式年报/公告中数据中心液冷业务分项</w:t>
              <w:br/>
              <w:t>• 产品客户、订单、交付、复购和认证</w:t>
              <w:br/>
              <w:t>• 数据中心液冷与工业/储能温控拆分</w:t>
              <w:br/>
              <w:t>• 收入、毛利、应收、存货、资本开支和现金流</w:t>
              <w:br/>
              <w:t>• 若无硬关系证据则禁止主题财务估算</w:t>
            </w:r>
          </w:p>
        </w:tc>
      </w:tr>
      <w:tr>
        <w:tc>
          <w:tcPr>
            <w:tcW w:type="dxa" w:w="147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荣亿精密</w:t>
              <w:br/>
              <w:t>920223.BJ</w:t>
            </w:r>
          </w:p>
        </w:tc>
        <w:tc>
          <w:tcPr>
            <w:tcW w:type="dxa" w:w="192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新进入者，核心进入B</w:t>
            </w:r>
          </w:p>
        </w:tc>
        <w:tc>
          <w:tcPr>
            <w:tcW w:type="dxa" w:w="5669"/>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 年报原文中的客户、批量交付、收入和订单占比</w:t>
              <w:br/>
              <w:t>• 液冷快接项目投资、设备、投产、良率和产能利用率</w:t>
              <w:br/>
              <w:t>• 与客户的交易金额、复购和集中度</w:t>
              <w:br/>
              <w:t>• 液冷收入/毛利/净利润/现金贡献</w:t>
              <w:br/>
              <w:t>• 公司整体亏损、经营现金流、应收、存货和融资压力</w:t>
            </w:r>
          </w:p>
        </w:tc>
      </w:tr>
    </w:tbl>
    <w:p/>
    <w:p>
      <w:pPr>
        <w:pStyle w:val="Heading2"/>
      </w:pPr>
      <w:r>
        <w:t>15. B阶段永久禁止</w:t>
      </w:r>
    </w:p>
    <w:p>
      <w:pPr>
        <w:pStyle w:val="ListBullet"/>
        <w:keepNext w:val="0"/>
        <w:spacing w:before="0" w:after="40" w:line="264" w:lineRule="auto"/>
      </w:pPr>
      <w:r>
        <w:rPr>
          <w:rFonts w:ascii="Noto Sans CJK SC" w:hAnsi="Noto Sans CJK SC" w:eastAsia="Noto Sans CJK SC"/>
          <w:color w:val="222222"/>
          <w:sz w:val="18"/>
        </w:rPr>
        <w:t>条件实体没有正式关系证据时，不估算液冷主题收入、利润或预期差。</w:t>
      </w:r>
    </w:p>
    <w:p>
      <w:pPr>
        <w:pStyle w:val="ListBullet"/>
        <w:keepNext w:val="0"/>
        <w:spacing w:before="0" w:after="40" w:line="264" w:lineRule="auto"/>
      </w:pPr>
      <w:r>
        <w:rPr>
          <w:rFonts w:ascii="Noto Sans CJK SC" w:hAnsi="Noto Sans CJK SC" w:eastAsia="Noto Sans CJK SC"/>
          <w:color w:val="222222"/>
          <w:sz w:val="18"/>
        </w:rPr>
        <w:t>中科曙光不直接继承曙光数创的产品、订单和收入；只按持股、合并和利润归属核查。</w:t>
      </w:r>
    </w:p>
    <w:p>
      <w:pPr>
        <w:pStyle w:val="ListBullet"/>
        <w:keepNext w:val="0"/>
        <w:spacing w:before="0" w:after="40" w:line="264" w:lineRule="auto"/>
      </w:pPr>
      <w:r>
        <w:rPr>
          <w:rFonts w:ascii="Noto Sans CJK SC" w:hAnsi="Noto Sans CJK SC" w:eastAsia="Noto Sans CJK SC"/>
          <w:color w:val="222222"/>
          <w:sz w:val="18"/>
        </w:rPr>
        <w:t>公司总收入、数据中心收入、高功率密度收入不能自动等于液冷收入。</w:t>
      </w:r>
    </w:p>
    <w:p>
      <w:pPr>
        <w:pStyle w:val="ListBullet"/>
        <w:keepNext w:val="0"/>
        <w:spacing w:before="0" w:after="40" w:line="264" w:lineRule="auto"/>
      </w:pPr>
      <w:r>
        <w:rPr>
          <w:rFonts w:ascii="Noto Sans CJK SC" w:hAnsi="Noto Sans CJK SC" w:eastAsia="Noto Sans CJK SC"/>
          <w:color w:val="222222"/>
          <w:sz w:val="18"/>
        </w:rPr>
        <w:t>储能/汽车液冷不能外推AI服务器液冷；设施侧冷源不能与冷板/UQD/CDU使用同一业务模板。</w:t>
      </w:r>
    </w:p>
    <w:p>
      <w:pPr>
        <w:pStyle w:val="ListBullet"/>
        <w:keepNext w:val="0"/>
        <w:spacing w:before="0" w:after="40" w:line="264" w:lineRule="auto"/>
      </w:pPr>
      <w:r>
        <w:rPr>
          <w:rFonts w:ascii="Noto Sans CJK SC" w:hAnsi="Noto Sans CJK SC" w:eastAsia="Noto Sans CJK SC"/>
          <w:color w:val="222222"/>
          <w:sz w:val="18"/>
        </w:rPr>
        <w:t>920808上市日前价格身份未规范前，不使用该段价格做估值或相对表现。</w:t>
      </w:r>
    </w:p>
    <w:p>
      <w:pPr>
        <w:pStyle w:val="ListBullet"/>
        <w:keepNext w:val="0"/>
        <w:spacing w:before="0" w:after="40" w:line="264" w:lineRule="auto"/>
      </w:pPr>
      <w:r>
        <w:rPr>
          <w:rFonts w:ascii="Noto Sans CJK SC" w:hAnsi="Noto Sans CJK SC" w:eastAsia="Noto Sans CJK SC"/>
          <w:color w:val="222222"/>
          <w:sz w:val="18"/>
        </w:rPr>
        <w:t>不得使用综合总分补救产品或关系硬门失败，不形成买入名单。</w:t>
      </w:r>
    </w:p>
    <w:tbl>
      <w:tblPr>
        <w:tblW w:type="auto" w:w="0"/>
        <w:jc w:val="center"/>
        <w:tblLayout w:type="fixed"/>
        <w:tblLook w:firstColumn="1" w:firstRow="1" w:lastColumn="0" w:lastRow="0" w:noHBand="0" w:noVBand="1" w:val="04A0"/>
      </w:tblPr>
      <w:tblGrid>
        <w:gridCol w:w="10086"/>
      </w:tblGrid>
      <w:tr>
        <w:tc>
          <w:tcPr>
            <w:tcW w:type="dxa" w:w="10086"/>
            <w:shd w:fill="E2F0D9"/>
            <w:tcBorders>
              <w:top w:val="single" w:sz="16" w:color="2E7D32"/>
              <w:left w:val="single" w:sz="16" w:color="2E7D32"/>
              <w:bottom w:val="single" w:sz="16" w:color="2E7D32"/>
              <w:right w:val="single" w:sz="16" w:color="2E7D32"/>
            </w:tcBorders>
            <w:tcMar>
              <w:top w:w="120" w:type="dxa"/>
              <w:start w:w="160" w:type="dxa"/>
              <w:bottom w:w="120" w:type="dxa"/>
              <w:end w:w="160" w:type="dxa"/>
            </w:tcMar>
          </w:tcPr>
          <w:p>
            <w:pPr>
              <w:keepNext w:val="0"/>
              <w:spacing w:before="0" w:after="60" w:line="264" w:lineRule="auto"/>
            </w:pPr>
            <w:r/>
            <w:r>
              <w:rPr>
                <w:rFonts w:ascii="Noto Sans CJK SC" w:hAnsi="Noto Sans CJK SC" w:eastAsia="Noto Sans CJK SC"/>
                <w:b/>
                <w:color w:val="2E7D32"/>
                <w:sz w:val="20"/>
              </w:rPr>
              <w:t>用户此时该做什么</w:t>
            </w:r>
          </w:p>
          <w:p>
            <w:pPr>
              <w:keepNext w:val="0"/>
              <w:spacing w:before="0" w:after="0" w:line="276" w:lineRule="auto"/>
            </w:pPr>
            <w:r>
              <w:rPr>
                <w:rFonts w:ascii="Noto Sans CJK SC" w:hAnsi="Noto Sans CJK SC" w:eastAsia="Noto Sans CJK SC"/>
                <w:color w:val="222222"/>
                <w:sz w:val="18"/>
              </w:rPr>
              <w:t>阅读本报告后，只需回复“同意进入B阶段。”或提出一项修改。批准后下一步仍是ChatGPT B1，由ChatGPT定义窄核查合同；不是直接把公司名单交给Codex跑财务。</w:t>
            </w:r>
          </w:p>
        </w:tc>
      </w:tr>
    </w:tbl>
    <w:p/>
    <w:p>
      <w:r>
        <w:br w:type="page"/>
      </w:r>
    </w:p>
    <w:p>
      <w:pPr>
        <w:pStyle w:val="Heading1"/>
      </w:pPr>
      <w:r>
        <w:t>附录A　35个精确节点的A3处置</w:t>
      </w:r>
    </w:p>
    <w:tbl>
      <w:tblPr>
        <w:tblStyle w:val="TableGrid"/>
        <w:tblW w:type="auto" w:w="0"/>
        <w:jc w:val="center"/>
        <w:tblLayout w:type="fixed"/>
        <w:tblLook w:firstColumn="1" w:firstRow="1" w:lastColumn="0" w:lastRow="0" w:noHBand="0" w:noVBand="1" w:val="04A0"/>
      </w:tblPr>
      <w:tblGrid>
        <w:gridCol w:w="1441"/>
        <w:gridCol w:w="1441"/>
        <w:gridCol w:w="1441"/>
        <w:gridCol w:w="1441"/>
        <w:gridCol w:w="1441"/>
        <w:gridCol w:w="1441"/>
        <w:gridCol w:w="1441"/>
      </w:tblGrid>
      <w:tr>
        <w:trPr>
          <w:tblHeader w:val="true"/>
        </w:trPr>
        <w:tc>
          <w:tcPr>
            <w:tcW w:type="dxa" w:w="680"/>
            <w:vAlign w:val="center"/>
            <w:tcMar>
              <w:top w:w="70" w:type="dxa"/>
              <w:start w:w="70" w:type="dxa"/>
              <w:bottom w:w="70" w:type="dxa"/>
              <w:end w:w="70" w:type="dxa"/>
            </w:tcMar>
            <w:shd w:fill="17365D"/>
          </w:tcPr>
          <w:p>
            <w:pPr>
              <w:keepNext w:val="0"/>
              <w:spacing w:before="0" w:after="0" w:line="252" w:lineRule="auto"/>
              <w:jc w:val="center"/>
            </w:pPr>
            <w:r/>
            <w:r>
              <w:rPr>
                <w:rFonts w:ascii="Noto Sans CJK SC" w:hAnsi="Noto Sans CJK SC" w:eastAsia="Noto Sans CJK SC"/>
                <w:b/>
                <w:color w:val="FFFFFF"/>
                <w:sz w:val="16"/>
              </w:rPr>
              <w:t>ID</w:t>
            </w:r>
          </w:p>
        </w:tc>
        <w:tc>
          <w:tcPr>
            <w:tcW w:type="dxa" w:w="2098"/>
            <w:vAlign w:val="center"/>
            <w:tcMar>
              <w:top w:w="70" w:type="dxa"/>
              <w:start w:w="70" w:type="dxa"/>
              <w:bottom w:w="70" w:type="dxa"/>
              <w:end w:w="70" w:type="dxa"/>
            </w:tcMar>
            <w:shd w:fill="17365D"/>
          </w:tcPr>
          <w:p>
            <w:pPr>
              <w:keepNext w:val="0"/>
              <w:spacing w:before="0" w:after="0" w:line="252" w:lineRule="auto"/>
              <w:jc w:val="center"/>
            </w:pPr>
            <w:r/>
            <w:r>
              <w:rPr>
                <w:rFonts w:ascii="Noto Sans CJK SC" w:hAnsi="Noto Sans CJK SC" w:eastAsia="Noto Sans CJK SC"/>
                <w:b/>
                <w:color w:val="FFFFFF"/>
                <w:sz w:val="16"/>
              </w:rPr>
              <w:t>节点</w:t>
            </w:r>
          </w:p>
        </w:tc>
        <w:tc>
          <w:tcPr>
            <w:tcW w:type="dxa" w:w="1247"/>
            <w:vAlign w:val="center"/>
            <w:tcMar>
              <w:top w:w="70" w:type="dxa"/>
              <w:start w:w="70" w:type="dxa"/>
              <w:bottom w:w="70" w:type="dxa"/>
              <w:end w:w="70" w:type="dxa"/>
            </w:tcMar>
            <w:shd w:fill="17365D"/>
          </w:tcPr>
          <w:p>
            <w:pPr>
              <w:keepNext w:val="0"/>
              <w:spacing w:before="0" w:after="0" w:line="252" w:lineRule="auto"/>
              <w:jc w:val="center"/>
            </w:pPr>
            <w:r/>
            <w:r>
              <w:rPr>
                <w:rFonts w:ascii="Noto Sans CJK SC" w:hAnsi="Noto Sans CJK SC" w:eastAsia="Noto Sans CJK SC"/>
                <w:b/>
                <w:color w:val="FFFFFF"/>
                <w:sz w:val="16"/>
              </w:rPr>
              <w:t>视图</w:t>
            </w:r>
          </w:p>
        </w:tc>
        <w:tc>
          <w:tcPr>
            <w:tcW w:type="dxa" w:w="1814"/>
            <w:vAlign w:val="center"/>
            <w:tcMar>
              <w:top w:w="70" w:type="dxa"/>
              <w:start w:w="70" w:type="dxa"/>
              <w:bottom w:w="70" w:type="dxa"/>
              <w:end w:w="70" w:type="dxa"/>
            </w:tcMar>
            <w:shd w:fill="17365D"/>
          </w:tcPr>
          <w:p>
            <w:pPr>
              <w:keepNext w:val="0"/>
              <w:spacing w:before="0" w:after="0" w:line="252" w:lineRule="auto"/>
              <w:jc w:val="center"/>
            </w:pPr>
            <w:r/>
            <w:r>
              <w:rPr>
                <w:rFonts w:ascii="Noto Sans CJK SC" w:hAnsi="Noto Sans CJK SC" w:eastAsia="Noto Sans CJK SC"/>
                <w:b/>
                <w:color w:val="FFFFFF"/>
                <w:sz w:val="16"/>
              </w:rPr>
              <w:t>A1阶段</w:t>
            </w:r>
          </w:p>
        </w:tc>
        <w:tc>
          <w:tcPr>
            <w:tcW w:type="dxa" w:w="1247"/>
            <w:vAlign w:val="center"/>
            <w:tcMar>
              <w:top w:w="70" w:type="dxa"/>
              <w:start w:w="70" w:type="dxa"/>
              <w:bottom w:w="70" w:type="dxa"/>
              <w:end w:w="70" w:type="dxa"/>
            </w:tcMar>
            <w:shd w:fill="17365D"/>
          </w:tcPr>
          <w:p>
            <w:pPr>
              <w:keepNext w:val="0"/>
              <w:spacing w:before="0" w:after="0" w:line="252" w:lineRule="auto"/>
              <w:jc w:val="center"/>
            </w:pPr>
            <w:r/>
            <w:r>
              <w:rPr>
                <w:rFonts w:ascii="Noto Sans CJK SC" w:hAnsi="Noto Sans CJK SC" w:eastAsia="Noto Sans CJK SC"/>
                <w:b/>
                <w:color w:val="FFFFFF"/>
                <w:sz w:val="16"/>
              </w:rPr>
              <w:t>A3处置</w:t>
            </w:r>
          </w:p>
        </w:tc>
        <w:tc>
          <w:tcPr>
            <w:tcW w:type="dxa" w:w="1247"/>
            <w:vAlign w:val="center"/>
            <w:tcMar>
              <w:top w:w="70" w:type="dxa"/>
              <w:start w:w="70" w:type="dxa"/>
              <w:bottom w:w="70" w:type="dxa"/>
              <w:end w:w="70" w:type="dxa"/>
            </w:tcMar>
            <w:shd w:fill="17365D"/>
          </w:tcPr>
          <w:p>
            <w:pPr>
              <w:keepNext w:val="0"/>
              <w:spacing w:before="0" w:after="0" w:line="252" w:lineRule="auto"/>
              <w:jc w:val="center"/>
            </w:pPr>
            <w:r/>
            <w:r>
              <w:rPr>
                <w:rFonts w:ascii="Noto Sans CJK SC" w:hAnsi="Noto Sans CJK SC" w:eastAsia="Noto Sans CJK SC"/>
                <w:b/>
                <w:color w:val="FFFFFF"/>
                <w:sz w:val="16"/>
              </w:rPr>
              <w:t>节点证据</w:t>
            </w:r>
          </w:p>
        </w:tc>
        <w:tc>
          <w:tcPr>
            <w:tcW w:type="dxa" w:w="1871"/>
            <w:vAlign w:val="center"/>
            <w:tcMar>
              <w:top w:w="70" w:type="dxa"/>
              <w:start w:w="70" w:type="dxa"/>
              <w:bottom w:w="70" w:type="dxa"/>
              <w:end w:w="70" w:type="dxa"/>
            </w:tcMar>
            <w:shd w:fill="17365D"/>
          </w:tcPr>
          <w:p>
            <w:pPr>
              <w:keepNext w:val="0"/>
              <w:spacing w:before="0" w:after="0" w:line="252" w:lineRule="auto"/>
              <w:jc w:val="center"/>
            </w:pPr>
            <w:r/>
            <w:r>
              <w:rPr>
                <w:rFonts w:ascii="Noto Sans CJK SC" w:hAnsi="Noto Sans CJK SC" w:eastAsia="Noto Sans CJK SC"/>
                <w:b/>
                <w:color w:val="FFFFFF"/>
                <w:sz w:val="16"/>
              </w:rPr>
              <w:t>说明</w:t>
            </w:r>
          </w:p>
        </w:tc>
      </w:tr>
      <w:tr>
        <w:tc>
          <w:tcPr>
            <w:tcW w:type="dxa" w:w="680"/>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N01</w:t>
            </w:r>
          </w:p>
        </w:tc>
        <w:tc>
          <w:tcPr>
            <w:tcW w:type="dxa" w:w="209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高功率AI热源/加速器与封装</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功能/物理</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已出现规模部署</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背景/未知</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双源+一级满足</w:t>
            </w:r>
          </w:p>
        </w:tc>
        <w:tc>
          <w:tcPr>
            <w:tcW w:type="dxa" w:w="187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节点结构证据达到A3起始双源规则；公司商业关系仍需单独验证。</w:t>
            </w:r>
          </w:p>
        </w:tc>
      </w:tr>
      <w:tr>
        <w:tc>
          <w:tcPr>
            <w:tcW w:type="dxa" w:w="680"/>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N02</w:t>
            </w:r>
          </w:p>
        </w:tc>
        <w:tc>
          <w:tcPr>
            <w:tcW w:type="dxa" w:w="209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导热界面材料与芯片—冷板接触界面</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物理/制造</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正在验证/随平台变化</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B支撑节点</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双源+一级满足</w:t>
            </w:r>
          </w:p>
        </w:tc>
        <w:tc>
          <w:tcPr>
            <w:tcW w:type="dxa" w:w="187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节点结构证据达到A3起始双源规则；公司商业关系仍需单独验证。</w:t>
            </w:r>
          </w:p>
        </w:tc>
      </w:tr>
      <w:tr>
        <w:tc>
          <w:tcPr>
            <w:tcW w:type="dxa" w:w="680"/>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N03</w:t>
            </w:r>
          </w:p>
        </w:tc>
        <w:tc>
          <w:tcPr>
            <w:tcW w:type="dxa" w:w="209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冷板</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物理/制造</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已出现订单+持续验证</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B主节点</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双源+一级满足</w:t>
            </w:r>
          </w:p>
        </w:tc>
        <w:tc>
          <w:tcPr>
            <w:tcW w:type="dxa" w:w="187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节点结构证据达到A3起始双源规则；公司商业关系仍需单独验证。</w:t>
            </w:r>
          </w:p>
        </w:tc>
      </w:tr>
      <w:tr>
        <w:tc>
          <w:tcPr>
            <w:tcW w:type="dxa" w:w="680"/>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N04</w:t>
            </w:r>
          </w:p>
        </w:tc>
        <w:tc>
          <w:tcPr>
            <w:tcW w:type="dxa" w:w="209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服务器内管路与快速接头/盲插接头</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接口/物理</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订单/产品已出，标准与认证仍在演进</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B主节点</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双源+一级满足</w:t>
            </w:r>
          </w:p>
        </w:tc>
        <w:tc>
          <w:tcPr>
            <w:tcW w:type="dxa" w:w="187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节点结构证据达到A3起始双源规则；公司商业关系仍需单独验证。</w:t>
            </w:r>
          </w:p>
        </w:tc>
      </w:tr>
      <w:tr>
        <w:tc>
          <w:tcPr>
            <w:tcW w:type="dxa" w:w="680"/>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N05</w:t>
            </w:r>
          </w:p>
        </w:tc>
        <w:tc>
          <w:tcPr>
            <w:tcW w:type="dxa" w:w="209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机架歧管/供回液分配</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物理/接口</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已商业化+客户定制</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B主节点</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双源+一级满足</w:t>
            </w:r>
          </w:p>
        </w:tc>
        <w:tc>
          <w:tcPr>
            <w:tcW w:type="dxa" w:w="187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节点结构证据达到A3起始双源规则；公司商业关系仍需单独验证。</w:t>
            </w:r>
          </w:p>
        </w:tc>
      </w:tr>
      <w:tr>
        <w:tc>
          <w:tcPr>
            <w:tcW w:type="dxa" w:w="680"/>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N06</w:t>
            </w:r>
          </w:p>
        </w:tc>
        <w:tc>
          <w:tcPr>
            <w:tcW w:type="dxa" w:w="209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阀门与执行器</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物理/控制</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成熟供给，AI专用性待核</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背景/未知</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部分</w:t>
            </w:r>
          </w:p>
        </w:tc>
        <w:tc>
          <w:tcPr>
            <w:tcW w:type="dxa" w:w="187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关键来源未达到双源且含一级来源；保留待核/未知。</w:t>
            </w:r>
          </w:p>
        </w:tc>
      </w:tr>
      <w:tr>
        <w:tc>
          <w:tcPr>
            <w:tcW w:type="dxa" w:w="680"/>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N07</w:t>
            </w:r>
          </w:p>
        </w:tc>
        <w:tc>
          <w:tcPr>
            <w:tcW w:type="dxa" w:w="209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流量/压力/温度/水质/漏液传感</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控制/运维</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商业化，独立价值量待核</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B支撑节点</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双源+一级满足</w:t>
            </w:r>
          </w:p>
        </w:tc>
        <w:tc>
          <w:tcPr>
            <w:tcW w:type="dxa" w:w="187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节点结构证据达到A3起始双源规则；公司商业关系仍需单独验证。</w:t>
            </w:r>
          </w:p>
        </w:tc>
      </w:tr>
      <w:tr>
        <w:tc>
          <w:tcPr>
            <w:tcW w:type="dxa" w:w="680"/>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N08</w:t>
            </w:r>
          </w:p>
        </w:tc>
        <w:tc>
          <w:tcPr>
            <w:tcW w:type="dxa" w:w="209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冷却液分配单元CDU</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物理/接口/控制</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已出现规模产品，供给快速扩张</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B主节点</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双源+一级满足</w:t>
            </w:r>
          </w:p>
        </w:tc>
        <w:tc>
          <w:tcPr>
            <w:tcW w:type="dxa" w:w="187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节点结构证据达到A3起始双源规则；公司商业关系仍需单独验证。</w:t>
            </w:r>
          </w:p>
        </w:tc>
      </w:tr>
      <w:tr>
        <w:tc>
          <w:tcPr>
            <w:tcW w:type="dxa" w:w="680"/>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N09</w:t>
            </w:r>
          </w:p>
        </w:tc>
        <w:tc>
          <w:tcPr>
            <w:tcW w:type="dxa" w:w="209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循环泵/无密封泵</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制造/物理</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成熟部件，数据中心资格待核</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背景/未知</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双源+一级满足</w:t>
            </w:r>
          </w:p>
        </w:tc>
        <w:tc>
          <w:tcPr>
            <w:tcW w:type="dxa" w:w="187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节点结构证据达到A3起始双源规则；公司商业关系仍需单独验证。</w:t>
            </w:r>
          </w:p>
        </w:tc>
      </w:tr>
      <w:tr>
        <w:tc>
          <w:tcPr>
            <w:tcW w:type="dxa" w:w="680"/>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N10</w:t>
            </w:r>
          </w:p>
        </w:tc>
        <w:tc>
          <w:tcPr>
            <w:tcW w:type="dxa" w:w="209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板式换热器</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制造/物理</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成熟供给，AI规格升级</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背景/未知</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双源+一级满足</w:t>
            </w:r>
          </w:p>
        </w:tc>
        <w:tc>
          <w:tcPr>
            <w:tcW w:type="dxa" w:w="187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节点结构证据达到A3起始双源规则；公司商业关系仍需单独验证。</w:t>
            </w:r>
          </w:p>
        </w:tc>
      </w:tr>
      <w:tr>
        <w:tc>
          <w:tcPr>
            <w:tcW w:type="dxa" w:w="680"/>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N11</w:t>
            </w:r>
          </w:p>
        </w:tc>
        <w:tc>
          <w:tcPr>
            <w:tcW w:type="dxa" w:w="209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过滤/旁滤/颗粒控制</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制造/运维</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商业化，长期维护证据不足</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背景/未知</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双源+一级满足</w:t>
            </w:r>
          </w:p>
        </w:tc>
        <w:tc>
          <w:tcPr>
            <w:tcW w:type="dxa" w:w="187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节点结构证据达到A3起始双源规则；公司商业关系仍需单独验证。</w:t>
            </w:r>
          </w:p>
        </w:tc>
      </w:tr>
      <w:tr>
        <w:tc>
          <w:tcPr>
            <w:tcW w:type="dxa" w:w="680"/>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N12</w:t>
            </w:r>
          </w:p>
        </w:tc>
        <w:tc>
          <w:tcPr>
            <w:tcW w:type="dxa" w:w="209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膨胀、补液、脱气与排气</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物理/运维</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商业化，设计差异大</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背景/未知</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部分</w:t>
            </w:r>
          </w:p>
        </w:tc>
        <w:tc>
          <w:tcPr>
            <w:tcW w:type="dxa" w:w="187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关键来源未达到双源且含一级来源；保留待核/未知。</w:t>
            </w:r>
          </w:p>
        </w:tc>
      </w:tr>
      <w:tr>
        <w:tc>
          <w:tcPr>
            <w:tcW w:type="dxa" w:w="680"/>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N13</w:t>
            </w:r>
          </w:p>
        </w:tc>
        <w:tc>
          <w:tcPr>
            <w:tcW w:type="dxa" w:w="209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变频驱动、PLC与CDU控制</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控制/接口</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商业化，软件价值独立性待核</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背景/未知</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双源+一级满足</w:t>
            </w:r>
          </w:p>
        </w:tc>
        <w:tc>
          <w:tcPr>
            <w:tcW w:type="dxa" w:w="187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节点结构证据达到A3起始双源规则；公司商业关系仍需单独验证。</w:t>
            </w:r>
          </w:p>
        </w:tc>
      </w:tr>
      <w:tr>
        <w:tc>
          <w:tcPr>
            <w:tcW w:type="dxa" w:w="680"/>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N14</w:t>
            </w:r>
          </w:p>
        </w:tc>
        <w:tc>
          <w:tcPr>
            <w:tcW w:type="dxa" w:w="209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单相水/乙二醇/丙二醇冷却液</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材料/运维</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产品已商业化，长期标准化仍在演进</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B支撑节点</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双源+一级满足</w:t>
            </w:r>
          </w:p>
        </w:tc>
        <w:tc>
          <w:tcPr>
            <w:tcW w:type="dxa" w:w="187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节点结构证据达到A3起始双源规则；公司商业关系仍需单独验证。</w:t>
            </w:r>
          </w:p>
        </w:tc>
      </w:tr>
      <w:tr>
        <w:tc>
          <w:tcPr>
            <w:tcW w:type="dxa" w:w="680"/>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N15</w:t>
            </w:r>
          </w:p>
        </w:tc>
        <w:tc>
          <w:tcPr>
            <w:tcW w:type="dxa" w:w="209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介电两相DTC工质</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材料/替代</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正在验证/早期商业</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背景/未知</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部分</w:t>
            </w:r>
          </w:p>
        </w:tc>
        <w:tc>
          <w:tcPr>
            <w:tcW w:type="dxa" w:w="187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关键来源未达到双源且含一级来源；保留待核/未知。</w:t>
            </w:r>
          </w:p>
        </w:tc>
      </w:tr>
      <w:tr>
        <w:tc>
          <w:tcPr>
            <w:tcW w:type="dxa" w:w="680"/>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N16</w:t>
            </w:r>
          </w:p>
        </w:tc>
        <w:tc>
          <w:tcPr>
            <w:tcW w:type="dxa" w:w="209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浸没式介电液</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材料/替代</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商业产品存在，规模与路线分化</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背景/未知</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部分</w:t>
            </w:r>
          </w:p>
        </w:tc>
        <w:tc>
          <w:tcPr>
            <w:tcW w:type="dxa" w:w="187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关键来源未达到双源且含一级来源；保留待核/未知。</w:t>
            </w:r>
          </w:p>
        </w:tc>
      </w:tr>
      <w:tr>
        <w:tc>
          <w:tcPr>
            <w:tcW w:type="dxa" w:w="680"/>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N17</w:t>
            </w:r>
          </w:p>
        </w:tc>
        <w:tc>
          <w:tcPr>
            <w:tcW w:type="dxa" w:w="209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设施水环/一次侧管网</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交付/物理</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成熟工程，改造成为约束</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B主节点</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双源+一级满足</w:t>
            </w:r>
          </w:p>
        </w:tc>
        <w:tc>
          <w:tcPr>
            <w:tcW w:type="dxa" w:w="187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节点结构证据达到A3起始双源规则；公司商业关系仍需单独验证。</w:t>
            </w:r>
          </w:p>
        </w:tc>
      </w:tr>
      <w:tr>
        <w:tc>
          <w:tcPr>
            <w:tcW w:type="dxa" w:w="680"/>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N18</w:t>
            </w:r>
          </w:p>
        </w:tc>
        <w:tc>
          <w:tcPr>
            <w:tcW w:type="dxa" w:w="209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水处理、清洗与材料兼容</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制造/运维</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隐藏关键点，公开数据不足</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背景/未知</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双源+一级满足</w:t>
            </w:r>
          </w:p>
        </w:tc>
        <w:tc>
          <w:tcPr>
            <w:tcW w:type="dxa" w:w="187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节点结构证据达到A3起始双源规则；公司商业关系仍需单独验证。</w:t>
            </w:r>
          </w:p>
        </w:tc>
      </w:tr>
      <w:tr>
        <w:tc>
          <w:tcPr>
            <w:tcW w:type="dxa" w:w="680"/>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N19</w:t>
            </w:r>
          </w:p>
        </w:tc>
        <w:tc>
          <w:tcPr>
            <w:tcW w:type="dxa" w:w="209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最终排热：干冷器/冷机/冷却塔</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物理/设施</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成熟供给，项目条件决定组合</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B主节点</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双源+一级满足</w:t>
            </w:r>
          </w:p>
        </w:tc>
        <w:tc>
          <w:tcPr>
            <w:tcW w:type="dxa" w:w="187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节点结构证据达到A3起始双源规则；公司商业关系仍需单独验证。</w:t>
            </w:r>
          </w:p>
        </w:tc>
      </w:tr>
      <w:tr>
        <w:tc>
          <w:tcPr>
            <w:tcW w:type="dxa" w:w="680"/>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N20</w:t>
            </w:r>
          </w:p>
        </w:tc>
        <w:tc>
          <w:tcPr>
            <w:tcW w:type="dxa" w:w="209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后门换热器RDHx</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替代/产品</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已有产品/部署，密度上限场景化</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B主节点</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双源+一级满足</w:t>
            </w:r>
          </w:p>
        </w:tc>
        <w:tc>
          <w:tcPr>
            <w:tcW w:type="dxa" w:w="187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节点结构证据达到A3起始双源规则；公司商业关系仍需单独验证。</w:t>
            </w:r>
          </w:p>
        </w:tc>
      </w:tr>
      <w:tr>
        <w:tc>
          <w:tcPr>
            <w:tcW w:type="dxa" w:w="680"/>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N21</w:t>
            </w:r>
          </w:p>
        </w:tc>
        <w:tc>
          <w:tcPr>
            <w:tcW w:type="dxa" w:w="209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单相浸没槽/系统</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替代/产品</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商业化但应用比例不明</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B主节点</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双源+一级满足</w:t>
            </w:r>
          </w:p>
        </w:tc>
        <w:tc>
          <w:tcPr>
            <w:tcW w:type="dxa" w:w="187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节点结构证据达到A3起始双源规则；公司商业关系仍需单独验证。</w:t>
            </w:r>
          </w:p>
        </w:tc>
      </w:tr>
      <w:tr>
        <w:tc>
          <w:tcPr>
            <w:tcW w:type="dxa" w:w="680"/>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N22</w:t>
            </w:r>
          </w:p>
        </w:tc>
        <w:tc>
          <w:tcPr>
            <w:tcW w:type="dxa" w:w="209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两相浸没/冷凝回路</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替代/产品</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早期商业/验证</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背景/未知</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部分</w:t>
            </w:r>
          </w:p>
        </w:tc>
        <w:tc>
          <w:tcPr>
            <w:tcW w:type="dxa" w:w="187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关键来源未达到双源且含一级来源；保留待核/未知。</w:t>
            </w:r>
          </w:p>
        </w:tc>
      </w:tr>
      <w:tr>
        <w:tc>
          <w:tcPr>
            <w:tcW w:type="dxa" w:w="680"/>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N23</w:t>
            </w:r>
          </w:p>
        </w:tc>
        <w:tc>
          <w:tcPr>
            <w:tcW w:type="dxa" w:w="209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BMS/DCIM/遥测与控制接口</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接口/软件</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商业化，独立收费能力待核</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B支撑节点</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双源+一级满足</w:t>
            </w:r>
          </w:p>
        </w:tc>
        <w:tc>
          <w:tcPr>
            <w:tcW w:type="dxa" w:w="187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节点结构证据达到A3起始双源规则；公司商业关系仍需单独验证。</w:t>
            </w:r>
          </w:p>
        </w:tc>
      </w:tr>
      <w:tr>
        <w:tc>
          <w:tcPr>
            <w:tcW w:type="dxa" w:w="680"/>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N24</w:t>
            </w:r>
          </w:p>
        </w:tc>
        <w:tc>
          <w:tcPr>
            <w:tcW w:type="dxa" w:w="209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预制管路、skid与模块化交付</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交付/制造</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商业化，项目毛利/现金风险待核</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B主节点</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部分</w:t>
            </w:r>
          </w:p>
        </w:tc>
        <w:tc>
          <w:tcPr>
            <w:tcW w:type="dxa" w:w="187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关键来源未达到双源且含一级来源；保留待核/未知。</w:t>
            </w:r>
          </w:p>
        </w:tc>
      </w:tr>
      <w:tr>
        <w:tc>
          <w:tcPr>
            <w:tcW w:type="dxa" w:w="680"/>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N25</w:t>
            </w:r>
          </w:p>
        </w:tc>
        <w:tc>
          <w:tcPr>
            <w:tcW w:type="dxa" w:w="209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精密加工与微通道制造</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制造</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潜在隐藏瓶颈，公开产能不足</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B支撑节点</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部分</w:t>
            </w:r>
          </w:p>
        </w:tc>
        <w:tc>
          <w:tcPr>
            <w:tcW w:type="dxa" w:w="187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关键来源未达到双源且含一级来源；保留待核/未知。</w:t>
            </w:r>
          </w:p>
        </w:tc>
      </w:tr>
      <w:tr>
        <w:tc>
          <w:tcPr>
            <w:tcW w:type="dxa" w:w="680"/>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N26</w:t>
            </w:r>
          </w:p>
        </w:tc>
        <w:tc>
          <w:tcPr>
            <w:tcW w:type="dxa" w:w="209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钎焊/焊接/密封与表面处理</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制造</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潜在隐藏瓶颈，需实体/工艺核验</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B支撑节点</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双源+一级满足</w:t>
            </w:r>
          </w:p>
        </w:tc>
        <w:tc>
          <w:tcPr>
            <w:tcW w:type="dxa" w:w="187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节点结构证据达到A3起始双源规则；公司商业关系仍需单独验证。</w:t>
            </w:r>
          </w:p>
        </w:tc>
      </w:tr>
      <w:tr>
        <w:tc>
          <w:tcPr>
            <w:tcW w:type="dxa" w:w="680"/>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N27</w:t>
            </w:r>
          </w:p>
        </w:tc>
        <w:tc>
          <w:tcPr>
            <w:tcW w:type="dxa" w:w="209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泄漏/压力/流量/热性能/腐蚀/寿命测试</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制造/认证</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关键认证环节，公开通过率未知</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B支撑节点</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双源+一级满足</w:t>
            </w:r>
          </w:p>
        </w:tc>
        <w:tc>
          <w:tcPr>
            <w:tcW w:type="dxa" w:w="187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节点结构证据达到A3起始双源规则；公司商业关系仍需单独验证。</w:t>
            </w:r>
          </w:p>
        </w:tc>
      </w:tr>
      <w:tr>
        <w:tc>
          <w:tcPr>
            <w:tcW w:type="dxa" w:w="680"/>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N28</w:t>
            </w:r>
          </w:p>
        </w:tc>
        <w:tc>
          <w:tcPr>
            <w:tcW w:type="dxa" w:w="209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系统设计、集成、机房改造与调试</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交付</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已有项目能力，利润/现金风险较高</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B主节点</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双源+一级满足</w:t>
            </w:r>
          </w:p>
        </w:tc>
        <w:tc>
          <w:tcPr>
            <w:tcW w:type="dxa" w:w="187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节点结构证据达到A3起始双源规则；公司商业关系仍需单独验证。</w:t>
            </w:r>
          </w:p>
        </w:tc>
      </w:tr>
      <w:tr>
        <w:tc>
          <w:tcPr>
            <w:tcW w:type="dxa" w:w="680"/>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N29</w:t>
            </w:r>
          </w:p>
        </w:tc>
        <w:tc>
          <w:tcPr>
            <w:tcW w:type="dxa" w:w="209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运维：液质检测、换液、过滤、备件、清洗</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运维</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需求存在，收入模式/频率未知</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背景/未知</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双源+一级满足</w:t>
            </w:r>
          </w:p>
        </w:tc>
        <w:tc>
          <w:tcPr>
            <w:tcW w:type="dxa" w:w="187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节点结构证据达到A3起始双源规则；公司商业关系仍需单独验证。</w:t>
            </w:r>
          </w:p>
        </w:tc>
      </w:tr>
      <w:tr>
        <w:tc>
          <w:tcPr>
            <w:tcW w:type="dxa" w:w="680"/>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N30</w:t>
            </w:r>
          </w:p>
        </w:tc>
        <w:tc>
          <w:tcPr>
            <w:tcW w:type="dxa" w:w="209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余热回收与热复用</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运维/替代</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示范/早期商业，通用经济性未知</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背景/未知</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双源+一级满足</w:t>
            </w:r>
          </w:p>
        </w:tc>
        <w:tc>
          <w:tcPr>
            <w:tcW w:type="dxa" w:w="187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节点结构证据达到A3起始双源规则；公司商业关系仍需单独验证。</w:t>
            </w:r>
          </w:p>
        </w:tc>
      </w:tr>
      <w:tr>
        <w:tc>
          <w:tcPr>
            <w:tcW w:type="dxa" w:w="680"/>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N31</w:t>
            </w:r>
          </w:p>
        </w:tc>
        <w:tc>
          <w:tcPr>
            <w:tcW w:type="dxa" w:w="209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液到气局部闭环/风液混合</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替代/交付</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商业化，适合存量改造</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B支撑节点</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双源+一级满足</w:t>
            </w:r>
          </w:p>
        </w:tc>
        <w:tc>
          <w:tcPr>
            <w:tcW w:type="dxa" w:w="187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节点结构证据达到A3起始双源规则；公司商业关系仍需单独验证。</w:t>
            </w:r>
          </w:p>
        </w:tc>
      </w:tr>
      <w:tr>
        <w:tc>
          <w:tcPr>
            <w:tcW w:type="dxa" w:w="680"/>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N32</w:t>
            </w:r>
          </w:p>
        </w:tc>
        <w:tc>
          <w:tcPr>
            <w:tcW w:type="dxa" w:w="209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单相冷板DTC路线</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路线</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已规模部署+标准演进</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背景/未知</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双源+一级满足</w:t>
            </w:r>
          </w:p>
        </w:tc>
        <w:tc>
          <w:tcPr>
            <w:tcW w:type="dxa" w:w="187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节点结构证据达到A3起始双源规则；公司商业关系仍需单独验证。</w:t>
            </w:r>
          </w:p>
        </w:tc>
      </w:tr>
      <w:tr>
        <w:tc>
          <w:tcPr>
            <w:tcW w:type="dxa" w:w="680"/>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N33</w:t>
            </w:r>
          </w:p>
        </w:tc>
        <w:tc>
          <w:tcPr>
            <w:tcW w:type="dxa" w:w="209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单相浸没路线</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路线</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商业化/选择性部署</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B主节点</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双源+一级满足</w:t>
            </w:r>
          </w:p>
        </w:tc>
        <w:tc>
          <w:tcPr>
            <w:tcW w:type="dxa" w:w="187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节点结构证据达到A3起始双源规则；公司商业关系仍需单独验证。</w:t>
            </w:r>
          </w:p>
        </w:tc>
      </w:tr>
      <w:tr>
        <w:tc>
          <w:tcPr>
            <w:tcW w:type="dxa" w:w="680"/>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N34</w:t>
            </w:r>
          </w:p>
        </w:tc>
        <w:tc>
          <w:tcPr>
            <w:tcW w:type="dxa" w:w="209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两相DTC路线</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路线</w:t>
            </w:r>
          </w:p>
        </w:tc>
        <w:tc>
          <w:tcPr>
            <w:tcW w:type="dxa" w:w="181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验证/早期商业</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背景/未知</w:t>
            </w:r>
          </w:p>
        </w:tc>
        <w:tc>
          <w:tcPr>
            <w:tcW w:type="dxa" w:w="1247"/>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部分</w:t>
            </w:r>
          </w:p>
        </w:tc>
        <w:tc>
          <w:tcPr>
            <w:tcW w:type="dxa" w:w="187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关键来源未达到双源且含一级来源；保留待核/未知。</w:t>
            </w:r>
          </w:p>
        </w:tc>
      </w:tr>
      <w:tr>
        <w:tc>
          <w:tcPr>
            <w:tcW w:type="dxa" w:w="680"/>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N35</w:t>
            </w:r>
          </w:p>
        </w:tc>
        <w:tc>
          <w:tcPr>
            <w:tcW w:type="dxa" w:w="209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传统风冷与高效风冷混合路线</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路线</w:t>
            </w:r>
          </w:p>
        </w:tc>
        <w:tc>
          <w:tcPr>
            <w:tcW w:type="dxa" w:w="181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长期共存，非全量液冷</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B支撑节点</w:t>
            </w:r>
          </w:p>
        </w:tc>
        <w:tc>
          <w:tcPr>
            <w:tcW w:type="dxa" w:w="1247"/>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双源+一级满足</w:t>
            </w:r>
          </w:p>
        </w:tc>
        <w:tc>
          <w:tcPr>
            <w:tcW w:type="dxa" w:w="187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节点结构证据达到A3起始双源规则；公司商业关系仍需单独验证。</w:t>
            </w:r>
          </w:p>
        </w:tc>
      </w:tr>
    </w:tbl>
    <w:p/>
    <w:p>
      <w:pPr>
        <w:pStyle w:val="Heading2"/>
      </w:pPr>
      <w:r>
        <w:t>节点分布说明</w:t>
      </w:r>
    </w:p>
    <w:p>
      <w:pPr>
        <w:pStyle w:val="ListBullet"/>
        <w:keepNext w:val="0"/>
        <w:spacing w:before="0" w:after="40" w:line="264" w:lineRule="auto"/>
      </w:pPr>
      <w:r>
        <w:rPr>
          <w:rFonts w:ascii="Noto Sans CJK SC" w:hAnsi="Noto Sans CJK SC" w:eastAsia="Noto Sans CJK SC"/>
          <w:color w:val="222222"/>
          <w:sz w:val="18"/>
        </w:rPr>
        <w:t>B主节点用于直接液冷经营实体的产品、订单和收入核查。</w:t>
      </w:r>
    </w:p>
    <w:p>
      <w:pPr>
        <w:pStyle w:val="ListBullet"/>
        <w:keepNext w:val="0"/>
        <w:spacing w:before="0" w:after="40" w:line="264" w:lineRule="auto"/>
      </w:pPr>
      <w:r>
        <w:rPr>
          <w:rFonts w:ascii="Noto Sans CJK SC" w:hAnsi="Noto Sans CJK SC" w:eastAsia="Noto Sans CJK SC"/>
          <w:color w:val="222222"/>
          <w:sz w:val="18"/>
        </w:rPr>
        <w:t>B支撑节点用于解释制造、测试、控制、工质和改造，但没有独立实体时不单独形成公司候选。</w:t>
      </w:r>
    </w:p>
    <w:p>
      <w:pPr>
        <w:pStyle w:val="ListBullet"/>
        <w:keepNext w:val="0"/>
        <w:spacing w:before="0" w:after="40" w:line="264" w:lineRule="auto"/>
      </w:pPr>
      <w:r>
        <w:rPr>
          <w:rFonts w:ascii="Noto Sans CJK SC" w:hAnsi="Noto Sans CJK SC" w:eastAsia="Noto Sans CJK SC"/>
          <w:color w:val="222222"/>
          <w:sz w:val="18"/>
        </w:rPr>
        <w:t>背景/未知节点继续服务于替代、客户自制和失效条件，不因不进入B而从产业图删除。</w:t>
      </w:r>
    </w:p>
    <w:p>
      <w:pPr>
        <w:pStyle w:val="ListBullet"/>
        <w:keepNext w:val="0"/>
        <w:spacing w:before="0" w:after="40" w:line="264" w:lineRule="auto"/>
      </w:pPr>
      <w:r>
        <w:rPr>
          <w:rFonts w:ascii="Noto Sans CJK SC" w:hAnsi="Noto Sans CJK SC" w:eastAsia="Noto Sans CJK SC"/>
          <w:color w:val="222222"/>
          <w:sz w:val="18"/>
        </w:rPr>
        <w:t>“节点双源满足”只证明产业节点真实存在，不证明某家公司的供货关系。</w:t>
      </w:r>
    </w:p>
    <w:p>
      <w:pPr>
        <w:pStyle w:val="Heading1"/>
      </w:pPr>
      <w:r>
        <w:t>附录B　全球与非上市背景实体</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trPr>
        <w:tc>
          <w:tcPr>
            <w:tcW w:type="dxa" w:w="794"/>
            <w:vAlign w:val="center"/>
            <w:tcMar>
              <w:top w:w="70" w:type="dxa"/>
              <w:start w:w="70" w:type="dxa"/>
              <w:bottom w:w="70" w:type="dxa"/>
              <w:end w:w="70" w:type="dxa"/>
            </w:tcMar>
            <w:shd w:fill="0F6B78"/>
          </w:tcPr>
          <w:p>
            <w:pPr>
              <w:keepNext w:val="0"/>
              <w:spacing w:before="0" w:after="0" w:line="252" w:lineRule="auto"/>
              <w:jc w:val="center"/>
            </w:pPr>
            <w:r/>
            <w:r>
              <w:rPr>
                <w:rFonts w:ascii="Noto Sans CJK SC" w:hAnsi="Noto Sans CJK SC" w:eastAsia="Noto Sans CJK SC"/>
                <w:b/>
                <w:color w:val="FFFFFF"/>
                <w:sz w:val="16"/>
              </w:rPr>
              <w:t>ID</w:t>
            </w:r>
          </w:p>
        </w:tc>
        <w:tc>
          <w:tcPr>
            <w:tcW w:type="dxa" w:w="2268"/>
            <w:vAlign w:val="center"/>
            <w:tcMar>
              <w:top w:w="70" w:type="dxa"/>
              <w:start w:w="70" w:type="dxa"/>
              <w:bottom w:w="70" w:type="dxa"/>
              <w:end w:w="70" w:type="dxa"/>
            </w:tcMar>
            <w:shd w:fill="0F6B78"/>
          </w:tcPr>
          <w:p>
            <w:pPr>
              <w:keepNext w:val="0"/>
              <w:spacing w:before="0" w:after="0" w:line="252" w:lineRule="auto"/>
              <w:jc w:val="center"/>
            </w:pPr>
            <w:r/>
            <w:r>
              <w:rPr>
                <w:rFonts w:ascii="Noto Sans CJK SC" w:hAnsi="Noto Sans CJK SC" w:eastAsia="Noto Sans CJK SC"/>
                <w:b/>
                <w:color w:val="FFFFFF"/>
                <w:sz w:val="16"/>
              </w:rPr>
              <w:t>实体</w:t>
            </w:r>
          </w:p>
        </w:tc>
        <w:tc>
          <w:tcPr>
            <w:tcW w:type="dxa" w:w="2268"/>
            <w:vAlign w:val="center"/>
            <w:tcMar>
              <w:top w:w="70" w:type="dxa"/>
              <w:start w:w="70" w:type="dxa"/>
              <w:bottom w:w="70" w:type="dxa"/>
              <w:end w:w="70" w:type="dxa"/>
            </w:tcMar>
            <w:shd w:fill="0F6B78"/>
          </w:tcPr>
          <w:p>
            <w:pPr>
              <w:keepNext w:val="0"/>
              <w:spacing w:before="0" w:after="0" w:line="252" w:lineRule="auto"/>
              <w:jc w:val="center"/>
            </w:pPr>
            <w:r/>
            <w:r>
              <w:rPr>
                <w:rFonts w:ascii="Noto Sans CJK SC" w:hAnsi="Noto Sans CJK SC" w:eastAsia="Noto Sans CJK SC"/>
                <w:b/>
                <w:color w:val="FFFFFF"/>
                <w:sz w:val="16"/>
              </w:rPr>
              <w:t>A3角色</w:t>
            </w:r>
          </w:p>
        </w:tc>
        <w:tc>
          <w:tcPr>
            <w:tcW w:type="dxa" w:w="2268"/>
            <w:vAlign w:val="center"/>
            <w:tcMar>
              <w:top w:w="70" w:type="dxa"/>
              <w:start w:w="70" w:type="dxa"/>
              <w:bottom w:w="70" w:type="dxa"/>
              <w:end w:w="70" w:type="dxa"/>
            </w:tcMar>
            <w:shd w:fill="0F6B78"/>
          </w:tcPr>
          <w:p>
            <w:pPr>
              <w:keepNext w:val="0"/>
              <w:spacing w:before="0" w:after="0" w:line="252" w:lineRule="auto"/>
              <w:jc w:val="center"/>
            </w:pPr>
            <w:r/>
            <w:r>
              <w:rPr>
                <w:rFonts w:ascii="Noto Sans CJK SC" w:hAnsi="Noto Sans CJK SC" w:eastAsia="Noto Sans CJK SC"/>
                <w:b/>
                <w:color w:val="FFFFFF"/>
                <w:sz w:val="16"/>
              </w:rPr>
              <w:t>节点</w:t>
            </w:r>
          </w:p>
        </w:tc>
        <w:tc>
          <w:tcPr>
            <w:tcW w:type="dxa" w:w="1701"/>
            <w:vAlign w:val="center"/>
            <w:tcMar>
              <w:top w:w="70" w:type="dxa"/>
              <w:start w:w="70" w:type="dxa"/>
              <w:bottom w:w="70" w:type="dxa"/>
              <w:end w:w="70" w:type="dxa"/>
            </w:tcMar>
            <w:shd w:fill="0F6B78"/>
          </w:tcPr>
          <w:p>
            <w:pPr>
              <w:keepNext w:val="0"/>
              <w:spacing w:before="0" w:after="0" w:line="252" w:lineRule="auto"/>
              <w:jc w:val="center"/>
            </w:pPr>
            <w:r/>
            <w:r>
              <w:rPr>
                <w:rFonts w:ascii="Noto Sans CJK SC" w:hAnsi="Noto Sans CJK SC" w:eastAsia="Noto Sans CJK SC"/>
                <w:b/>
                <w:color w:val="FFFFFF"/>
                <w:sz w:val="16"/>
              </w:rPr>
              <w:t>B处理</w:t>
            </w:r>
          </w:p>
        </w:tc>
      </w:tr>
      <w:tr>
        <w:tc>
          <w:tcPr>
            <w:tcW w:type="dxa" w:w="79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ENT001</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Microsoft</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付款人/自研架构背景</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N01,N08,N17,N19</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仅作背景，不做本地财务核查</w:t>
            </w:r>
          </w:p>
        </w:tc>
      </w:tr>
      <w:tr>
        <w:tc>
          <w:tcPr>
            <w:tcW w:type="dxa" w:w="79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ENT002</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Alphabet / Google</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付款人/自研架构背景</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N01,N03,N05,N08,N23,N31</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仅作背景，不做本地财务核查</w:t>
            </w:r>
          </w:p>
        </w:tc>
      </w:tr>
      <w:tr>
        <w:tc>
          <w:tcPr>
            <w:tcW w:type="dxa" w:w="79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ENT003</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Amazon / AWS</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付款人/自研架构背景</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N01,N08,N17,N19</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仅作背景，不做本地财务核查</w:t>
            </w:r>
          </w:p>
        </w:tc>
      </w:tr>
      <w:tr>
        <w:tc>
          <w:tcPr>
            <w:tcW w:type="dxa" w:w="79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ENT004</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Meta</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付款人/自研架构背景</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N01,N03,N05,N08,N23,N31</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仅作背景，不做本地财务核查</w:t>
            </w:r>
          </w:p>
        </w:tc>
      </w:tr>
      <w:tr>
        <w:tc>
          <w:tcPr>
            <w:tcW w:type="dxa" w:w="79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ENT005</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NVIDIA</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平台/OEM架构背景</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N01,N02,N03,N04,N05,N08,N23</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仅作背景，不做本地财务核查</w:t>
            </w:r>
          </w:p>
        </w:tc>
      </w:tr>
      <w:tr>
        <w:tc>
          <w:tcPr>
            <w:tcW w:type="dxa" w:w="79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ENT006</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Dell Technologies</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平台/OEM架构背景</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N01,N02,N03,N04,N23</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仅作背景，不做本地财务核查</w:t>
            </w:r>
          </w:p>
        </w:tc>
      </w:tr>
      <w:tr>
        <w:tc>
          <w:tcPr>
            <w:tcW w:type="dxa" w:w="79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ENT007</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Hewlett Packard Enterprise</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平台/OEM架构背景</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N01,N02,N03,N04,N05,N08,N23</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仅作背景，不做本地财务核查</w:t>
            </w:r>
          </w:p>
        </w:tc>
      </w:tr>
      <w:tr>
        <w:tc>
          <w:tcPr>
            <w:tcW w:type="dxa" w:w="79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ENT008</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Lenovo</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平台/OEM架构背景</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N01,N02,N03,N04,N05,N08,N23</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仅作背景，不做本地财务核查</w:t>
            </w:r>
          </w:p>
        </w:tc>
      </w:tr>
      <w:tr>
        <w:tc>
          <w:tcPr>
            <w:tcW w:type="dxa" w:w="79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ENT009</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Pegatron</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平台/OEM架构背景</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N01,N02,N03,N04,N05,N23</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仅作背景，不做本地财务核查</w:t>
            </w:r>
          </w:p>
        </w:tc>
      </w:tr>
      <w:tr>
        <w:tc>
          <w:tcPr>
            <w:tcW w:type="dxa" w:w="79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ENT010</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Schneider Electric / Motivair</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全球系统供给背景</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N02,N08,N17,N19,N20,N23,N28</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仅作背景，不做本地财务核查</w:t>
            </w:r>
          </w:p>
        </w:tc>
      </w:tr>
      <w:tr>
        <w:tc>
          <w:tcPr>
            <w:tcW w:type="dxa" w:w="79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ENT011</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Vertiv</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全球系统供给背景</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N08,N11,N13,N17,N20,N23,N28</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仅作背景，不做本地财务核查</w:t>
            </w:r>
          </w:p>
        </w:tc>
      </w:tr>
      <w:tr>
        <w:tc>
          <w:tcPr>
            <w:tcW w:type="dxa" w:w="79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ENT012</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Eaton / Boyd Thermal</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全球系统供给背景</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N02,N08,N10,N24,N28</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仅作背景，不做本地财务核查</w:t>
            </w:r>
          </w:p>
        </w:tc>
      </w:tr>
      <w:tr>
        <w:tc>
          <w:tcPr>
            <w:tcW w:type="dxa" w:w="79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ENT013</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Modine / Airedale</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全球系统供给背景</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N08,N17,N19</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仅作背景，不做本地财务核查</w:t>
            </w:r>
          </w:p>
        </w:tc>
      </w:tr>
      <w:tr>
        <w:tc>
          <w:tcPr>
            <w:tcW w:type="dxa" w:w="79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ENT014</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nVent</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全球系统供给背景</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N05,N07,N08,N23,N24</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仅作背景，不做本地财务核查</w:t>
            </w:r>
          </w:p>
        </w:tc>
      </w:tr>
      <w:tr>
        <w:tc>
          <w:tcPr>
            <w:tcW w:type="dxa" w:w="79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ENT015</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Trane Technologies / LiquidStack</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全球系统供给背景</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N08,N17,N19,N21,N24,N28,N33</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仅作背景，不做本地财务核查</w:t>
            </w:r>
          </w:p>
        </w:tc>
      </w:tr>
      <w:tr>
        <w:tc>
          <w:tcPr>
            <w:tcW w:type="dxa" w:w="79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ENT016</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CoolIT Systems</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全球系统供给背景</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N02,N05,N08,N20,N24,N28</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仅作背景，不做本地财务核查</w:t>
            </w:r>
          </w:p>
        </w:tc>
      </w:tr>
      <w:tr>
        <w:tc>
          <w:tcPr>
            <w:tcW w:type="dxa" w:w="79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ENT017</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STULZ</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全球系统供给背景</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N08,N09,N10,N11,N12,N13,N19</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仅作背景，不做本地财务核查</w:t>
            </w:r>
          </w:p>
        </w:tc>
      </w:tr>
      <w:tr>
        <w:tc>
          <w:tcPr>
            <w:tcW w:type="dxa" w:w="79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ENT018</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Parker Hannifin</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全球部件供给背景</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N04</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仅作背景，不做本地财务核查</w:t>
            </w:r>
          </w:p>
        </w:tc>
      </w:tr>
      <w:tr>
        <w:tc>
          <w:tcPr>
            <w:tcW w:type="dxa" w:w="79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ENT019</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Amphenol</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全球部件供给背景</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N04</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仅作背景，不做本地财务核查</w:t>
            </w:r>
          </w:p>
        </w:tc>
      </w:tr>
      <w:tr>
        <w:tc>
          <w:tcPr>
            <w:tcW w:type="dxa" w:w="79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ENT020</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Stäubli</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全球部件供给背景</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N04</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仅作背景，不做本地财务核查</w:t>
            </w:r>
          </w:p>
        </w:tc>
      </w:tr>
      <w:tr>
        <w:tc>
          <w:tcPr>
            <w:tcW w:type="dxa" w:w="79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ENT021</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CEJN</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全球部件供给背景</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N04</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仅作背景，不做本地财务核查</w:t>
            </w:r>
          </w:p>
        </w:tc>
      </w:tr>
      <w:tr>
        <w:tc>
          <w:tcPr>
            <w:tcW w:type="dxa" w:w="79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ENT022</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LÜDECKE</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全球部件供给背景</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N04</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仅作背景，不做本地财务核查</w:t>
            </w:r>
          </w:p>
        </w:tc>
      </w:tr>
      <w:tr>
        <w:tc>
          <w:tcPr>
            <w:tcW w:type="dxa" w:w="79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ENT023</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KRES Technology</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全球部件供给背景</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N04</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仅作背景，不做本地财务核查</w:t>
            </w:r>
          </w:p>
        </w:tc>
      </w:tr>
      <w:tr>
        <w:tc>
          <w:tcPr>
            <w:tcW w:type="dxa" w:w="79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ENT024</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BEEHE</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全球部件供给背景</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N04,N08,N09,N10,N11,N12,N13</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仅作背景，不做本地财务核查</w:t>
            </w:r>
          </w:p>
        </w:tc>
      </w:tr>
      <w:tr>
        <w:tc>
          <w:tcPr>
            <w:tcW w:type="dxa" w:w="79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ENT025</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Georg Fischer</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全球部件供给背景</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N05</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仅作背景，不做本地财务核查</w:t>
            </w:r>
          </w:p>
        </w:tc>
      </w:tr>
      <w:tr>
        <w:tc>
          <w:tcPr>
            <w:tcW w:type="dxa" w:w="79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ENT026</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Danfoss</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全球部件供给背景</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N06,N10,N13</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仅作背景，不做本地财务核查</w:t>
            </w:r>
          </w:p>
        </w:tc>
      </w:tr>
      <w:tr>
        <w:tc>
          <w:tcPr>
            <w:tcW w:type="dxa" w:w="79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ENT027</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Alfa Laval</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全球部件供给背景</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N10,N19</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仅作背景，不做本地财务核查</w:t>
            </w:r>
          </w:p>
        </w:tc>
      </w:tr>
      <w:tr>
        <w:tc>
          <w:tcPr>
            <w:tcW w:type="dxa" w:w="79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ENT028</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Belimo</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全球部件供给背景</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N06,N07,N13,N17</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仅作背景，不做本地财务核查</w:t>
            </w:r>
          </w:p>
        </w:tc>
      </w:tr>
      <w:tr>
        <w:tc>
          <w:tcPr>
            <w:tcW w:type="dxa" w:w="79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ENT029</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Dober</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全球部件供给背景</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N14,N18,N29</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仅作背景，不做本地财务核查</w:t>
            </w:r>
          </w:p>
        </w:tc>
      </w:tr>
      <w:tr>
        <w:tc>
          <w:tcPr>
            <w:tcW w:type="dxa" w:w="79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ENT030</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Dynalene</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全球部件供给背景</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N14,N18</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仅作背景，不做本地财务核查</w:t>
            </w:r>
          </w:p>
        </w:tc>
      </w:tr>
      <w:tr>
        <w:tc>
          <w:tcPr>
            <w:tcW w:type="dxa" w:w="79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ENT031</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Castrol / BP</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全球部件供给背景</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N14,N18</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仅作背景，不做本地财务核查</w:t>
            </w:r>
          </w:p>
        </w:tc>
      </w:tr>
      <w:tr>
        <w:tc>
          <w:tcPr>
            <w:tcW w:type="dxa" w:w="79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ENT032</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GRC</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替代路线背景</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N21,N33</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3"/>
              </w:rPr>
              <w:t>仅作背景，不做本地财务核查</w:t>
            </w:r>
          </w:p>
        </w:tc>
      </w:tr>
      <w:tr>
        <w:tc>
          <w:tcPr>
            <w:tcW w:type="dxa" w:w="79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ENT033</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ZutaCore</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替代路线背景</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N08,N15,N22,N34</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3"/>
              </w:rPr>
              <w:t>仅作背景，不做本地财务核查</w:t>
            </w:r>
          </w:p>
        </w:tc>
      </w:tr>
    </w:tbl>
    <w:p/>
    <w:p>
      <w:pPr>
        <w:pStyle w:val="Heading2"/>
      </w:pPr>
      <w:r>
        <w:t>中国非上市背景实体</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trPr>
        <w:tc>
          <w:tcPr>
            <w:tcW w:type="dxa" w:w="850"/>
            <w:vAlign w:val="center"/>
            <w:tcMar>
              <w:top w:w="70" w:type="dxa"/>
              <w:start w:w="70" w:type="dxa"/>
              <w:bottom w:w="70" w:type="dxa"/>
              <w:end w:w="70" w:type="dxa"/>
            </w:tcMar>
            <w:shd w:fill="B8860B"/>
          </w:tcPr>
          <w:p>
            <w:pPr>
              <w:keepNext w:val="0"/>
              <w:spacing w:before="0" w:after="0" w:line="252" w:lineRule="auto"/>
              <w:jc w:val="center"/>
            </w:pPr>
            <w:r/>
            <w:r>
              <w:rPr>
                <w:rFonts w:ascii="Noto Sans CJK SC" w:hAnsi="Noto Sans CJK SC" w:eastAsia="Noto Sans CJK SC"/>
                <w:b/>
                <w:color w:val="FFFFFF"/>
                <w:sz w:val="16"/>
              </w:rPr>
              <w:t>ID</w:t>
            </w:r>
          </w:p>
        </w:tc>
        <w:tc>
          <w:tcPr>
            <w:tcW w:type="dxa" w:w="1701"/>
            <w:vAlign w:val="center"/>
            <w:tcMar>
              <w:top w:w="70" w:type="dxa"/>
              <w:start w:w="70" w:type="dxa"/>
              <w:bottom w:w="70" w:type="dxa"/>
              <w:end w:w="70" w:type="dxa"/>
            </w:tcMar>
            <w:shd w:fill="B8860B"/>
          </w:tcPr>
          <w:p>
            <w:pPr>
              <w:keepNext w:val="0"/>
              <w:spacing w:before="0" w:after="0" w:line="252" w:lineRule="auto"/>
              <w:jc w:val="center"/>
            </w:pPr>
            <w:r/>
            <w:r>
              <w:rPr>
                <w:rFonts w:ascii="Noto Sans CJK SC" w:hAnsi="Noto Sans CJK SC" w:eastAsia="Noto Sans CJK SC"/>
                <w:b/>
                <w:color w:val="FFFFFF"/>
                <w:sz w:val="16"/>
              </w:rPr>
              <w:t>实体</w:t>
            </w:r>
          </w:p>
        </w:tc>
        <w:tc>
          <w:tcPr>
            <w:tcW w:type="dxa" w:w="2268"/>
            <w:vAlign w:val="center"/>
            <w:tcMar>
              <w:top w:w="70" w:type="dxa"/>
              <w:start w:w="70" w:type="dxa"/>
              <w:bottom w:w="70" w:type="dxa"/>
              <w:end w:w="70" w:type="dxa"/>
            </w:tcMar>
            <w:shd w:fill="B8860B"/>
          </w:tcPr>
          <w:p>
            <w:pPr>
              <w:keepNext w:val="0"/>
              <w:spacing w:before="0" w:after="0" w:line="252" w:lineRule="auto"/>
              <w:jc w:val="center"/>
            </w:pPr>
            <w:r/>
            <w:r>
              <w:rPr>
                <w:rFonts w:ascii="Noto Sans CJK SC" w:hAnsi="Noto Sans CJK SC" w:eastAsia="Noto Sans CJK SC"/>
                <w:b/>
                <w:color w:val="FFFFFF"/>
                <w:sz w:val="16"/>
              </w:rPr>
              <w:t>节点</w:t>
            </w:r>
          </w:p>
        </w:tc>
        <w:tc>
          <w:tcPr>
            <w:tcW w:type="dxa" w:w="1701"/>
            <w:vAlign w:val="center"/>
            <w:tcMar>
              <w:top w:w="70" w:type="dxa"/>
              <w:start w:w="70" w:type="dxa"/>
              <w:bottom w:w="70" w:type="dxa"/>
              <w:end w:w="70" w:type="dxa"/>
            </w:tcMar>
            <w:shd w:fill="B8860B"/>
          </w:tcPr>
          <w:p>
            <w:pPr>
              <w:keepNext w:val="0"/>
              <w:spacing w:before="0" w:after="0" w:line="252" w:lineRule="auto"/>
              <w:jc w:val="center"/>
            </w:pPr>
            <w:r/>
            <w:r>
              <w:rPr>
                <w:rFonts w:ascii="Noto Sans CJK SC" w:hAnsi="Noto Sans CJK SC" w:eastAsia="Noto Sans CJK SC"/>
                <w:b/>
                <w:color w:val="FFFFFF"/>
                <w:sz w:val="16"/>
              </w:rPr>
              <w:t>状态</w:t>
            </w:r>
          </w:p>
        </w:tc>
        <w:tc>
          <w:tcPr>
            <w:tcW w:type="dxa" w:w="2835"/>
            <w:vAlign w:val="center"/>
            <w:tcMar>
              <w:top w:w="70" w:type="dxa"/>
              <w:start w:w="70" w:type="dxa"/>
              <w:bottom w:w="70" w:type="dxa"/>
              <w:end w:w="70" w:type="dxa"/>
            </w:tcMar>
            <w:shd w:fill="B8860B"/>
          </w:tcPr>
          <w:p>
            <w:pPr>
              <w:keepNext w:val="0"/>
              <w:spacing w:before="0" w:after="0" w:line="252" w:lineRule="auto"/>
              <w:jc w:val="center"/>
            </w:pPr>
            <w:r/>
            <w:r>
              <w:rPr>
                <w:rFonts w:ascii="Noto Sans CJK SC" w:hAnsi="Noto Sans CJK SC" w:eastAsia="Noto Sans CJK SC"/>
                <w:b/>
                <w:color w:val="FFFFFF"/>
                <w:sz w:val="16"/>
              </w:rPr>
              <w:t>处理</w:t>
            </w:r>
          </w:p>
        </w:tc>
      </w:tr>
      <w:tr>
        <w:tc>
          <w:tcPr>
            <w:tcW w:type="dxa" w:w="850"/>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ENT042</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超聚变</w:t>
            </w:r>
          </w:p>
        </w:tc>
        <w:tc>
          <w:tcPr>
            <w:tcW w:type="dxa" w:w="226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N01,N02,N03,N04,N05,N08,N23,N24</w:t>
            </w:r>
          </w:p>
        </w:tc>
        <w:tc>
          <w:tcPr>
            <w:tcW w:type="dxa" w:w="170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非上市能力背景</w:t>
            </w:r>
          </w:p>
        </w:tc>
        <w:tc>
          <w:tcPr>
            <w:tcW w:type="dxa" w:w="2835"/>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4"/>
              </w:rPr>
              <w:t>用于OEM自研、整机柜、接口和采购边界；不进入A股财务核查。</w:t>
            </w:r>
          </w:p>
        </w:tc>
      </w:tr>
      <w:tr>
        <w:tc>
          <w:tcPr>
            <w:tcW w:type="dxa" w:w="850"/>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ENT043</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河南昆仑技术</w:t>
            </w:r>
          </w:p>
        </w:tc>
        <w:tc>
          <w:tcPr>
            <w:tcW w:type="dxa" w:w="226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N01,N02,N03,N04,N05,N08,N23,N24</w:t>
            </w:r>
          </w:p>
        </w:tc>
        <w:tc>
          <w:tcPr>
            <w:tcW w:type="dxa" w:w="170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非上市能力背景</w:t>
            </w:r>
          </w:p>
        </w:tc>
        <w:tc>
          <w:tcPr>
            <w:tcW w:type="dxa" w:w="2835"/>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4"/>
              </w:rPr>
              <w:t>用于国产服务器/OEM与整机柜能力背景；不猜测上市映射。</w:t>
            </w:r>
          </w:p>
        </w:tc>
      </w:tr>
    </w:tbl>
    <w:p/>
    <w:tbl>
      <w:tblPr>
        <w:tblW w:type="auto" w:w="0"/>
        <w:jc w:val="center"/>
        <w:tblLayout w:type="fixed"/>
        <w:tblLook w:firstColumn="1" w:firstRow="1" w:lastColumn="0" w:lastRow="0" w:noHBand="0" w:noVBand="1" w:val="04A0"/>
      </w:tblPr>
      <w:tblGrid>
        <w:gridCol w:w="10086"/>
      </w:tblGrid>
      <w:tr>
        <w:tc>
          <w:tcPr>
            <w:tcW w:type="dxa" w:w="10086"/>
            <w:shd w:fill="DDEBF7"/>
            <w:tcBorders>
              <w:top w:val="single" w:sz="16" w:color="0F6B78"/>
              <w:left w:val="single" w:sz="16" w:color="0F6B78"/>
              <w:bottom w:val="single" w:sz="16" w:color="0F6B78"/>
              <w:right w:val="single" w:sz="16" w:color="0F6B78"/>
            </w:tcBorders>
            <w:tcMar>
              <w:top w:w="120" w:type="dxa"/>
              <w:start w:w="160" w:type="dxa"/>
              <w:bottom w:w="120" w:type="dxa"/>
              <w:end w:w="160" w:type="dxa"/>
            </w:tcMar>
          </w:tcPr>
          <w:p>
            <w:pPr>
              <w:keepNext w:val="0"/>
              <w:spacing w:before="0" w:after="60" w:line="264" w:lineRule="auto"/>
            </w:pPr>
            <w:r/>
            <w:r>
              <w:rPr>
                <w:rFonts w:ascii="Noto Sans CJK SC" w:hAnsi="Noto Sans CJK SC" w:eastAsia="Noto Sans CJK SC"/>
                <w:b/>
                <w:color w:val="0F6B78"/>
                <w:sz w:val="20"/>
              </w:rPr>
              <w:t>为什么全球和非上市实体不能删除</w:t>
            </w:r>
          </w:p>
          <w:p>
            <w:pPr>
              <w:keepNext w:val="0"/>
              <w:spacing w:before="0" w:after="0" w:line="276" w:lineRule="auto"/>
            </w:pPr>
            <w:r>
              <w:rPr>
                <w:rFonts w:ascii="Noto Sans CJK SC" w:hAnsi="Noto Sans CJK SC" w:eastAsia="Noto Sans CJK SC"/>
                <w:color w:val="222222"/>
                <w:sz w:val="18"/>
              </w:rPr>
              <w:t>它们虽然不进入A股本地财务核查，却决定客户自制、接口标准、有效供给、二供和技术替代。只看A股会高估稀缺性和上市公司的潜在份额。A3因此把它们保留为竞争与失效条件背景，而不是买入候选。</w:t>
            </w:r>
          </w:p>
        </w:tc>
      </w:tr>
    </w:tbl>
    <w:p/>
    <w:p>
      <w:r>
        <w:br w:type="page"/>
      </w:r>
    </w:p>
    <w:p>
      <w:pPr>
        <w:sectPr>
          <w:headerReference w:type="default" r:id="rId9"/>
          <w:footerReference w:type="default" r:id="rId10"/>
          <w:pgSz w:w="12240" w:h="15840"/>
          <w:pgMar w:top="1020" w:right="1077" w:bottom="964" w:left="1077" w:header="454" w:footer="454" w:gutter="0"/>
          <w:cols w:space="720"/>
          <w:docGrid w:linePitch="360"/>
        </w:sectPr>
      </w:pPr>
    </w:p>
    <w:p>
      <w:pPr>
        <w:pStyle w:val="Heading1"/>
      </w:pPr>
      <w:r>
        <w:t>附录C　A3新增与本地审计证据</w:t>
      </w:r>
    </w:p>
    <w:tbl>
      <w:tblPr>
        <w:tblStyle w:val="TableGrid"/>
        <w:tblW w:type="auto" w:w="0"/>
        <w:jc w:val="center"/>
        <w:tblLayout w:type="fixed"/>
        <w:tblLook w:firstColumn="1" w:firstRow="1" w:lastColumn="0" w:lastRow="0" w:noHBand="0" w:noVBand="1" w:val="04A0"/>
      </w:tblPr>
      <w:tblGrid>
        <w:gridCol w:w="2069"/>
        <w:gridCol w:w="2069"/>
        <w:gridCol w:w="2069"/>
        <w:gridCol w:w="2069"/>
        <w:gridCol w:w="2069"/>
        <w:gridCol w:w="2069"/>
        <w:gridCol w:w="2069"/>
      </w:tblGrid>
      <w:tr>
        <w:trPr>
          <w:tblHeader w:val="true"/>
        </w:trPr>
        <w:tc>
          <w:tcPr>
            <w:tcW w:type="dxa" w:w="794"/>
            <w:vAlign w:val="center"/>
            <w:tcMar>
              <w:top w:w="70" w:type="dxa"/>
              <w:start w:w="70" w:type="dxa"/>
              <w:bottom w:w="70" w:type="dxa"/>
              <w:end w:w="70" w:type="dxa"/>
            </w:tcMar>
            <w:shd w:fill="17365D"/>
          </w:tcPr>
          <w:p>
            <w:pPr>
              <w:keepNext w:val="0"/>
              <w:spacing w:before="0" w:after="0" w:line="252" w:lineRule="auto"/>
              <w:jc w:val="center"/>
            </w:pPr>
            <w:r/>
            <w:r>
              <w:rPr>
                <w:rFonts w:ascii="Noto Sans CJK SC" w:hAnsi="Noto Sans CJK SC" w:eastAsia="Noto Sans CJK SC"/>
                <w:b/>
                <w:color w:val="FFFFFF"/>
                <w:sz w:val="16"/>
              </w:rPr>
              <w:t>ID</w:t>
            </w:r>
          </w:p>
        </w:tc>
        <w:tc>
          <w:tcPr>
            <w:tcW w:type="dxa" w:w="3118"/>
            <w:vAlign w:val="center"/>
            <w:tcMar>
              <w:top w:w="70" w:type="dxa"/>
              <w:start w:w="70" w:type="dxa"/>
              <w:bottom w:w="70" w:type="dxa"/>
              <w:end w:w="70" w:type="dxa"/>
            </w:tcMar>
            <w:shd w:fill="17365D"/>
          </w:tcPr>
          <w:p>
            <w:pPr>
              <w:keepNext w:val="0"/>
              <w:spacing w:before="0" w:after="0" w:line="252" w:lineRule="auto"/>
              <w:jc w:val="center"/>
            </w:pPr>
            <w:r/>
            <w:r>
              <w:rPr>
                <w:rFonts w:ascii="Noto Sans CJK SC" w:hAnsi="Noto Sans CJK SC" w:eastAsia="Noto Sans CJK SC"/>
                <w:b/>
                <w:color w:val="FFFFFF"/>
                <w:sz w:val="16"/>
              </w:rPr>
              <w:t>来源</w:t>
            </w:r>
          </w:p>
        </w:tc>
        <w:tc>
          <w:tcPr>
            <w:tcW w:type="dxa" w:w="794"/>
            <w:vAlign w:val="center"/>
            <w:tcMar>
              <w:top w:w="70" w:type="dxa"/>
              <w:start w:w="70" w:type="dxa"/>
              <w:bottom w:w="70" w:type="dxa"/>
              <w:end w:w="70" w:type="dxa"/>
            </w:tcMar>
            <w:shd w:fill="17365D"/>
          </w:tcPr>
          <w:p>
            <w:pPr>
              <w:keepNext w:val="0"/>
              <w:spacing w:before="0" w:after="0" w:line="252" w:lineRule="auto"/>
              <w:jc w:val="center"/>
            </w:pPr>
            <w:r/>
            <w:r>
              <w:rPr>
                <w:rFonts w:ascii="Noto Sans CJK SC" w:hAnsi="Noto Sans CJK SC" w:eastAsia="Noto Sans CJK SC"/>
                <w:b/>
                <w:color w:val="FFFFFF"/>
                <w:sz w:val="16"/>
              </w:rPr>
              <w:t>级别</w:t>
            </w:r>
          </w:p>
        </w:tc>
        <w:tc>
          <w:tcPr>
            <w:tcW w:type="dxa" w:w="1361"/>
            <w:vAlign w:val="center"/>
            <w:tcMar>
              <w:top w:w="70" w:type="dxa"/>
              <w:start w:w="70" w:type="dxa"/>
              <w:bottom w:w="70" w:type="dxa"/>
              <w:end w:w="70" w:type="dxa"/>
            </w:tcMar>
            <w:shd w:fill="17365D"/>
          </w:tcPr>
          <w:p>
            <w:pPr>
              <w:keepNext w:val="0"/>
              <w:spacing w:before="0" w:after="0" w:line="252" w:lineRule="auto"/>
              <w:jc w:val="center"/>
            </w:pPr>
            <w:r/>
            <w:r>
              <w:rPr>
                <w:rFonts w:ascii="Noto Sans CJK SC" w:hAnsi="Noto Sans CJK SC" w:eastAsia="Noto Sans CJK SC"/>
                <w:b/>
                <w:color w:val="FFFFFF"/>
                <w:sz w:val="16"/>
              </w:rPr>
              <w:t>发布日期</w:t>
            </w:r>
          </w:p>
        </w:tc>
        <w:tc>
          <w:tcPr>
            <w:tcW w:type="dxa" w:w="3969"/>
            <w:vAlign w:val="center"/>
            <w:tcMar>
              <w:top w:w="70" w:type="dxa"/>
              <w:start w:w="70" w:type="dxa"/>
              <w:bottom w:w="70" w:type="dxa"/>
              <w:end w:w="70" w:type="dxa"/>
            </w:tcMar>
            <w:shd w:fill="17365D"/>
          </w:tcPr>
          <w:p>
            <w:pPr>
              <w:keepNext w:val="0"/>
              <w:spacing w:before="0" w:after="0" w:line="252" w:lineRule="auto"/>
              <w:jc w:val="center"/>
            </w:pPr>
            <w:r/>
            <w:r>
              <w:rPr>
                <w:rFonts w:ascii="Noto Sans CJK SC" w:hAnsi="Noto Sans CJK SC" w:eastAsia="Noto Sans CJK SC"/>
                <w:b/>
                <w:color w:val="FFFFFF"/>
                <w:sz w:val="16"/>
              </w:rPr>
              <w:t>主张</w:t>
            </w:r>
          </w:p>
        </w:tc>
        <w:tc>
          <w:tcPr>
            <w:tcW w:type="dxa" w:w="3402"/>
            <w:vAlign w:val="center"/>
            <w:tcMar>
              <w:top w:w="70" w:type="dxa"/>
              <w:start w:w="70" w:type="dxa"/>
              <w:bottom w:w="70" w:type="dxa"/>
              <w:end w:w="70" w:type="dxa"/>
            </w:tcMar>
            <w:shd w:fill="17365D"/>
          </w:tcPr>
          <w:p>
            <w:pPr>
              <w:keepNext w:val="0"/>
              <w:spacing w:before="0" w:after="0" w:line="252" w:lineRule="auto"/>
              <w:jc w:val="center"/>
            </w:pPr>
            <w:r/>
            <w:r>
              <w:rPr>
                <w:rFonts w:ascii="Noto Sans CJK SC" w:hAnsi="Noto Sans CJK SC" w:eastAsia="Noto Sans CJK SC"/>
                <w:b/>
                <w:color w:val="FFFFFF"/>
                <w:sz w:val="16"/>
              </w:rPr>
              <w:t>能证明</w:t>
            </w:r>
          </w:p>
        </w:tc>
        <w:tc>
          <w:tcPr>
            <w:tcW w:type="dxa" w:w="3402"/>
            <w:vAlign w:val="center"/>
            <w:tcMar>
              <w:top w:w="70" w:type="dxa"/>
              <w:start w:w="70" w:type="dxa"/>
              <w:bottom w:w="70" w:type="dxa"/>
              <w:end w:w="70" w:type="dxa"/>
            </w:tcMar>
            <w:shd w:fill="17365D"/>
          </w:tcPr>
          <w:p>
            <w:pPr>
              <w:keepNext w:val="0"/>
              <w:spacing w:before="0" w:after="0" w:line="252" w:lineRule="auto"/>
              <w:jc w:val="center"/>
            </w:pPr>
            <w:r/>
            <w:r>
              <w:rPr>
                <w:rFonts w:ascii="Noto Sans CJK SC" w:hAnsi="Noto Sans CJK SC" w:eastAsia="Noto Sans CJK SC"/>
                <w:b/>
                <w:color w:val="FFFFFF"/>
                <w:sz w:val="16"/>
              </w:rPr>
              <w:t>不能证明</w:t>
            </w:r>
          </w:p>
        </w:tc>
      </w:tr>
      <w:tr>
        <w:tc>
          <w:tcPr>
            <w:tcW w:type="dxa" w:w="79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EV066</w:t>
            </w:r>
          </w:p>
        </w:tc>
        <w:tc>
          <w:tcPr>
            <w:tcW w:type="dxa" w:w="311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A2 本地支持摘要</w:t>
            </w:r>
          </w:p>
        </w:tc>
        <w:tc>
          <w:tcPr>
            <w:tcW w:type="dxa" w:w="79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A</w:t>
            </w:r>
          </w:p>
        </w:tc>
        <w:tc>
          <w:tcPr>
            <w:tcW w:type="dxa" w:w="136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2026-08-28</w:t>
            </w:r>
          </w:p>
        </w:tc>
        <w:tc>
          <w:tcPr>
            <w:tcW w:type="dxa" w:w="3969"/>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A2完成九个优先证券身份映射、本地数据覆盖审计和节点词典扫描；未确认任何产业供货关系。</w:t>
            </w:r>
          </w:p>
        </w:tc>
        <w:tc>
          <w:tcPr>
            <w:tcW w:type="dxa" w:w="3402"/>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支持实体映射、数据覆盖、时点过滤、关键词误报和缺口判断。</w:t>
            </w:r>
          </w:p>
        </w:tc>
        <w:tc>
          <w:tcPr>
            <w:tcW w:type="dxa" w:w="3402"/>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不能证明客户、认证、供货、订单、重复交付、收入、利润或现金。</w:t>
            </w:r>
          </w:p>
        </w:tc>
      </w:tr>
      <w:tr>
        <w:tc>
          <w:tcPr>
            <w:tcW w:type="dxa" w:w="79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EV067</w:t>
            </w:r>
          </w:p>
        </w:tc>
        <w:tc>
          <w:tcPr>
            <w:tcW w:type="dxa" w:w="311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A2 本地支持 JSON</w:t>
            </w:r>
          </w:p>
        </w:tc>
        <w:tc>
          <w:tcPr>
            <w:tcW w:type="dxa" w:w="79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A</w:t>
            </w:r>
          </w:p>
        </w:tc>
        <w:tc>
          <w:tcPr>
            <w:tcW w:type="dxa" w:w="136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2026-08-28</w:t>
            </w:r>
          </w:p>
        </w:tc>
        <w:tc>
          <w:tcPr>
            <w:tcW w:type="dxa" w:w="3969"/>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A2记录35节点、43实体、65证据交叉引用、九个证券映射和十二类本地数据清单。</w:t>
            </w:r>
          </w:p>
        </w:tc>
        <w:tc>
          <w:tcPr>
            <w:tcW w:type="dxa" w:w="3402"/>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支持A1交接完整性、输入清单、哈希和质量状态。</w:t>
            </w:r>
          </w:p>
        </w:tc>
        <w:tc>
          <w:tcPr>
            <w:tcW w:type="dxa" w:w="3402"/>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不能代替外部产业关系语义与公告正文。</w:t>
            </w:r>
          </w:p>
        </w:tc>
      </w:tr>
      <w:tr>
        <w:tc>
          <w:tcPr>
            <w:tcW w:type="dxa" w:w="79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EV068</w:t>
            </w:r>
          </w:p>
        </w:tc>
        <w:tc>
          <w:tcPr>
            <w:tcW w:type="dxa" w:w="311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A2 数据缺口登记</w:t>
            </w:r>
          </w:p>
        </w:tc>
        <w:tc>
          <w:tcPr>
            <w:tcW w:type="dxa" w:w="79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A</w:t>
            </w:r>
          </w:p>
        </w:tc>
        <w:tc>
          <w:tcPr>
            <w:tcW w:type="dxa" w:w="136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2026-08-28</w:t>
            </w:r>
          </w:p>
        </w:tc>
        <w:tc>
          <w:tcPr>
            <w:tcW w:type="dxa" w:w="3969"/>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本地缺少历史名称/代码、完整子公司与品牌、公告正文、客户供应关系和非上市实体主数据；920808历史价格身份待规范。</w:t>
            </w:r>
          </w:p>
        </w:tc>
        <w:tc>
          <w:tcPr>
            <w:tcW w:type="dxa" w:w="3402"/>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支持数据可获得性地基门和B阶段限制。</w:t>
            </w:r>
          </w:p>
        </w:tc>
        <w:tc>
          <w:tcPr>
            <w:tcW w:type="dxa" w:w="3402"/>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不表示实体不存在或公司没有相关业务。</w:t>
            </w:r>
          </w:p>
        </w:tc>
      </w:tr>
      <w:tr>
        <w:tc>
          <w:tcPr>
            <w:tcW w:type="dxa" w:w="79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EV069</w:t>
            </w:r>
          </w:p>
        </w:tc>
        <w:tc>
          <w:tcPr>
            <w:tcW w:type="dxa" w:w="311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Intel, Powerleader, and Envicool jointly launch multi-platform liquid-cooled aluminum cold plate system</w:t>
            </w:r>
          </w:p>
        </w:tc>
        <w:tc>
          <w:tcPr>
            <w:tcW w:type="dxa" w:w="79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B</w:t>
            </w:r>
          </w:p>
        </w:tc>
        <w:tc>
          <w:tcPr>
            <w:tcW w:type="dxa" w:w="136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2024-06-17</w:t>
            </w:r>
          </w:p>
        </w:tc>
        <w:tc>
          <w:tcPr>
            <w:tcW w:type="dxa" w:w="3969"/>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英维克与Intel、宝德联合发布多平台铝冷板液冷系统，并披露长期运行测试和标准化批量交付条件。</w:t>
            </w:r>
          </w:p>
        </w:tc>
        <w:tc>
          <w:tcPr>
            <w:tcW w:type="dxa" w:w="3402"/>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支持数据中心冷板系统设计、测试验证和量产条件能力。</w:t>
            </w:r>
          </w:p>
        </w:tc>
        <w:tc>
          <w:tcPr>
            <w:tcW w:type="dxa" w:w="3402"/>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不证明截至as_of的具体客户订单、重复交付规模、液冷收入、利润或现金。</w:t>
            </w:r>
          </w:p>
        </w:tc>
      </w:tr>
      <w:tr>
        <w:tc>
          <w:tcPr>
            <w:tcW w:type="dxa" w:w="79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EV070</w:t>
            </w:r>
          </w:p>
        </w:tc>
        <w:tc>
          <w:tcPr>
            <w:tcW w:type="dxa" w:w="311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CDCC液冷技术大会：英维克全链条液冷破解“耦合难题”</w:t>
            </w:r>
          </w:p>
        </w:tc>
        <w:tc>
          <w:tcPr>
            <w:tcW w:type="dxa" w:w="79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B</w:t>
            </w:r>
          </w:p>
        </w:tc>
        <w:tc>
          <w:tcPr>
            <w:tcW w:type="dxa" w:w="136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2025-03-27</w:t>
            </w:r>
          </w:p>
        </w:tc>
        <w:tc>
          <w:tcPr>
            <w:tcW w:type="dxa" w:w="3969"/>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英维克正式介绍数据中心全链条液冷方案，并列出冷板腐蚀、漏液和工质失效等耦合风险。</w:t>
            </w:r>
          </w:p>
        </w:tc>
        <w:tc>
          <w:tcPr>
            <w:tcW w:type="dxa" w:w="3402"/>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支持全链条产品/运维能力和关键失效因素。</w:t>
            </w:r>
          </w:p>
        </w:tc>
        <w:tc>
          <w:tcPr>
            <w:tcW w:type="dxa" w:w="3402"/>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不证明客户、合同、订单金额、收入或利润。</w:t>
            </w:r>
          </w:p>
        </w:tc>
      </w:tr>
      <w:tr>
        <w:tc>
          <w:tcPr>
            <w:tcW w:type="dxa" w:w="79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EV071</w:t>
            </w:r>
          </w:p>
        </w:tc>
        <w:tc>
          <w:tcPr>
            <w:tcW w:type="dxa" w:w="311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申菱参编《数据中心冷板式液冷测试验证技术白皮书》</w:t>
            </w:r>
          </w:p>
        </w:tc>
        <w:tc>
          <w:tcPr>
            <w:tcW w:type="dxa" w:w="79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B</w:t>
            </w:r>
          </w:p>
        </w:tc>
        <w:tc>
          <w:tcPr>
            <w:tcW w:type="dxa" w:w="136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2023-07-25</w:t>
            </w:r>
          </w:p>
        </w:tc>
        <w:tc>
          <w:tcPr>
            <w:tcW w:type="dxa" w:w="3969"/>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申菱作为参编单位参与冷板式液冷系统级和部件级测试验证白皮书。</w:t>
            </w:r>
          </w:p>
        </w:tc>
        <w:tc>
          <w:tcPr>
            <w:tcW w:type="dxa" w:w="3402"/>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支持液冷测试验证能力与标准生态参与。</w:t>
            </w:r>
          </w:p>
        </w:tc>
        <w:tc>
          <w:tcPr>
            <w:tcW w:type="dxa" w:w="3402"/>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参编不证明客户采购、供货、订单、收入或利润。</w:t>
            </w:r>
          </w:p>
        </w:tc>
      </w:tr>
      <w:tr>
        <w:tc>
          <w:tcPr>
            <w:tcW w:type="dxa" w:w="79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EV072</w:t>
            </w:r>
          </w:p>
        </w:tc>
        <w:tc>
          <w:tcPr>
            <w:tcW w:type="dxa" w:w="311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申菱环境 液冷CDU产品页</w:t>
            </w:r>
          </w:p>
        </w:tc>
        <w:tc>
          <w:tcPr>
            <w:tcW w:type="dxa" w:w="79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B</w:t>
            </w:r>
          </w:p>
        </w:tc>
        <w:tc>
          <w:tcPr>
            <w:tcW w:type="dxa" w:w="136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无发布日期</w:t>
            </w:r>
          </w:p>
        </w:tc>
        <w:tc>
          <w:tcPr>
            <w:tcW w:type="dxa" w:w="3969"/>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当前产品页列示200—1800kW CDU，适配AI/智算中心和冷板/浸没/喷淋路线。</w:t>
            </w:r>
          </w:p>
        </w:tc>
        <w:tc>
          <w:tcPr>
            <w:tcW w:type="dxa" w:w="3402"/>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支持当前产品能力与规格范围。</w:t>
            </w:r>
          </w:p>
        </w:tc>
        <w:tc>
          <w:tcPr>
            <w:tcW w:type="dxa" w:w="3402"/>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不能倒填as_of历史状态，也不证明客户、订单、收入或利润。</w:t>
            </w:r>
          </w:p>
        </w:tc>
      </w:tr>
      <w:tr>
        <w:tc>
          <w:tcPr>
            <w:tcW w:type="dxa" w:w="79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EV073</w:t>
            </w:r>
          </w:p>
        </w:tc>
        <w:tc>
          <w:tcPr>
            <w:tcW w:type="dxa" w:w="311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申菱环境 天枢SKY-ACMECOL液冷大系统产品页</w:t>
            </w:r>
          </w:p>
        </w:tc>
        <w:tc>
          <w:tcPr>
            <w:tcW w:type="dxa" w:w="79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B</w:t>
            </w:r>
          </w:p>
        </w:tc>
        <w:tc>
          <w:tcPr>
            <w:tcW w:type="dxa" w:w="136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无发布日期</w:t>
            </w:r>
          </w:p>
        </w:tc>
        <w:tc>
          <w:tcPr>
            <w:tcW w:type="dxa" w:w="3969"/>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当前产品页列示冷源、一次侧输配、CDU、二次侧、Manifold和AIoT控制的预制化系统。</w:t>
            </w:r>
          </w:p>
        </w:tc>
        <w:tc>
          <w:tcPr>
            <w:tcW w:type="dxa" w:w="3402"/>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支持当前系统集成、模块化交付和产品边界。</w:t>
            </w:r>
          </w:p>
        </w:tc>
        <w:tc>
          <w:tcPr>
            <w:tcW w:type="dxa" w:w="3402"/>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不能倒填as_of历史状态，也不证明项目订单、重复交付、收入、利润或现金。</w:t>
            </w:r>
          </w:p>
        </w:tc>
      </w:tr>
      <w:tr>
        <w:tc>
          <w:tcPr>
            <w:tcW w:type="dxa" w:w="79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EV074</w:t>
            </w:r>
          </w:p>
        </w:tc>
        <w:tc>
          <w:tcPr>
            <w:tcW w:type="dxa" w:w="311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曙光数创2025年度业绩报告摘要</w:t>
            </w:r>
          </w:p>
        </w:tc>
        <w:tc>
          <w:tcPr>
            <w:tcW w:type="dxa" w:w="79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B</w:t>
            </w:r>
          </w:p>
        </w:tc>
        <w:tc>
          <w:tcPr>
            <w:tcW w:type="dxa" w:w="136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2026-04-15</w:t>
            </w:r>
          </w:p>
        </w:tc>
        <w:tc>
          <w:tcPr>
            <w:tcW w:type="dxa" w:w="3969"/>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摘要称曙光数创为中科曙光控股子公司，直接经营浸没液冷、冷板液冷、模块化数据中心产品及系统集成服务。</w:t>
            </w:r>
          </w:p>
        </w:tc>
        <w:tc>
          <w:tcPr>
            <w:tcW w:type="dxa" w:w="3402"/>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支持实体拆分、集团关系和直接液冷经营主体识别。</w:t>
            </w:r>
          </w:p>
        </w:tc>
        <w:tc>
          <w:tcPr>
            <w:tcW w:type="dxa" w:w="3402"/>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摘要不能替代原年报股权表、客户订单、产品线毛利、现金和当前控制有效期核验。</w:t>
            </w:r>
          </w:p>
        </w:tc>
      </w:tr>
      <w:tr>
        <w:tc>
          <w:tcPr>
            <w:tcW w:type="dxa" w:w="79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EV075</w:t>
            </w:r>
          </w:p>
        </w:tc>
        <w:tc>
          <w:tcPr>
            <w:tcW w:type="dxa" w:w="311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飞荣达2026年半年度业绩预告与AI服务器散热业务摘要</w:t>
            </w:r>
          </w:p>
        </w:tc>
        <w:tc>
          <w:tcPr>
            <w:tcW w:type="dxa" w:w="79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B</w:t>
            </w:r>
          </w:p>
        </w:tc>
        <w:tc>
          <w:tcPr>
            <w:tcW w:type="dxa" w:w="136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2026-07-13</w:t>
            </w:r>
          </w:p>
        </w:tc>
        <w:tc>
          <w:tcPr>
            <w:tcW w:type="dxa" w:w="3969"/>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公告摘要列出TIM、冷板、流量控制、CDU、快接和液冷机柜等产品，多类产品批量交付，订单量和相关营业收入增长。</w:t>
            </w:r>
          </w:p>
        </w:tc>
        <w:tc>
          <w:tcPr>
            <w:tcW w:type="dxa" w:w="3402"/>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支持能力、批量交付和汇总业务进展。</w:t>
            </w:r>
          </w:p>
        </w:tc>
        <w:tc>
          <w:tcPr>
            <w:tcW w:type="dxa" w:w="3402"/>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不证明客户名称、订单金额、各产品收入/毛利、利润和现金贡献；需回到公告原文。</w:t>
            </w:r>
          </w:p>
        </w:tc>
      </w:tr>
      <w:tr>
        <w:tc>
          <w:tcPr>
            <w:tcW w:type="dxa" w:w="79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EV076</w:t>
            </w:r>
          </w:p>
        </w:tc>
        <w:tc>
          <w:tcPr>
            <w:tcW w:type="dxa" w:w="311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高澜股份关于“质量回报双提升”行动方案进展的公告</w:t>
            </w:r>
          </w:p>
        </w:tc>
        <w:tc>
          <w:tcPr>
            <w:tcW w:type="dxa" w:w="79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A</w:t>
            </w:r>
          </w:p>
        </w:tc>
        <w:tc>
          <w:tcPr>
            <w:tcW w:type="dxa" w:w="136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2026-08-21</w:t>
            </w:r>
          </w:p>
        </w:tc>
        <w:tc>
          <w:tcPr>
            <w:tcW w:type="dxa" w:w="3969"/>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公司披露数据中心液冷客户结构优化，服务头部算力企业与大型云服务商，运营商业务增长、海外突破，在手订单规模增长。</w:t>
            </w:r>
          </w:p>
        </w:tc>
        <w:tc>
          <w:tcPr>
            <w:tcW w:type="dxa" w:w="3402"/>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支持公司层面的客户类别、供货/服务进展与订单趋势。</w:t>
            </w:r>
          </w:p>
        </w:tc>
        <w:tc>
          <w:tcPr>
            <w:tcW w:type="dxa" w:w="3402"/>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不证明客户名称、订单金额、精确产品节点、重复交付、液冷收入、利润和现金。</w:t>
            </w:r>
          </w:p>
        </w:tc>
      </w:tr>
      <w:tr>
        <w:tc>
          <w:tcPr>
            <w:tcW w:type="dxa" w:w="79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EV077</w:t>
            </w:r>
          </w:p>
        </w:tc>
        <w:tc>
          <w:tcPr>
            <w:tcW w:type="dxa" w:w="311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高澜股份2026年半年度报告摘要观察</w:t>
            </w:r>
          </w:p>
        </w:tc>
        <w:tc>
          <w:tcPr>
            <w:tcW w:type="dxa" w:w="79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B</w:t>
            </w:r>
          </w:p>
        </w:tc>
        <w:tc>
          <w:tcPr>
            <w:tcW w:type="dxa" w:w="136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2026-08-21</w:t>
            </w:r>
          </w:p>
        </w:tc>
        <w:tc>
          <w:tcPr>
            <w:tcW w:type="dxa" w:w="3969"/>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半年报摘要称算力中心液冷项目批量落地，高功率密度装置热管理收入增长，同时经营现金流为负。</w:t>
            </w:r>
          </w:p>
        </w:tc>
        <w:tc>
          <w:tcPr>
            <w:tcW w:type="dxa" w:w="3402"/>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支持商业化进展与后续财务质量核查必要性。</w:t>
            </w:r>
          </w:p>
        </w:tc>
        <w:tc>
          <w:tcPr>
            <w:tcW w:type="dxa" w:w="3402"/>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不能单独把高功率密度分部全部归为数据中心液冷，也不能证明节点级利润。</w:t>
            </w:r>
          </w:p>
        </w:tc>
      </w:tr>
      <w:tr>
        <w:tc>
          <w:tcPr>
            <w:tcW w:type="dxa" w:w="79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EV078</w:t>
            </w:r>
          </w:p>
        </w:tc>
        <w:tc>
          <w:tcPr>
            <w:tcW w:type="dxa" w:w="311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同飞股份亮相上海国际数据中心产业展览会</w:t>
            </w:r>
          </w:p>
        </w:tc>
        <w:tc>
          <w:tcPr>
            <w:tcW w:type="dxa" w:w="79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C</w:t>
            </w:r>
          </w:p>
        </w:tc>
        <w:tc>
          <w:tcPr>
            <w:tcW w:type="dxa" w:w="136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2026-06-04</w:t>
            </w:r>
          </w:p>
        </w:tc>
        <w:tc>
          <w:tcPr>
            <w:tcW w:type="dxa" w:w="3969"/>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公司稿列示液冷机柜、CDU、Manifold、浸没箱体、预制管路、室外冷源和模块化数据中心产品矩阵。</w:t>
            </w:r>
          </w:p>
        </w:tc>
        <w:tc>
          <w:tcPr>
            <w:tcW w:type="dxa" w:w="3402"/>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支持产品能力和系统边界。</w:t>
            </w:r>
          </w:p>
        </w:tc>
        <w:tc>
          <w:tcPr>
            <w:tcW w:type="dxa" w:w="3402"/>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展会/公司稿不能证明客户、认证、供货、订单、重复交付、收入、利润或现金。</w:t>
            </w:r>
          </w:p>
        </w:tc>
      </w:tr>
      <w:tr>
        <w:tc>
          <w:tcPr>
            <w:tcW w:type="dxa" w:w="79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EV079</w:t>
            </w:r>
          </w:p>
        </w:tc>
        <w:tc>
          <w:tcPr>
            <w:tcW w:type="dxa" w:w="311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荣亿精密2025年年报经营摘要</w:t>
            </w:r>
          </w:p>
        </w:tc>
        <w:tc>
          <w:tcPr>
            <w:tcW w:type="dxa" w:w="79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B</w:t>
            </w:r>
          </w:p>
        </w:tc>
        <w:tc>
          <w:tcPr>
            <w:tcW w:type="dxa" w:w="136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2026-04-15</w:t>
            </w:r>
          </w:p>
        </w:tc>
        <w:tc>
          <w:tcPr>
            <w:tcW w:type="dxa" w:w="3969"/>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摘要称服务器液冷快速接头零部件实现量产并进入液冷服务器供应链，业务仍处导入和爬坡，收入订单占比低、未形成重大业绩贡献。</w:t>
            </w:r>
          </w:p>
        </w:tc>
        <w:tc>
          <w:tcPr>
            <w:tcW w:type="dxa" w:w="3402"/>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支持能力、供应关系、量产/批量阶段及规模仍小。</w:t>
            </w:r>
          </w:p>
        </w:tc>
        <w:tc>
          <w:tcPr>
            <w:tcW w:type="dxa" w:w="3402"/>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不充分证明客户名称、订单金额、重复次数、节点毛利和现金；需原年报。</w:t>
            </w:r>
          </w:p>
        </w:tc>
      </w:tr>
      <w:tr>
        <w:tc>
          <w:tcPr>
            <w:tcW w:type="dxa" w:w="79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EV080</w:t>
            </w:r>
          </w:p>
        </w:tc>
        <w:tc>
          <w:tcPr>
            <w:tcW w:type="dxa" w:w="3118"/>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荣亿精密2025年年报图解</w:t>
            </w:r>
          </w:p>
        </w:tc>
        <w:tc>
          <w:tcPr>
            <w:tcW w:type="dxa" w:w="794"/>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B</w:t>
            </w:r>
          </w:p>
        </w:tc>
        <w:tc>
          <w:tcPr>
            <w:tcW w:type="dxa" w:w="1361"/>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2026-04-29</w:t>
            </w:r>
          </w:p>
        </w:tc>
        <w:tc>
          <w:tcPr>
            <w:tcW w:type="dxa" w:w="3969"/>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摘要称荣亿与富世达合作完成服务器液冷快接金属外壳及结构件批量交付与市场验证，富世达成为前五大客户之一。</w:t>
            </w:r>
          </w:p>
        </w:tc>
        <w:tc>
          <w:tcPr>
            <w:tcW w:type="dxa" w:w="3402"/>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补充客户/批量交付线索。</w:t>
            </w:r>
          </w:p>
        </w:tc>
        <w:tc>
          <w:tcPr>
            <w:tcW w:type="dxa" w:w="3402"/>
            <w:vAlign w:val="center"/>
            <w:tcMar>
              <w:top w:w="70" w:type="dxa"/>
              <w:start w:w="70" w:type="dxa"/>
              <w:bottom w:w="70" w:type="dxa"/>
              <w:end w:w="70" w:type="dxa"/>
            </w:tcMar>
          </w:tcPr>
          <w:p>
            <w:pPr>
              <w:keepNext w:val="0"/>
              <w:spacing w:before="0" w:after="0" w:line="252" w:lineRule="auto"/>
            </w:pPr>
            <w:r/>
            <w:r>
              <w:rPr>
                <w:rFonts w:ascii="Noto Sans CJK SC" w:hAnsi="Noto Sans CJK SC" w:eastAsia="Noto Sans CJK SC"/>
                <w:b w:val="0"/>
                <w:color w:val="222222"/>
                <w:sz w:val="12"/>
              </w:rPr>
              <w:t>二手摘要不能替代年报客户表和交易金额；不能推断高份额、高毛利或现金。</w:t>
            </w:r>
          </w:p>
        </w:tc>
      </w:tr>
      <w:tr>
        <w:tc>
          <w:tcPr>
            <w:tcW w:type="dxa" w:w="79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EV081</w:t>
            </w:r>
          </w:p>
        </w:tc>
        <w:tc>
          <w:tcPr>
            <w:tcW w:type="dxa" w:w="3118"/>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荣亿精密服务器液冷快速接头精密零部件项目公告</w:t>
            </w:r>
          </w:p>
        </w:tc>
        <w:tc>
          <w:tcPr>
            <w:tcW w:type="dxa" w:w="794"/>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A</w:t>
            </w:r>
          </w:p>
        </w:tc>
        <w:tc>
          <w:tcPr>
            <w:tcW w:type="dxa" w:w="1361"/>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2025-12-02</w:t>
            </w:r>
          </w:p>
        </w:tc>
        <w:tc>
          <w:tcPr>
            <w:tcW w:type="dxa" w:w="3969"/>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公司公告拟以1亿元投资服务器液冷快速接头精密零部件项目，配置生产设备、检测仪器与厂房。</w:t>
            </w:r>
          </w:p>
        </w:tc>
        <w:tc>
          <w:tcPr>
            <w:tcW w:type="dxa" w:w="3402"/>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支持扩产意图、项目范围和潜在新供给。</w:t>
            </w:r>
          </w:p>
        </w:tc>
        <w:tc>
          <w:tcPr>
            <w:tcW w:type="dxa" w:w="3402"/>
            <w:vAlign w:val="center"/>
            <w:tcMar>
              <w:top w:w="70" w:type="dxa"/>
              <w:start w:w="70" w:type="dxa"/>
              <w:bottom w:w="70" w:type="dxa"/>
              <w:end w:w="70" w:type="dxa"/>
            </w:tcMar>
            <w:shd w:fill="F8FAFC"/>
          </w:tcPr>
          <w:p>
            <w:pPr>
              <w:keepNext w:val="0"/>
              <w:spacing w:before="0" w:after="0" w:line="252" w:lineRule="auto"/>
            </w:pPr>
            <w:r/>
            <w:r>
              <w:rPr>
                <w:rFonts w:ascii="Noto Sans CJK SC" w:hAnsi="Noto Sans CJK SC" w:eastAsia="Noto Sans CJK SC"/>
                <w:b w:val="0"/>
                <w:color w:val="222222"/>
                <w:sz w:val="12"/>
              </w:rPr>
              <w:t>项目计划不证明按期投产、认证通过、有效产能、订单、收入、利润或现金。</w:t>
            </w:r>
          </w:p>
        </w:tc>
      </w:tr>
    </w:tbl>
    <w:p/>
    <w:p>
      <w:pPr>
        <w:pStyle w:val="Heading2"/>
      </w:pPr>
      <w:r>
        <w:t>来源地址</w:t>
      </w:r>
    </w:p>
    <w:p>
      <w:pPr>
        <w:keepNext w:val="0"/>
        <w:spacing w:before="0" w:after="20" w:line="240" w:lineRule="auto"/>
      </w:pPr>
      <w:r>
        <w:rPr>
          <w:rFonts w:ascii="Noto Sans CJK SC" w:hAnsi="Noto Sans CJK SC" w:eastAsia="Noto Sans CJK SC"/>
          <w:b/>
          <w:color w:val="222222"/>
          <w:sz w:val="14"/>
        </w:rPr>
        <w:t>EV066  A2 本地支持摘要：</w:t>
      </w:r>
      <w:hyperlink r:id="rId11">
        <w:r>
          <w:rPr>
            <w:color w:val="0563C1"/>
            <w:u w:val="single"/>
            <w:sz w:val="13"/>
            <w:szCs w:val="13"/>
            <w:rFonts w:eastAsia="Noto Sans CJK SC"/>
          </w:rPr>
          <w:t>打开来源</w:t>
        </w:r>
      </w:hyperlink>
    </w:p>
    <w:p>
      <w:pPr>
        <w:keepNext w:val="0"/>
        <w:spacing w:before="0" w:after="20" w:line="240" w:lineRule="auto"/>
      </w:pPr>
      <w:r>
        <w:rPr>
          <w:rFonts w:ascii="Noto Sans CJK SC" w:hAnsi="Noto Sans CJK SC" w:eastAsia="Noto Sans CJK SC"/>
          <w:b/>
          <w:color w:val="222222"/>
          <w:sz w:val="14"/>
        </w:rPr>
        <w:t>EV067  A2 本地支持 JSON：</w:t>
      </w:r>
      <w:hyperlink r:id="rId12">
        <w:r>
          <w:rPr>
            <w:color w:val="0563C1"/>
            <w:u w:val="single"/>
            <w:sz w:val="13"/>
            <w:szCs w:val="13"/>
            <w:rFonts w:eastAsia="Noto Sans CJK SC"/>
          </w:rPr>
          <w:t>打开来源</w:t>
        </w:r>
      </w:hyperlink>
    </w:p>
    <w:p>
      <w:pPr>
        <w:keepNext w:val="0"/>
        <w:spacing w:before="0" w:after="20" w:line="240" w:lineRule="auto"/>
      </w:pPr>
      <w:r>
        <w:rPr>
          <w:rFonts w:ascii="Noto Sans CJK SC" w:hAnsi="Noto Sans CJK SC" w:eastAsia="Noto Sans CJK SC"/>
          <w:b/>
          <w:color w:val="222222"/>
          <w:sz w:val="14"/>
        </w:rPr>
        <w:t>EV068  A2 数据缺口登记：</w:t>
      </w:r>
      <w:hyperlink r:id="rId13">
        <w:r>
          <w:rPr>
            <w:color w:val="0563C1"/>
            <w:u w:val="single"/>
            <w:sz w:val="13"/>
            <w:szCs w:val="13"/>
            <w:rFonts w:eastAsia="Noto Sans CJK SC"/>
          </w:rPr>
          <w:t>打开来源</w:t>
        </w:r>
      </w:hyperlink>
    </w:p>
    <w:p>
      <w:pPr>
        <w:keepNext w:val="0"/>
        <w:spacing w:before="0" w:after="20" w:line="240" w:lineRule="auto"/>
      </w:pPr>
      <w:r>
        <w:rPr>
          <w:rFonts w:ascii="Noto Sans CJK SC" w:hAnsi="Noto Sans CJK SC" w:eastAsia="Noto Sans CJK SC"/>
          <w:b/>
          <w:color w:val="222222"/>
          <w:sz w:val="14"/>
        </w:rPr>
        <w:t>EV069  Intel, Powerleader, and Envicool jointly launch multi-platform liquid-cooled aluminum cold plate system：</w:t>
      </w:r>
      <w:hyperlink r:id="rId14">
        <w:r>
          <w:rPr>
            <w:color w:val="0563C1"/>
            <w:u w:val="single"/>
            <w:sz w:val="13"/>
            <w:szCs w:val="13"/>
            <w:rFonts w:eastAsia="Noto Sans CJK SC"/>
          </w:rPr>
          <w:t>打开来源</w:t>
        </w:r>
      </w:hyperlink>
    </w:p>
    <w:p>
      <w:pPr>
        <w:keepNext w:val="0"/>
        <w:spacing w:before="0" w:after="20" w:line="240" w:lineRule="auto"/>
      </w:pPr>
      <w:r>
        <w:rPr>
          <w:rFonts w:ascii="Noto Sans CJK SC" w:hAnsi="Noto Sans CJK SC" w:eastAsia="Noto Sans CJK SC"/>
          <w:b/>
          <w:color w:val="222222"/>
          <w:sz w:val="14"/>
        </w:rPr>
        <w:t>EV070  CDCC液冷技术大会：英维克全链条液冷破解“耦合难题”：</w:t>
      </w:r>
      <w:hyperlink r:id="rId15">
        <w:r>
          <w:rPr>
            <w:color w:val="0563C1"/>
            <w:u w:val="single"/>
            <w:sz w:val="13"/>
            <w:szCs w:val="13"/>
            <w:rFonts w:eastAsia="Noto Sans CJK SC"/>
          </w:rPr>
          <w:t>打开来源</w:t>
        </w:r>
      </w:hyperlink>
    </w:p>
    <w:p>
      <w:pPr>
        <w:keepNext w:val="0"/>
        <w:spacing w:before="0" w:after="20" w:line="240" w:lineRule="auto"/>
      </w:pPr>
      <w:r>
        <w:rPr>
          <w:rFonts w:ascii="Noto Sans CJK SC" w:hAnsi="Noto Sans CJK SC" w:eastAsia="Noto Sans CJK SC"/>
          <w:b/>
          <w:color w:val="222222"/>
          <w:sz w:val="14"/>
        </w:rPr>
        <w:t>EV071  申菱参编《数据中心冷板式液冷测试验证技术白皮书》：</w:t>
      </w:r>
      <w:hyperlink r:id="rId16">
        <w:r>
          <w:rPr>
            <w:color w:val="0563C1"/>
            <w:u w:val="single"/>
            <w:sz w:val="13"/>
            <w:szCs w:val="13"/>
            <w:rFonts w:eastAsia="Noto Sans CJK SC"/>
          </w:rPr>
          <w:t>打开来源</w:t>
        </w:r>
      </w:hyperlink>
    </w:p>
    <w:p>
      <w:pPr>
        <w:keepNext w:val="0"/>
        <w:spacing w:before="0" w:after="20" w:line="240" w:lineRule="auto"/>
      </w:pPr>
      <w:r>
        <w:rPr>
          <w:rFonts w:ascii="Noto Sans CJK SC" w:hAnsi="Noto Sans CJK SC" w:eastAsia="Noto Sans CJK SC"/>
          <w:b/>
          <w:color w:val="222222"/>
          <w:sz w:val="14"/>
        </w:rPr>
        <w:t>EV072  申菱环境 液冷CDU产品页：</w:t>
      </w:r>
      <w:hyperlink r:id="rId17">
        <w:r>
          <w:rPr>
            <w:color w:val="0563C1"/>
            <w:u w:val="single"/>
            <w:sz w:val="13"/>
            <w:szCs w:val="13"/>
            <w:rFonts w:eastAsia="Noto Sans CJK SC"/>
          </w:rPr>
          <w:t>打开来源</w:t>
        </w:r>
      </w:hyperlink>
    </w:p>
    <w:p>
      <w:pPr>
        <w:keepNext w:val="0"/>
        <w:spacing w:before="0" w:after="20" w:line="240" w:lineRule="auto"/>
      </w:pPr>
      <w:r>
        <w:rPr>
          <w:rFonts w:ascii="Noto Sans CJK SC" w:hAnsi="Noto Sans CJK SC" w:eastAsia="Noto Sans CJK SC"/>
          <w:b/>
          <w:color w:val="222222"/>
          <w:sz w:val="14"/>
        </w:rPr>
        <w:t>EV073  申菱环境 天枢SKY-ACMECOL液冷大系统产品页：</w:t>
      </w:r>
      <w:hyperlink r:id="rId18">
        <w:r>
          <w:rPr>
            <w:color w:val="0563C1"/>
            <w:u w:val="single"/>
            <w:sz w:val="13"/>
            <w:szCs w:val="13"/>
            <w:rFonts w:eastAsia="Noto Sans CJK SC"/>
          </w:rPr>
          <w:t>打开来源</w:t>
        </w:r>
      </w:hyperlink>
    </w:p>
    <w:p>
      <w:pPr>
        <w:keepNext w:val="0"/>
        <w:spacing w:before="0" w:after="20" w:line="240" w:lineRule="auto"/>
      </w:pPr>
      <w:r>
        <w:rPr>
          <w:rFonts w:ascii="Noto Sans CJK SC" w:hAnsi="Noto Sans CJK SC" w:eastAsia="Noto Sans CJK SC"/>
          <w:b/>
          <w:color w:val="222222"/>
          <w:sz w:val="14"/>
        </w:rPr>
        <w:t>EV074  曙光数创2025年度业绩报告摘要：</w:t>
      </w:r>
      <w:hyperlink r:id="rId19">
        <w:r>
          <w:rPr>
            <w:color w:val="0563C1"/>
            <w:u w:val="single"/>
            <w:sz w:val="13"/>
            <w:szCs w:val="13"/>
            <w:rFonts w:eastAsia="Noto Sans CJK SC"/>
          </w:rPr>
          <w:t>打开来源</w:t>
        </w:r>
      </w:hyperlink>
    </w:p>
    <w:p>
      <w:pPr>
        <w:keepNext w:val="0"/>
        <w:spacing w:before="0" w:after="20" w:line="240" w:lineRule="auto"/>
      </w:pPr>
      <w:r>
        <w:rPr>
          <w:rFonts w:ascii="Noto Sans CJK SC" w:hAnsi="Noto Sans CJK SC" w:eastAsia="Noto Sans CJK SC"/>
          <w:b/>
          <w:color w:val="222222"/>
          <w:sz w:val="14"/>
        </w:rPr>
        <w:t>EV075  飞荣达2026年半年度业绩预告与AI服务器散热业务摘要：</w:t>
      </w:r>
      <w:hyperlink r:id="rId20">
        <w:r>
          <w:rPr>
            <w:color w:val="0563C1"/>
            <w:u w:val="single"/>
            <w:sz w:val="13"/>
            <w:szCs w:val="13"/>
            <w:rFonts w:eastAsia="Noto Sans CJK SC"/>
          </w:rPr>
          <w:t>打开来源</w:t>
        </w:r>
      </w:hyperlink>
    </w:p>
    <w:p>
      <w:pPr>
        <w:keepNext w:val="0"/>
        <w:spacing w:before="0" w:after="20" w:line="240" w:lineRule="auto"/>
      </w:pPr>
      <w:r>
        <w:rPr>
          <w:rFonts w:ascii="Noto Sans CJK SC" w:hAnsi="Noto Sans CJK SC" w:eastAsia="Noto Sans CJK SC"/>
          <w:b/>
          <w:color w:val="222222"/>
          <w:sz w:val="14"/>
        </w:rPr>
        <w:t>EV076  高澜股份关于“质量回报双提升”行动方案进展的公告：</w:t>
      </w:r>
      <w:hyperlink r:id="rId21">
        <w:r>
          <w:rPr>
            <w:color w:val="0563C1"/>
            <w:u w:val="single"/>
            <w:sz w:val="13"/>
            <w:szCs w:val="13"/>
            <w:rFonts w:eastAsia="Noto Sans CJK SC"/>
          </w:rPr>
          <w:t>打开来源</w:t>
        </w:r>
      </w:hyperlink>
    </w:p>
    <w:p>
      <w:pPr>
        <w:keepNext w:val="0"/>
        <w:spacing w:before="0" w:after="20" w:line="240" w:lineRule="auto"/>
      </w:pPr>
      <w:r>
        <w:rPr>
          <w:rFonts w:ascii="Noto Sans CJK SC" w:hAnsi="Noto Sans CJK SC" w:eastAsia="Noto Sans CJK SC"/>
          <w:b/>
          <w:color w:val="222222"/>
          <w:sz w:val="14"/>
        </w:rPr>
        <w:t>EV077  高澜股份2026年半年度报告摘要观察：</w:t>
      </w:r>
      <w:hyperlink r:id="rId22">
        <w:r>
          <w:rPr>
            <w:color w:val="0563C1"/>
            <w:u w:val="single"/>
            <w:sz w:val="13"/>
            <w:szCs w:val="13"/>
            <w:rFonts w:eastAsia="Noto Sans CJK SC"/>
          </w:rPr>
          <w:t>打开来源</w:t>
        </w:r>
      </w:hyperlink>
    </w:p>
    <w:p>
      <w:pPr>
        <w:keepNext w:val="0"/>
        <w:spacing w:before="0" w:after="20" w:line="240" w:lineRule="auto"/>
      </w:pPr>
      <w:r>
        <w:rPr>
          <w:rFonts w:ascii="Noto Sans CJK SC" w:hAnsi="Noto Sans CJK SC" w:eastAsia="Noto Sans CJK SC"/>
          <w:b/>
          <w:color w:val="222222"/>
          <w:sz w:val="14"/>
        </w:rPr>
        <w:t>EV078  同飞股份亮相上海国际数据中心产业展览会：</w:t>
      </w:r>
      <w:hyperlink r:id="rId23">
        <w:r>
          <w:rPr>
            <w:color w:val="0563C1"/>
            <w:u w:val="single"/>
            <w:sz w:val="13"/>
            <w:szCs w:val="13"/>
            <w:rFonts w:eastAsia="Noto Sans CJK SC"/>
          </w:rPr>
          <w:t>打开来源</w:t>
        </w:r>
      </w:hyperlink>
    </w:p>
    <w:p>
      <w:pPr>
        <w:keepNext w:val="0"/>
        <w:spacing w:before="0" w:after="20" w:line="240" w:lineRule="auto"/>
      </w:pPr>
      <w:r>
        <w:rPr>
          <w:rFonts w:ascii="Noto Sans CJK SC" w:hAnsi="Noto Sans CJK SC" w:eastAsia="Noto Sans CJK SC"/>
          <w:b/>
          <w:color w:val="222222"/>
          <w:sz w:val="14"/>
        </w:rPr>
        <w:t>EV079  荣亿精密2025年年报经营摘要：</w:t>
      </w:r>
      <w:hyperlink r:id="rId24">
        <w:r>
          <w:rPr>
            <w:color w:val="0563C1"/>
            <w:u w:val="single"/>
            <w:sz w:val="13"/>
            <w:szCs w:val="13"/>
            <w:rFonts w:eastAsia="Noto Sans CJK SC"/>
          </w:rPr>
          <w:t>打开来源</w:t>
        </w:r>
      </w:hyperlink>
    </w:p>
    <w:p>
      <w:pPr>
        <w:keepNext w:val="0"/>
        <w:spacing w:before="0" w:after="20" w:line="240" w:lineRule="auto"/>
      </w:pPr>
      <w:r>
        <w:rPr>
          <w:rFonts w:ascii="Noto Sans CJK SC" w:hAnsi="Noto Sans CJK SC" w:eastAsia="Noto Sans CJK SC"/>
          <w:b/>
          <w:color w:val="222222"/>
          <w:sz w:val="14"/>
        </w:rPr>
        <w:t>EV080  荣亿精密2025年年报图解：</w:t>
      </w:r>
      <w:hyperlink r:id="rId25">
        <w:r>
          <w:rPr>
            <w:color w:val="0563C1"/>
            <w:u w:val="single"/>
            <w:sz w:val="13"/>
            <w:szCs w:val="13"/>
            <w:rFonts w:eastAsia="Noto Sans CJK SC"/>
          </w:rPr>
          <w:t>打开来源</w:t>
        </w:r>
      </w:hyperlink>
    </w:p>
    <w:p>
      <w:pPr>
        <w:keepNext w:val="0"/>
        <w:spacing w:before="0" w:after="20" w:line="240" w:lineRule="auto"/>
      </w:pPr>
      <w:r>
        <w:rPr>
          <w:rFonts w:ascii="Noto Sans CJK SC" w:hAnsi="Noto Sans CJK SC" w:eastAsia="Noto Sans CJK SC"/>
          <w:b/>
          <w:color w:val="222222"/>
          <w:sz w:val="14"/>
        </w:rPr>
        <w:t>EV081  荣亿精密服务器液冷快速接头精密零部件项目公告：</w:t>
      </w:r>
      <w:hyperlink r:id="rId26">
        <w:r>
          <w:rPr>
            <w:color w:val="0563C1"/>
            <w:u w:val="single"/>
            <w:sz w:val="13"/>
            <w:szCs w:val="13"/>
            <w:rFonts w:eastAsia="Noto Sans CJK SC"/>
          </w:rPr>
          <w:t>打开来源</w:t>
        </w:r>
      </w:hyperlink>
    </w:p>
    <w:p>
      <w:pPr>
        <w:pStyle w:val="Heading2"/>
      </w:pPr>
      <w:r>
        <w:t>研究边界与版本说明</w:t>
      </w:r>
    </w:p>
    <w:p>
      <w:pPr>
        <w:pStyle w:val="ListBullet"/>
        <w:keepNext w:val="0"/>
        <w:spacing w:before="0" w:after="40" w:line="264" w:lineRule="auto"/>
      </w:pPr>
      <w:r>
        <w:rPr>
          <w:rFonts w:ascii="Noto Sans CJK SC" w:hAnsi="Noto Sans CJK SC" w:eastAsia="Noto Sans CJK SC"/>
          <w:color w:val="222222"/>
          <w:sz w:val="18"/>
        </w:rPr>
        <w:t>本报告A3生成时间：2026-08-28T10:21:59+08:00；产业事实资料截止仍为2026-08-27T22:32:34+08:00。</w:t>
      </w:r>
    </w:p>
    <w:p>
      <w:pPr>
        <w:pStyle w:val="ListBullet"/>
        <w:keepNext w:val="0"/>
        <w:spacing w:before="0" w:after="40" w:line="264" w:lineRule="auto"/>
      </w:pPr>
      <w:r>
        <w:rPr>
          <w:rFonts w:ascii="Noto Sans CJK SC" w:hAnsi="Noto Sans CJK SC" w:eastAsia="Noto Sans CJK SC"/>
          <w:color w:val="222222"/>
          <w:sz w:val="18"/>
        </w:rPr>
        <w:t>A2本地审计发生在资料截止之后，但所有本地数据严格过滤available_at&lt;=as_of；A2文件只证明本地能力和缺口。</w:t>
      </w:r>
    </w:p>
    <w:p>
      <w:pPr>
        <w:pStyle w:val="ListBullet"/>
        <w:keepNext w:val="0"/>
        <w:spacing w:before="0" w:after="40" w:line="264" w:lineRule="auto"/>
      </w:pPr>
      <w:r>
        <w:rPr>
          <w:rFonts w:ascii="Noto Sans CJK SC" w:hAnsi="Noto Sans CJK SC" w:eastAsia="Noto Sans CJK SC"/>
          <w:color w:val="222222"/>
          <w:sz w:val="18"/>
        </w:rPr>
        <w:t>无发布日期的当前产品页仅作为当前能力线索，不能倒填为as_of时点事实。</w:t>
      </w:r>
    </w:p>
    <w:p>
      <w:pPr>
        <w:pStyle w:val="ListBullet"/>
        <w:keepNext w:val="0"/>
        <w:spacing w:before="0" w:after="40" w:line="264" w:lineRule="auto"/>
      </w:pPr>
      <w:r>
        <w:rPr>
          <w:rFonts w:ascii="Noto Sans CJK SC" w:hAnsi="Noto Sans CJK SC" w:eastAsia="Noto Sans CJK SC"/>
          <w:color w:val="222222"/>
          <w:sz w:val="18"/>
        </w:rPr>
        <w:t>本报告不修改A1原始证据；03_A_证据清单.csv在65条A1证据基础上新增16条A2/A3证据，并增加A3处置列。</w:t>
      </w:r>
    </w:p>
    <w:p>
      <w:pPr>
        <w:pStyle w:val="ListBullet"/>
        <w:keepNext w:val="0"/>
        <w:spacing w:before="0" w:after="40" w:line="264" w:lineRule="auto"/>
      </w:pPr>
      <w:r>
        <w:rPr>
          <w:rFonts w:ascii="Noto Sans CJK SC" w:hAnsi="Noto Sans CJK SC" w:eastAsia="Noto Sans CJK SC"/>
          <w:color w:val="222222"/>
          <w:sz w:val="18"/>
        </w:rPr>
      </w:r>
      <w:r>
        <w:rPr>
          <w:rFonts w:ascii="Noto Sans CJK SC" w:hAnsi="Noto Sans CJK SC" w:eastAsia="Noto Sans CJK SC"/>
          <w:color w:val="222222"/>
          <w:sz w:val="18"/>
        </w:rPr>
        <w:t>关键事实缺失或冲突时保留未知，不自动估算。</w:t>
      </w:r>
    </w:p>
    <w:sectPr w:rsidR="00FC693F" w:rsidRPr="0006063C" w:rsidSect="00034616">
      <w:pgSz w:w="15840" w:h="12240" w:orient="landscape"/>
      <w:pgMar w:top="680" w:right="680" w:bottom="680" w:left="68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Noto Sans CJK SC" w:hAnsi="Noto Sans CJK SC" w:eastAsia="Noto Sans CJK SC"/>
        <w:color w:val="6B7280"/>
        <w:sz w:val="15"/>
      </w:rPr>
      <w:t>热点反向穿透法 · A3新增证据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Noto Sans CJK SC" w:hAnsi="Noto Sans CJK SC" w:eastAsia="Noto Sans CJK S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SC" w:hAnsi="Noto Sans CJK SC" w:eastAsia="Noto Sans CJK SC"/>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SC" w:hAnsi="Noto Sans CJK SC" w:eastAsia="Noto Sans CJK SC"/>
      <w:b/>
      <w:bCs/>
      <w:color w:val="0F6B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SC" w:hAnsi="Noto Sans CJK SC" w:eastAsia="Noto Sans CJK SC"/>
      <w:b/>
      <w:bCs/>
      <w:color w:val="2E7D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Noto Sans CJK SC" w:hAnsi="Noto Sans CJK SC" w:eastAsia="Noto Sans CJK SC"/>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N">
    <w:name w:val="Caption CN"/>
    <w:pPr>
      <w:spacing w:after="80"/>
      <w:jc w:val="center"/>
    </w:pPr>
    <w:rPr>
      <w:rFonts w:ascii="Noto Sans CJK SC" w:hAnsi="Noto Sans CJK SC" w:eastAsia="Noto Sans CJK SC"/>
      <w:i/>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ccrt26/stock-analysis-assistant-v3/blob/0040cca3d0e01dbeae6b7a0cb029a4b0696dba2c/research/industry-runs/ai-liquid-cooling-2026h2-001/02_A2_%E6%9C%AC%E5%9C%B0%E6%94%AF%E6%8C%81%E6%91%98%E8%A6%81.md" TargetMode="External"/><Relationship Id="rId12" Type="http://schemas.openxmlformats.org/officeDocument/2006/relationships/hyperlink" Target="https://github.com/ccrt26/stock-analysis-assistant-v3/blob/0040cca3d0e01dbeae6b7a0cb029a4b0696dba2c/research/industry-runs/ai-liquid-cooling-2026h2-001/02_A2_%E6%9C%AC%E5%9C%B0%E6%94%AF%E6%8C%81.json" TargetMode="External"/><Relationship Id="rId13" Type="http://schemas.openxmlformats.org/officeDocument/2006/relationships/hyperlink" Target="https://github.com/ccrt26/stock-analysis-assistant-v3/blob/0040cca3d0e01dbeae6b7a0cb029a4b0696dba2c/research/industry-runs/ai-liquid-cooling-2026h2-001/02_A2_%E6%95%B0%E6%8D%AE%E7%BC%BA%E5%8F%A3.json" TargetMode="External"/><Relationship Id="rId14" Type="http://schemas.openxmlformats.org/officeDocument/2006/relationships/hyperlink" Target="https://en.envicool.com/news/detail165.html" TargetMode="External"/><Relationship Id="rId15" Type="http://schemas.openxmlformats.org/officeDocument/2006/relationships/hyperlink" Target="https://www.envicool.com/newsinfo1397.html" TargetMode="External"/><Relationship Id="rId16" Type="http://schemas.openxmlformats.org/officeDocument/2006/relationships/hyperlink" Target="https://www.shenling.com/news/%E7%94%B3%E8%8F%B1%E5%8F%82%E7%BC%96%E3%80%8A%E6%95%B0%E6%8D%AE%E4%B8%AD%E5%BF%83%E5%86%B7%E6%9D%BF%E5%BC%8F%E6%B6%B2%E5%86%B7%E6%B5%8B%E8%AF%95%E9%AA%8C%E8%AF%81%E6%8A%80%E6%9C%AF%E7%99%BD%E7%9A%AE/" TargetMode="External"/><Relationship Id="rId17" Type="http://schemas.openxmlformats.org/officeDocument/2006/relationships/hyperlink" Target="https://www.shenling.com/products/%E6%B6%B2%E5%86%B7cdu/" TargetMode="External"/><Relationship Id="rId18" Type="http://schemas.openxmlformats.org/officeDocument/2006/relationships/hyperlink" Target="https://www.shenling.com/products/%E5%A4%A9%E6%9E%A2-sky-acmecol-%E6%B6%B2%E5%86%B7%E5%A4%A7%E7%B3%BB%E7%BB%9F-2/" TargetMode="External"/><Relationship Id="rId19" Type="http://schemas.openxmlformats.org/officeDocument/2006/relationships/hyperlink" Target="https://finance.sina.com.cn/roll/2026-04-15/doc-inhuqwst8291738.shtml" TargetMode="External"/><Relationship Id="rId20" Type="http://schemas.openxmlformats.org/officeDocument/2006/relationships/hyperlink" Target="https://www.cls.cn/detail/2424771" TargetMode="External"/><Relationship Id="rId21" Type="http://schemas.openxmlformats.org/officeDocument/2006/relationships/hyperlink" Target="https://www.cfi.net.cn/p20260821001816.html" TargetMode="External"/><Relationship Id="rId22" Type="http://schemas.openxmlformats.org/officeDocument/2006/relationships/hyperlink" Target="https://static.weeklyonstock.com/26/0821/ABB2616574560390.html" TargetMode="External"/><Relationship Id="rId23" Type="http://schemas.openxmlformats.org/officeDocument/2006/relationships/hyperlink" Target="https://finance.sina.com.cn/wm/2026-06-04/doc-iniafvzn3580266.shtml" TargetMode="External"/><Relationship Id="rId24" Type="http://schemas.openxmlformats.org/officeDocument/2006/relationships/hyperlink" Target="https://www.sohu.com/a/1010011260_122021998" TargetMode="External"/><Relationship Id="rId25" Type="http://schemas.openxmlformats.org/officeDocument/2006/relationships/hyperlink" Target="https://www.wabei.cn/Home/News/353310" TargetMode="External"/><Relationship Id="rId26" Type="http://schemas.openxmlformats.org/officeDocument/2006/relationships/hyperlink" Target="https://www.cninfo.com.cn/finalpage/2025-12-02/122484413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