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热点反向穿透法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30"/>
        </w:rPr>
        <w:t>AI数据中心液冷端到端可行性试点</w:t>
      </w:r>
    </w:p>
    <w:p>
      <w:pPr>
        <w:spacing w:before="100"/>
        <w:jc w:val="center"/>
      </w:pPr>
      <w:r>
        <w:rPr>
          <w:rFonts w:ascii="Noto Sans CJK SC" w:hAnsi="Noto Sans CJK SC" w:eastAsia="Noto Sans CJK SC"/>
          <w:b/>
          <w:color w:val="0E7C86"/>
          <w:sz w:val="40"/>
        </w:rPr>
        <w:t>C3 最终综合研究结论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tblHeader w:val="true"/>
        </w:trPr>
        <w:tc>
          <w:tcPr>
            <w:tcW w:type="dxa" w:w="5074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研究编号</w:t>
            </w:r>
          </w:p>
        </w:tc>
        <w:tc>
          <w:tcPr>
            <w:tcW w:type="dxa" w:w="50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DF4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ai-liquid-cooling-2026h2-001</w:t>
            </w:r>
          </w:p>
        </w:tc>
      </w:tr>
      <w:tr>
        <w:trPr>
          <w:cantSplit/>
        </w:trPr>
        <w:tc>
          <w:tcPr>
            <w:tcW w:type="dxa" w:w="5074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资料截止</w:t>
            </w:r>
          </w:p>
        </w:tc>
        <w:tc>
          <w:tcPr>
            <w:tcW w:type="dxa" w:w="50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2026-08-27 22:32:34（北京时间）</w:t>
            </w:r>
          </w:p>
        </w:tc>
      </w:tr>
      <w:tr>
        <w:trPr>
          <w:cantSplit/>
        </w:trPr>
        <w:tc>
          <w:tcPr>
            <w:tcW w:type="dxa" w:w="5074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C2来源commit</w:t>
            </w:r>
          </w:p>
        </w:tc>
        <w:tc>
          <w:tcPr>
            <w:tcW w:type="dxa" w:w="50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ba7a2cb493edf6caf3c589029c403ab73d9a4790</w:t>
            </w:r>
          </w:p>
        </w:tc>
      </w:tr>
      <w:tr>
        <w:trPr>
          <w:cantSplit/>
        </w:trPr>
        <w:tc>
          <w:tcPr>
            <w:tcW w:type="dxa" w:w="5074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最终公司状态</w:t>
            </w:r>
          </w:p>
        </w:tc>
        <w:tc>
          <w:tcPr>
            <w:tcW w:type="dxa" w:w="50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0个研究候选；7个继续观察；2个证据不足；0个逻辑失效</w:t>
            </w:r>
          </w:p>
        </w:tc>
      </w:tr>
      <w:tr>
        <w:trPr>
          <w:cantSplit/>
        </w:trPr>
        <w:tc>
          <w:tcPr>
            <w:tcW w:type="dxa" w:w="5074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方法试点结论</w:t>
            </w:r>
          </w:p>
        </w:tc>
        <w:tc>
          <w:tcPr>
            <w:tcW w:type="dxa" w:w="50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部分通过：采用本地数据 + 官方文档 + 少量人工语义复核的混合模式</w:t>
            </w:r>
          </w:p>
        </w:tc>
      </w:tr>
      <w:tr>
        <w:trPr>
          <w:cantSplit/>
        </w:trPr>
        <w:tc>
          <w:tcPr>
            <w:tcW w:type="dxa" w:w="5074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下一步</w:t>
            </w:r>
          </w:p>
        </w:tc>
        <w:tc>
          <w:tcPr>
            <w:tcW w:type="dxa" w:w="50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用户审批后由Codex安装D阶段监控合同</w:t>
            </w:r>
          </w:p>
        </w:tc>
      </w:tr>
      <w:tr>
        <w:trPr>
          <w:cantSplit/>
        </w:trPr>
        <w:tc>
          <w:tcPr>
            <w:tcW w:type="dxa" w:w="5074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使用边界</w:t>
            </w:r>
          </w:p>
        </w:tc>
        <w:tc>
          <w:tcPr>
            <w:tcW w:type="dxa" w:w="50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不是买入名单，不给目标价、仓位、止盈止损或收益承诺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4D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9A6700"/>
              <w:left w:val="single" w:sz="8" w:color="9A6700"/>
              <w:bottom w:val="single" w:sz="8" w:color="9A6700"/>
              <w:right w:val="single" w:sz="8" w:color="9A6700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9A6700"/>
                <w:sz w:val="22"/>
              </w:rPr>
              <w:t>本轮最重要的结论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液冷产业需求与公司关系中已经出现真实产品、项目、批量交付和收入证据；但没有一家同时通过“可重复生意—业绩重要—现金质量—持续性—正预期差”全部硬门。因此研究候选为0，这是方法按证据运行的正常结果，而不是必须补出一家公司。</w:t>
            </w:r>
          </w:p>
        </w:tc>
      </w:tr>
    </w:tbl>
    <w:p>
      <w:r/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一页读懂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研究候选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继续观察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证据不足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逻辑失效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0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0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最终答案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本次没有形成研究候选。七个经营关系主体全部停在“继续观察”，中科曙光和同飞股份停在“证据不足”。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最接近继续深挖的两个对象是曙光数创和飞荣达，但理由不同：前者有直接主题收入与毛利，后者有供应合作、部分批量交付和较好的公司级增长。两者都没有通过完整的可重复生意、主题现金和持续性硬门。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曙光数创的2026H1冷板/浸没液冷收入约2.1913亿元、主题毛利约1961万元、毛利率8.95%、TRS 89.10%、TGPS 66.83%；但主题净利润和现金仍未知，公司层面毛利、存货和现金反证明显。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其他主体的液冷主题收入、毛利、净利润和现金都不能量化。C2的27个情景中仅1个可计算，20个只能写条件，6个不适用。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价格层没有证明正预期差：飞荣达的公司级增长相对自身历史经营要求较有支撑，但主题归属未知；申菱环境、佳力图等当前价格要求与公司最新经营表现之间仍有明显缺口；曙光数创的PS看似低于自身历史，但PE和现金质量显示利润兑现压力很大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液冷试点整体结论是“部分通过”：产业地图、实体、公告原文、点时数据和公司级计算可以闭环；客户订单、复购、主题净利润/现金、有效供给和一致预期仍需官方材料与少量人工复核。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DEC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B42318"/>
                <w:sz w:val="22"/>
              </w:rPr>
              <w:t>为什么研究候选可以为0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完整机会是乘法关系。产品、关系、生意、业绩、现金、持续性和预期差中的任一道硬门接近0，其他优势都不能补救。当前最普遍的缺口正是G3、G5、G6和G7。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1. C2验收：计算执行完成，边界没有被突破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9条记录全部返回；27个情景槽位守恒。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只有曙光数创出现直接主题实际值，且没有年化2026H1，也没有把模块化数据中心和系统集成并入。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中科曙光只保留所有权、合并与少数股东权益；同飞股份没有进入液冷经营或主题反向估值。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B2原有17项缺口保持冻结，C2新增11项计算缺口；缺失、未知（unknown）、部分可用（partial）和当前不支持（unsupported）都没有被写成0。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2340条估值记录和115个财务/主题来源满足available_at不晚于资料截止。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反向经营要求只使用公司自身实际260交易日PE/PS分布，不是目标价，也不代表行业相对估值。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2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记录</w:t>
            </w:r>
          </w:p>
        </w:tc>
        <w:tc>
          <w:tcPr>
            <w:tcW w:type="dxa" w:w="2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情景可计算</w:t>
            </w:r>
          </w:p>
        </w:tc>
        <w:tc>
          <w:tcPr>
            <w:tcW w:type="dxa" w:w="2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仅条件</w:t>
            </w:r>
          </w:p>
        </w:tc>
        <w:tc>
          <w:tcPr>
            <w:tcW w:type="dxa" w:w="2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不适用</w:t>
            </w:r>
          </w:p>
        </w:tc>
        <w:tc>
          <w:tcPr>
            <w:tcW w:type="dxa" w:w="2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主题实际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9/9</w:t>
            </w:r>
          </w:p>
        </w:tc>
        <w:tc>
          <w:tcPr>
            <w:tcW w:type="dxa" w:w="2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2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20</w:t>
            </w:r>
          </w:p>
        </w:tc>
        <w:tc>
          <w:tcPr>
            <w:tcW w:type="dxa" w:w="2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20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仅曙光数创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2. 先判断方法试点，而不是先挑股票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试点模块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本轮结果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最终路线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产业与节点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通过/混合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七视图、35个节点、替代路线与未知能够形成有界地图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保留半年重画与事件复核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实体与关系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部分通过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7个经营关系通过或部分通过；1个所有权背景；1个关系硬门失败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继续分层，不把能力当供货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官方正文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通过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17份正式正文全部取得并校验；来源路径问题可限定纠正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按需读取，不建全网爬虫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本地金融数据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通过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财务、估值、价格、点时和重跑能够稳定执行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继续复用现有仓库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主题财务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明显不足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七个经营主体中仅曙光数创可直接拆主题收入与毛利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报告未披露时保留未知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商业与持续性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不足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复购、第二客户、验收、良率、有效产能、二供和自制普遍未知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依靠事件和季度监控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预期差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不足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只有自身260日反向要求，无完整一致预期和行业相对收益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不能提前形成候选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7F4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0E7C86"/>
              <w:left w:val="single" w:sz="8" w:color="0E7C86"/>
              <w:bottom w:val="single" w:sz="8" w:color="0E7C86"/>
              <w:right w:val="single" w:sz="8" w:color="0E7C86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E7C86"/>
                <w:sz w:val="22"/>
              </w:rPr>
              <w:t>方法试点最终路线：部分通过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现有仓库能承担点时金融事实和重复计算；ChatGPT能承担开放式产业语义和关系判断；关键公告可按需取得。无法自动化的是大部分主题收入/利润、客户订单、有效产能与全球竞争。因此采用混合模式，不扩建大平台，也暂不把流程塞进现有五个股票研究Skill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3. 八道门最终检查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cantSplit/>
          <w:tblHeader w:val="true"/>
        </w:trPr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主体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G1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G2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G3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G4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G5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G6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G7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最终状态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研究优先级</w:t>
            </w:r>
          </w:p>
        </w:tc>
      </w:tr>
      <w:tr>
        <w:trPr>
          <w:cantSplit/>
        </w:trPr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曙光数创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通过/部分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通过/部分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未通过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未证明</w:t>
            </w:r>
          </w:p>
        </w:tc>
        <w:tc>
          <w:tcPr>
            <w:tcW w:type="dxa" w:w="1015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继续观察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P1 重点观察</w:t>
            </w:r>
          </w:p>
        </w:tc>
      </w:tr>
      <w:tr>
        <w:trPr>
          <w:cantSplit/>
        </w:trPr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飞荣达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通过/部分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通过/部分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未通过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公司层/未知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公司层/未知</w:t>
            </w:r>
          </w:p>
        </w:tc>
        <w:tc>
          <w:tcPr>
            <w:tcW w:type="dxa" w:w="1015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继续观察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P1 重点观察</w:t>
            </w:r>
          </w:p>
        </w:tc>
      </w:tr>
      <w:tr>
        <w:trPr>
          <w:cantSplit/>
        </w:trPr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英维克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通过/部分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通过/部分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未通过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未证明</w:t>
            </w:r>
          </w:p>
        </w:tc>
        <w:tc>
          <w:tcPr>
            <w:tcW w:type="dxa" w:w="1015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继续观察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P2 一般观察</w:t>
            </w:r>
          </w:p>
        </w:tc>
      </w:tr>
      <w:tr>
        <w:trPr>
          <w:cantSplit/>
        </w:trPr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申菱环境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通过/部分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通过/部分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未通过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公司层/未知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未证明</w:t>
            </w:r>
          </w:p>
        </w:tc>
        <w:tc>
          <w:tcPr>
            <w:tcW w:type="dxa" w:w="1015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继续观察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P2 一般观察</w:t>
            </w:r>
          </w:p>
        </w:tc>
      </w:tr>
      <w:tr>
        <w:trPr>
          <w:cantSplit/>
        </w:trPr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高澜股份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通过/部分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通过/部分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未通过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公司层/未知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未证明</w:t>
            </w:r>
          </w:p>
        </w:tc>
        <w:tc>
          <w:tcPr>
            <w:tcW w:type="dxa" w:w="1015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继续观察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P2 一般观察</w:t>
            </w:r>
          </w:p>
        </w:tc>
      </w:tr>
      <w:tr>
        <w:trPr>
          <w:cantSplit/>
        </w:trPr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佳力图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通过/部分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通过/部分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未通过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公司层/未知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未证明</w:t>
            </w:r>
          </w:p>
        </w:tc>
        <w:tc>
          <w:tcPr>
            <w:tcW w:type="dxa" w:w="1015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继续观察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P2 受限观察</w:t>
            </w:r>
          </w:p>
        </w:tc>
      </w:tr>
      <w:tr>
        <w:trPr>
          <w:cantSplit/>
        </w:trPr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荣亿精密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通过/部分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通过/部分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未通过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公司层/未知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未知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未证明</w:t>
            </w:r>
          </w:p>
        </w:tc>
        <w:tc>
          <w:tcPr>
            <w:tcW w:type="dxa" w:w="1015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继续观察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P2 供给与竞争观察</w:t>
            </w:r>
          </w:p>
        </w:tc>
      </w:tr>
      <w:tr>
        <w:trPr>
          <w:cantSplit/>
        </w:trPr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中科曙光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不适用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背景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不适用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不适用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不适用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不适用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不适用</w:t>
            </w:r>
          </w:p>
        </w:tc>
        <w:tc>
          <w:tcPr>
            <w:tcW w:type="dxa" w:w="1015"/>
            <w:shd w:fill="FFF4D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证据不足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P3 背景观察</w:t>
            </w:r>
          </w:p>
        </w:tc>
      </w:tr>
      <w:tr>
        <w:trPr>
          <w:cantSplit/>
        </w:trPr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同飞股份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通过/部分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未通过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不适用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不适用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不适用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供给背景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不适用</w:t>
            </w:r>
          </w:p>
        </w:tc>
        <w:tc>
          <w:tcPr>
            <w:tcW w:type="dxa" w:w="1015"/>
            <w:shd w:fill="FFF4D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证据不足</w:t>
            </w:r>
          </w:p>
        </w:tc>
        <w:tc>
          <w:tcPr>
            <w:tcW w:type="dxa" w:w="10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P3 能力与竞争背景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G8行动条件本轮统一不评估。C阶段最多形成研究状态和监控合同；市场、板块、价格、流动性与风险收益仍属于后续独立动作，不能把“继续观察”翻译成买入。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4. 唯一直接主题数量：曙光数创为什么仍不是研究候选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1450"/>
        <w:gridCol w:w="1450"/>
        <w:gridCol w:w="1450"/>
        <w:gridCol w:w="1450"/>
        <w:gridCol w:w="1450"/>
        <w:gridCol w:w="1450"/>
      </w:tblGrid>
      <w:tr>
        <w:trPr>
          <w:cantSplit/>
          <w:tblHeader w:val="true"/>
        </w:trPr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期间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主题收入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主题毛利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毛利率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TRS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TGPS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净利润/现金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2026H1（未年化）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2.19亿元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1961.2万元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8.95%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89.10%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66.83%</w:t>
            </w:r>
          </w:p>
        </w:tc>
        <w:tc>
          <w:tcPr>
            <w:tcW w:type="dxa" w:w="14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均为未知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已经证明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冷板液冷和浸没液冷直接产品收入已经形成，而且对公司收入与毛利具有实质影响。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主题收入占比89.10%、主题毛利占比66.83%，G4“业绩重要”至少在收入和毛利层面不再只是故事。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仍未证明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客户、订单金额、逐项目验收、同一客户追加和第二客户。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冷板/浸没业务的主题净利润与经营现金。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收入增长能否在不牺牲毛利、库存和现金的情况下持续。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不能忽略的反证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2026H1主题产品合计毛利率仅8.95%；公司综合毛利率同比下降7.56个百分点。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2025年度与2026H1均出现存货增速明显快于收入；2026H1经营现金流为-2.42亿元。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以自身历史PE区间倒推，当前市值仍需要TTM利润增长约264%—486%；PS较历史低不能抵消利润与现金问题。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DF4FA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2962A3"/>
              <w:left w:val="single" w:sz="8" w:color="2962A3"/>
              <w:bottom w:val="single" w:sz="8" w:color="2962A3"/>
              <w:right w:val="single" w:sz="8" w:color="2962A3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962A3"/>
                <w:sz w:val="22"/>
              </w:rPr>
              <w:t>C3结论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曙光数创是当前最值得继续量化的主体，但只到“重点观察”，没有通过G3可重复生意、G5质量、G6持续性和G7正预期差。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5. 其他八条记录的最终结论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5.1 飞荣达（300602.SZ）— 继续观察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关系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最终状态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TIM、冷板、CDU、快接等硬件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关系已部分通过</w:t>
            </w:r>
          </w:p>
        </w:tc>
        <w:tc>
          <w:tcPr>
            <w:tcW w:type="dxa" w:w="2537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继续观察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P1 重点观察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为什么这样定：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供应合作和部分批量交付成立，公司级增长较好，但液冷产品线收入、毛利、复购和现金未拆。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价格与预期：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公司级Q1收入/利润增速高于自身260日PE/PS中位对应的要求，但近期价格已明显上涨；在无法证明增量来自AI液冷前，不能升级为正预期差候选。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下一步只看：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液冷产品线收入与毛利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追加订单/第二客户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AI服务器与储能/汽车拆分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良率/利用率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经营现金与客户结构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升级条件：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产品线财务拆分 + 重复订单/第二客户 + 良率与现金证据。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失效条件：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批量交付没有复购；增长主要来自非目标场景；现金持续为负；标准化和二供导致降价。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5.2 英维克（002837.SZ）— 继续观察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关系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最终状态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液冷系统与部件供应商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关系已部分通过</w:t>
            </w:r>
          </w:p>
        </w:tc>
        <w:tc>
          <w:tcPr>
            <w:tcW w:type="dxa" w:w="2537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继续观察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P2 一般观察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为什么这样定：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产品、验证和部分规模应用成立，但液冷订单、复购和主题财务未拆；公司收入增长未同步转成利润增长。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价格与预期：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按公司自身260日历史，当前PE/PS大致处于中位附近，并非明显低估；近期价格上涨较快，不能仅凭历史分位证明正预期差。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下一步只看：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正式液冷客户/订单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同一客户追加或第二客户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液冷主题收入与毛利拆分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主题回款/现金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良率与有效产能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升级条件：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正式客户或订单 + 重复交付/第二客户 + 主题收入/毛利拆分。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失效条件：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规模应用长期不转成订单或复购；毛利继续下降；二供/自制压低价格；库存与应收显著恶化。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5.3 申菱环境（301018.SZ）— 继续观察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关系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最终状态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CDU、系统设备与设施侧工程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关系已部分通过</w:t>
            </w:r>
          </w:p>
        </w:tc>
        <w:tc>
          <w:tcPr>
            <w:tcW w:type="dxa" w:w="2537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继续观察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P2 一般观察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为什么这样定：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液冷产品和数据服务板块订单背景成立，但液冷专属合同、验收、主题利润和现金均未知；最新季度公司经营承压。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价格与预期：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回到自身260日较低/中位估值，需要TTM利润约增长71%/36%，或收入约增长93%/54%；最新季度收入和利润下降，尚无证据支持正预期差。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下一步只看：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液冷专属合同/订单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项目验收收入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液冷与传统温控拆分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项目毛利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应收/存货/经营现金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升级条件：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液冷专属合同或验收收入 + 跨项目复制 + 项目毛利/回款证据。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失效条件：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订单主要是传统温控；项目验收延期；应收/存货继续快于收入；现金持续恶化。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5.4 高澜股份（300499.SZ）— 继续观察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关系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最终状态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数据中心液冷系统与项目/EPC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项目关系已确认</w:t>
            </w:r>
          </w:p>
        </w:tc>
        <w:tc>
          <w:tcPr>
            <w:tcW w:type="dxa" w:w="2537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继续观察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P2 一般观察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为什么这样定：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国内AIDC和海外数据中心项目关系成立，但高功率密度分项混有储能，液冷订单、验收、主题利润和现金未闭环。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价格与预期：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PE历史因低利润/异常样本而不稳定；PS中位并不要求收入增长，但最新季度收入下降且现金、应收和存货压力明显，不能据此认定低估。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下一步只看：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液冷专属订单/在手订单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项目验收收入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高功率密度分项场景拆分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重复项目/第二客户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合同资产/应收/现金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升级条件：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液冷专属订单 + 验收收入 + 重复项目 + 现金。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失效条件：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项目长期不验收；混合场景被误算；应收/库存继续异常；海外项目成本或变更吞噬毛利。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5.5 佳力图（603912.SH）— 继续观察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关系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最终状态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设施侧液冷、CDU、最终排热与改造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设施侧液冷关系已部分确认</w:t>
            </w:r>
          </w:p>
        </w:tc>
        <w:tc>
          <w:tcPr>
            <w:tcW w:type="dxa" w:w="2537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继续观察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P2 受限观察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为什么这样定：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设施侧液冷关系成立，但传统风冷、风液协同、IDC运营与液冷财务未拆；公司仍亏损且毛利下滑。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价格与预期：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PE不可用；回到自身PS中位需要收入约增长10.6%，而最新季度公司收入仅增长约5.4%且亏损扩大。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下一步只看：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液冷设施侧合同/验收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液冷与传统业务拆分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重复项目/第二客户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项目毛利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应收/合同资产/现金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升级条件：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设施侧液冷合同/验收 + 业务拆分 + 重复项目与现金。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失效条件：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收入主要来自传统温控或IDC运营；项目延期、垫资和应收吞噬利润；风液混合推迟直接液冷投资。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5.6 荣亿精密（920223.BJ）— 继续观察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关系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最终状态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服务器液冷快接精密零部件新进入者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量产关系已确认</w:t>
            </w:r>
          </w:p>
        </w:tc>
        <w:tc>
          <w:tcPr>
            <w:tcW w:type="dxa" w:w="2537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继续观察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P2 供给与竞争观察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为什么这样定：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快接零部件量产和核心客户关系成立，但3C混合收入无法证明液冷规模，良率、有效产能、复购、利润和现金仍未知。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价格与预期：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当前PS低于自身260日历史区间，但公司仍亏损，主题规模和利润重要性未拆；低销售倍数不能补救G3—G5缺口。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下一步只看：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液冷直接收入/交易金额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重复交付/第二客户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良率/认证/有效产能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客户集中度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毛利与经营现金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接口标准化和二供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升级条件：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直接主题收入 + 重复交付/第二客户 + 良率/有效产能 + 毛利与现金。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失效条件：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扩产项目未按期形成有效产能；客户过度集中；低毛利/亏损延续；接口标准化降低稀缺性。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5.7 中科曙光（603019.SH）— 证据不足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关系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最终状态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所有权、合并与利润归属背景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仅确认所有权/合并关系</w:t>
            </w:r>
          </w:p>
        </w:tc>
        <w:tc>
          <w:tcPr>
            <w:tcW w:type="dxa" w:w="2537"/>
            <w:shd w:fill="FFF4D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证据不足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P3 背景观察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为什么这样定：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只证明曙光数创是重要非全资子公司及其合并边界，不能把子公司的产品、收入和利润直接变成母公司液冷投资逻辑。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价格与预期：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不建立液冷主题估值或价格结论。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下一步只看：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持股与控制变化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合并范围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少数股东权益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正式披露的母公司归母影响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升级条件：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只有正式报表直接披露并可按合并口径解释时，才补充母公司归母影响。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失效条件：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任何把子公司收入或利润简单乘持股比例的做法均无效。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5.8 同飞股份（300990.SZ）— 证据不足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关系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最终状态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潜在液冷设备供应者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关系硬门未通过</w:t>
            </w:r>
          </w:p>
        </w:tc>
        <w:tc>
          <w:tcPr>
            <w:tcW w:type="dxa" w:w="2537"/>
            <w:shd w:fill="FFF4D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证据不足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P3 能力与竞争背景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为什么这样定：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正式年报只证明CDU、Manifold、浸没箱体等产品能力，没有客户、订单、交付或独立业务分项，关系硬门未通过。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价格与预期：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不建立液冷主题反向估值；公司财务和股价不能补救关系硬门。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下一步只看：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正式液冷客户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订单/交付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重复采购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独立液冷业务分项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进入客户认证或供应链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升级条件：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正式客户、订单、交付、重复采购或独立业务分项。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/>
          <w:color w:val="17365D"/>
        </w:rPr>
        <w:t>失效条件：</w:t>
      </w:r>
      <w:r>
        <w:rPr>
          <w:rFonts w:ascii="Noto Sans CJK SC" w:hAnsi="Noto Sans CJK SC" w:eastAsia="Noto Sans CJK SC"/>
          <w:b w:val="0"/>
          <w:color w:val="1F2937"/>
        </w:rPr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继续只有产品展示或能力描述而没有商业关系。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6. 反向经营要求：价格要求公司做到什么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1F2937"/>
        </w:rPr>
        <w:t>下表不是目标价。正数表示若估值回到该公司自身260日相应分位，当前市值需要TTM利润或收入提高多少；负数表示即使经营值下降，按该历史倍数仍可对应当前市值。自身历史只有约一年，且可能处于同一主题行情中，不能当作长期公允价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rPr>
          <w:cantSplit/>
          <w:tblHeader w:val="true"/>
        </w:trPr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主体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PE状态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PE p25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PE p50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PS p25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PS p50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最新经营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C3解释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英维克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可计算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18.1%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-2.0%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5.1%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-9.0%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收入同比17.2%；利润同比-14.3%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自身历史中位附近，主题证据不足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申菱环境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可计算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70.9%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36.0%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93.2%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53.9%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收入同比-1.8%；利润同比-47.7%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要求高增长，最新经营不支持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曙光数创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部分样本可计算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486.0%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320.1%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-27.7%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-49.4%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收入同比75.6%；亏损扩大约3260万元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PS偏低但利润要求极高，质量更关键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飞荣达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可计算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12.3%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3.3%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25.8%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17.6%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收入同比39.1%；利润同比33.9%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公司增长有支撑，主题归属未证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佳力图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不可计算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17.4%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10.6%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收入同比5.3%；亏损扩大约740万元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收入增速低于PS中位要求且仍亏损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高澜股份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部分样本可计算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-19.8%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-94.1%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6.3%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-9.5%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收入同比-2.8%；利润同比16.6%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PE失真；PS不贵但现金与主题混合</w:t>
            </w:r>
          </w:p>
        </w:tc>
      </w:tr>
      <w:tr>
        <w:trPr>
          <w:cantSplit/>
        </w:trPr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荣亿精密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不可计算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-35.5%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-48.4%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收入同比30.6%；亏损约1100万元</w:t>
            </w:r>
          </w:p>
        </w:tc>
        <w:tc>
          <w:tcPr>
            <w:tcW w:type="dxa" w:w="1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PS低于历史，但亏损和主题规模未证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4D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9A6700"/>
              <w:left w:val="single" w:sz="8" w:color="9A6700"/>
              <w:bottom w:val="single" w:sz="8" w:color="9A6700"/>
              <w:right w:val="single" w:sz="8" w:color="9A6700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9A6700"/>
                <w:sz w:val="22"/>
              </w:rPr>
              <w:t>价格层的共同结论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没有一家同时拥有可验证的主题基准利润、完整一致预期和明确正预期差。飞荣达的公司级经营相对自身历史要求较好，但液冷贡献未知；其他公司要么经营压力较大，要么PE/PS信号互相矛盾。G7统一未通过。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7. 为什么G6持续性仍未通过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持续性问题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当前已知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仍未知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对结论的影响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新增供给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荣亿精密已量产；同飞股份具备设备能力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有效产能、认证、良率、利用率、同规格价格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供应稀缺性不能按静态名单判断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二供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客户降低单一来源风险有经济动机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二供认证、份额变化与价格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快接、冷板、CDU议价权可能下降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客户自制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服务器/OEM可能自研冷板、歧管和控制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自制比例、指定供应边界、软件内置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外部可服务市场可能被高估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标准化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接口标准化提高互换性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认证周期、供应商数量、降价幅度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技术成熟可能同时扩大需求和削弱锁定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替代路线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DTC、浸没、RDHx、液到气、风液混合并存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路线份额、切换成本、应用边界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不同节点的价值量可能迁移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利润池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系统/工程有垫资；部件受标准化影响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同口径利润池、客户掌控度和运维收费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产业增长不保证同一批公司长期受益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8. 最终研究状态与监控优先级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cantSplit/>
          <w:tblHeader w:val="true"/>
        </w:trPr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主体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核心理由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下一升级证据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复核日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曙光数创</w:t>
            </w:r>
          </w:p>
        </w:tc>
        <w:tc>
          <w:tcPr>
            <w:tcW w:type="dxa" w:w="1691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继续观察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P1 重点观察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主题收入与毛利重要性已经明确，但主题净利润和现金未知；公司毛利、存货和经营现金反证较强，重复订单与第二客户链尚未闭合。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订单/验收链 + 复购/第二客户 + 毛利与现金改善。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2026-11-30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飞荣达</w:t>
            </w:r>
          </w:p>
        </w:tc>
        <w:tc>
          <w:tcPr>
            <w:tcW w:type="dxa" w:w="1691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继续观察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P1 重点观察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供应合作和部分批量交付成立，公司级增长较好，但液冷产品线收入、毛利、复购和现金未拆。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产品线财务拆分 + 重复订单/第二客户 + 良率与现金证据。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2026-11-30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英维克</w:t>
            </w:r>
          </w:p>
        </w:tc>
        <w:tc>
          <w:tcPr>
            <w:tcW w:type="dxa" w:w="1691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继续观察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P2 一般观察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产品、验证和部分规模应用成立，但液冷订单、复购和主题财务未拆；公司收入增长未同步转成利润增长。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正式客户或订单 + 重复交付/第二客户 + 主题收入/毛利拆分。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2026-11-30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申菱环境</w:t>
            </w:r>
          </w:p>
        </w:tc>
        <w:tc>
          <w:tcPr>
            <w:tcW w:type="dxa" w:w="1691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继续观察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P2 一般观察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液冷产品和数据服务板块订单背景成立，但液冷专属合同、验收、主题利润和现金均未知；最新季度公司经营承压。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液冷专属合同或验收收入 + 跨项目复制 + 项目毛利/回款证据。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2026-11-30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高澜股份</w:t>
            </w:r>
          </w:p>
        </w:tc>
        <w:tc>
          <w:tcPr>
            <w:tcW w:type="dxa" w:w="1691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继续观察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P2 一般观察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国内AIDC和海外数据中心项目关系成立，但高功率密度分项混有储能，液冷订单、验收、主题利润和现金未闭环。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液冷专属订单 + 验收收入 + 重复项目 + 现金。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2026-11-30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佳力图</w:t>
            </w:r>
          </w:p>
        </w:tc>
        <w:tc>
          <w:tcPr>
            <w:tcW w:type="dxa" w:w="1691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继续观察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P2 受限观察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设施侧液冷关系成立，但传统风冷、风液协同、IDC运营与液冷财务未拆；公司仍亏损且毛利下滑。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设施侧液冷合同/验收 + 业务拆分 + 重复项目与现金。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2026-09-30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荣亿精密</w:t>
            </w:r>
          </w:p>
        </w:tc>
        <w:tc>
          <w:tcPr>
            <w:tcW w:type="dxa" w:w="1691"/>
            <w:shd w:fill="EDF4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继续观察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P2 供给与竞争观察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快接零部件量产和核心客户关系成立，但3C混合收入无法证明液冷规模，良率、有效产能、复购、利润和现金仍未知。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直接主题收入 + 重复交付/第二客户 + 良率/有效产能 + 毛利与现金。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2026-11-30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中科曙光</w:t>
            </w:r>
          </w:p>
        </w:tc>
        <w:tc>
          <w:tcPr>
            <w:tcW w:type="dxa" w:w="1691"/>
            <w:shd w:fill="FFF4D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证据不足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P3 背景观察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只证明曙光数创是重要非全资子公司及其合并边界，不能把子公司的产品、收入和利润直接变成母公司液冷投资逻辑。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只有正式报表直接披露并可按合并口径解释时，才补充母公司归母影响。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2026-09-30</w:t>
            </w:r>
          </w:p>
        </w:tc>
      </w:tr>
      <w:tr>
        <w:trPr>
          <w:cantSplit/>
        </w:trPr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4"/>
              </w:rPr>
              <w:t>同飞股份</w:t>
            </w:r>
          </w:p>
        </w:tc>
        <w:tc>
          <w:tcPr>
            <w:tcW w:type="dxa" w:w="1691"/>
            <w:shd w:fill="FFF4D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证据不足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P3 能力与竞争背景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正式年报只证明CDU、Manifold、浸没箱体等产品能力，没有客户、订单、交付或独立业务分项，关系硬门未通过。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正式客户、订单、交付、重复采购或独立业务分项。</w:t>
            </w:r>
          </w:p>
        </w:tc>
        <w:tc>
          <w:tcPr>
            <w:tcW w:type="dxa" w:w="16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2026-09-30</w:t>
            </w:r>
          </w:p>
        </w:tc>
      </w:tr>
    </w:tbl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5B6573"/>
        </w:rPr>
        <w:t>P1/P2/P3只表示下一阶段应把多少研究精力放在哪些证据上，不是股票优先级，也不能转成仓位排序。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9. D阶段应该怎样守候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频率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Codex更新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什么时候提醒ChatGPT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7365D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不会做什么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交易日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价格、市值、估值、相对沪深300、公告元数据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估值跨自身260日分位区间或价格—基本面明显背离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不自动买卖，不因涨跌改研究状态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每周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新公告、接近条件、数据失败、待读正文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出现正式客户/订单/交付或否认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不靠公告标题升级关系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每月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状态、证据到期、未知项、估值区间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证据过期、关系需复核、重大缺口有新来源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不静默删除未知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每季度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财报、主营、订单转收入、毛利、现金、应收、存货、资本开支、情景重算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G3—G7任一可能升级/降级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不修改ChatGPT假设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事件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标准、技术路线、二供、自制、新进入者、重大项目与财务异常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生成重大触发包并冻结自动状态改变</w:t>
            </w:r>
          </w:p>
        </w:tc>
        <w:tc>
          <w:tcPr>
            <w:tcW w:type="dxa" w:w="25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不直接宣布逻辑升级或失效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0E7C86"/>
        </w:rPr>
        <w:t>D阶段优先守候的五类证据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关系兑现：正式订单、项目验收、追加订单、第二客户和重复项目。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主题财务：液冷独立收入、毛利、净利润、回款或经营现金首次披露。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质量改善：毛利止跌、存货/应收与收入匹配、现金由负转好。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持续性：二供认证、客户自制、接口标准变化、有效产能和同规格价格。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预期变化：当前市值对应的利润/收入要求与最新基本面重新比较。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10. 下一步建议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先安装D阶段监控合同，不进行自动交易。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至少完成一次季度更新，观察哪些“未知”能够自然转为正式事实。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随后做点时历史回放，验证“关系—生意—质量—预期”这些门是否真的能减少误判。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在液冷试点经过监控与历史验证前，不扩展成全AI自动化，也不修改现有五个股票研究Skill。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7F4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0E7C86"/>
              <w:left w:val="single" w:sz="8" w:color="0E7C86"/>
              <w:bottom w:val="single" w:sz="8" w:color="0E7C86"/>
              <w:right w:val="single" w:sz="8" w:color="0E7C86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E7C86"/>
                <w:sz w:val="22"/>
              </w:rPr>
              <w:t>用户下一句只需回复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同意安装D阶段监控合同。</w:t>
              <w:br/>
              <w:br/>
              <w:t>这代表同意Codex安装监控基线和状态账，不代表同意买入任何公司。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附录A：本轮使用的正式文件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03_A_开放式产业研究最终报告.docx / 03_A_交给B阶段.yaml / 03_A_证据清单.csv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04_B1_本地核查合同.yaml / 04_B1_口径说明.md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B2-R1更新后的05_B2_本地核查.json / 05_B2_本地核查摘要.md / 05_B2_数据缺口.json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最终版06_B_验收报告.md / 06_B_交给C阶段.yaml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07_C1_综合研究草案.docx / 07_C1_计算请求.yaml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08_C2_计算结果.json / 08_C2_计算摘要.md / 08_C2_数据缺口.json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</w:rPr>
        <w:t>附录B：研究边界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本报告只形成研究候选、继续观察、证据不足或逻辑失效四类研究状态；本轮研究候选为0。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价格和估值仅用于判断市场隐含要求，不形成目标价。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公司级财务不等于液冷主题财务；除曙光数创的冷板/浸没直接产品外，其余主题数字保持“未知”。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1F2937"/>
        </w:rPr>
        <w:t>所有结论截至2026-08-27 22:32:34（北京时间），后续材料只能形成新版本，不能倒改历史。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879" w:bottom="850" w:left="87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B6573"/>
        <w:sz w:val="16"/>
      </w:rPr>
      <w:t>热点反向穿透法 · 液冷试点 · C3最终综合研究结论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