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ans CJK SC" w:hAnsi="Noto Sans CJK SC" w:eastAsia="Noto Sans CJK SC"/>
          <w:b/>
          <w:color w:val="0F5B66"/>
          <w:sz w:val="36"/>
        </w:rPr>
        <w:t>热点反向穿透法</w:t>
      </w:r>
    </w:p>
    <w:p>
      <w:pPr>
        <w:spacing w:before="400"/>
        <w:jc w:val="center"/>
      </w:pPr>
      <w:r>
        <w:rPr>
          <w:rFonts w:ascii="Noto Sans CJK SC" w:hAnsi="Noto Sans CJK SC" w:eastAsia="Noto Sans CJK SC"/>
          <w:b/>
          <w:color w:val="1E2A32"/>
          <w:sz w:val="54"/>
        </w:rPr>
        <w:t>AI 数据中心液冷端到端可行性试点</w:t>
      </w:r>
    </w:p>
    <w:p>
      <w:pPr>
        <w:jc w:val="center"/>
      </w:pPr>
      <w:r>
        <w:rPr>
          <w:rFonts w:ascii="Noto Sans CJK SC" w:hAnsi="Noto Sans CJK SC" w:eastAsia="Noto Sans CJK SC"/>
          <w:b/>
          <w:color w:val="B77A00"/>
          <w:sz w:val="32"/>
        </w:rPr>
        <w:t>研究启动说明 V1.0</w:t>
      </w:r>
    </w:p>
    <w:p>
      <w:pPr>
        <w:spacing w:before="400"/>
        <w:jc w:val="center"/>
      </w:pPr>
      <w:r>
        <w:rPr>
          <w:rFonts w:ascii="Noto Sans CJK SC" w:hAnsi="Noto Sans CJK SC" w:eastAsia="Noto Sans CJK SC"/>
          <w:color w:val="0F5B66"/>
          <w:sz w:val="24"/>
        </w:rPr>
        <w:t>本文件只定义“研究什么、追到哪里、什么不做”。</w:t>
        <w:br/>
        <w:t>尚未开始全网产业研究，也没有搜索公司或股票。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4F3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F5B66"/>
                <w:sz w:val="18"/>
              </w:rPr>
              <w:t>研究编号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2A32"/>
                <w:sz w:val="18"/>
              </w:rPr>
              <w:t>ai-liquid-cooling-2026h2-001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4F3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F5B66"/>
                <w:sz w:val="18"/>
              </w:rPr>
              <w:t>资料截止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2026-08-27T22:32:34+08:00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4F3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F5B66"/>
                <w:sz w:val="18"/>
              </w:rPr>
              <w:t>观察期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半年，至 2027-02-27（不是持有期）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4F3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F5B66"/>
                <w:sz w:val="18"/>
              </w:rPr>
              <w:t>当前步骤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第1步：研究启动与范围草案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4F3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F5B66"/>
                <w:sz w:val="18"/>
              </w:rPr>
              <w:t>下一动作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用户只需批准、修改一点或停止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6D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before="0" w:after="60" w:line="264" w:lineRule="auto"/>
            </w:pPr>
            <w:r>
              <w:rPr>
                <w:rFonts w:ascii="Noto Sans CJK SC" w:hAnsi="Noto Sans CJK SC" w:eastAsia="Noto Sans CJK SC"/>
                <w:b/>
                <w:color w:val="B77A00"/>
                <w:sz w:val="23"/>
              </w:rPr>
              <w:t>一句话结论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color w:val="1E2A32"/>
                <w:sz w:val="20"/>
              </w:rPr>
              <w:t>这次先不用证明“液冷哪家公司最好”，而是先验证：我们能不能把液冷这套系统画到足够完整，能不能取得可靠数据，能不能把上市与非上市公司的身份、能力、供货关系和规模分清，并把仍然不知道的地方诚实保留下来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00" w:after="140" w:line="264" w:lineRule="auto"/>
      </w:pPr>
      <w:r>
        <w:rPr>
          <w:rFonts w:ascii="Noto Sans CJK SC" w:hAnsi="Noto Sans CJK SC" w:eastAsia="Noto Sans CJK SC"/>
          <w:b/>
          <w:color w:val="0F5B66"/>
          <w:sz w:val="36"/>
        </w:rPr>
        <w:t>一页看懂：这次试点到底要做什么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color w:val="1E2A32"/>
          <w:sz w:val="21"/>
        </w:rPr>
        <w:t>液冷被选为第一次试点，不是因为已经认定它是最好的股票方向，而是因为它足够复杂：既包含冷板、CDU、连接器等硬件，也包含制造、测试、接口、认证、机房改造、系统集成、运维、客户自制和替代技术。它可以像一次“压力测试”，检验整套方法能否真正落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F5B66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你关心的事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F5B66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本次怎么处理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要验证的核心问题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能否建立一张有边界、可审计、可更新的液冷产业地图，并让每个重要节点、实体和关系都有来源、时间、状态或未知占位。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不是要做什么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不是挑液冷股票，不是判断当前估值，不是给买入名单，也不是建设一个覆盖全互联网的大平台。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研究范围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全球技术与供应格局 + 中国商业化 + A股实体和本地数据映射。A股映射只为以后核查身份和数据，不代表选股。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观察期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默认半年，用来观察产业关系、证据有效期、数据维护和人工工作量，不是股票持有期限。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最终结果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只能诚实地给出“通过、混合、缩减”三类结论：能否自动、哪些必须人工、哪些判断应放弃。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4F3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before="0" w:after="60" w:line="264" w:lineRule="auto"/>
            </w:pPr>
            <w:r>
              <w:rPr>
                <w:rFonts w:ascii="Noto Sans CJK SC" w:hAnsi="Noto Sans CJK SC" w:eastAsia="Noto Sans CJK SC"/>
                <w:b/>
                <w:color w:val="0F5B66"/>
                <w:sz w:val="23"/>
              </w:rPr>
              <w:t>本轮精确命题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color w:val="1E2A32"/>
                <w:sz w:val="20"/>
              </w:rPr>
              <w:t>若高功率 AI 训练与推理负载持续提高机柜热密度，最终付款人将不得不增加从芯片、服务器、机架到机房和运维的液冷系统支出；但需求和利润不会平均分配，真正影响价值归属的是接口与认证、有效供给、客户自制、第二供应商、交付验收、运行维护和替代路线。试点要验证这条命题能否被合法、可追溯、可回放的证据支持；若关键事实长期取不到或个人维护成本过高，就缩减方法边界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40" w:line="264" w:lineRule="auto"/>
      </w:pPr>
      <w:r>
        <w:rPr>
          <w:rFonts w:ascii="Noto Sans CJK SC" w:hAnsi="Noto Sans CJK SC" w:eastAsia="Noto Sans CJK SC"/>
          <w:b/>
          <w:color w:val="0F5B66"/>
          <w:sz w:val="36"/>
        </w:rPr>
        <w:t>1. 最终谁使用，谁真正付钱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color w:val="1E2A32"/>
          <w:sz w:val="21"/>
        </w:rPr>
        <w:t>研究从最终使用和最终付款人开始，而不是从设备名称或股票名单开始。直接下单的人可能是服务器厂商、系统集成商或工程总包，但真正决定预算的人可能是云厂商、运营商、数据中心业主或自建算力中心的机构。两者必须分开。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F5B66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F5B66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本次包含谁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F5B66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为什么要区分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最终使用者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云服务商、互联网平台、运营商、AIDC/数据中心运营者，以及自建 AI 集群的企业、政府和科研机构。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决定为什么必须让高功率 AI 设备稳定运行。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最终付款人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云厂商和互联网平台的数据中心投资主体；电信运营商和智算/AIDC主体；第三方数据中心业主；专用 AI 基础设施采购方。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决定资本开支、运营支出或研发预算是否真正发生。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直接采购人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服务器整机厂、液冷系统商、机架集成商、工程总包、机电改造承包方。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负责下单和交付，但不一定是最终承担预算的人。</w:t>
            </w:r>
          </w:p>
        </w:tc>
      </w:tr>
    </w:tbl>
    <w:p>
      <w:pPr>
        <w:spacing w:after="20"/>
      </w:pPr>
    </w:p>
    <w:p>
      <w:pPr>
        <w:spacing w:before="0" w:after="120" w:line="324" w:lineRule="auto"/>
      </w:pPr>
      <w:r>
        <w:rPr>
          <w:rFonts w:ascii="Noto Sans CJK SC" w:hAnsi="Noto Sans CJK SC" w:eastAsia="Noto Sans CJK SC"/>
          <w:color w:val="1E2A32"/>
          <w:sz w:val="21"/>
        </w:rPr>
        <w:t>本轮会区分三种钱：资本开支用于新建或改造设备和机房；运营支出用于维护、冷却液、备件和监控服务；研发投入用于样机、测试、认证和兼容性验证。只有把钱的性质分开，后面才能判断谁真正收款、何时转成收入和现金。</w:t>
      </w:r>
    </w:p>
    <w:p>
      <w:pPr>
        <w:pStyle w:val="Heading1"/>
        <w:keepNext/>
        <w:spacing w:before="200" w:after="140" w:line="264" w:lineRule="auto"/>
      </w:pPr>
      <w:r>
        <w:rPr>
          <w:rFonts w:ascii="Noto Sans CJK SC" w:hAnsi="Noto Sans CJK SC" w:eastAsia="Noto Sans CJK SC"/>
          <w:b/>
          <w:color w:val="0F5B66"/>
          <w:sz w:val="36"/>
        </w:rPr>
        <w:t>2. 从哪里开始，向上游追到哪里停止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color w:val="1E2A32"/>
          <w:sz w:val="21"/>
        </w:rPr>
        <w:t>系统起点是高功率 AI 训练与推理设备产生的热量，以及最终使用者为保证设备安全、稳定、连续运行而必须完成的热量转移、分配、排散、监测和维护。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F5B66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研究层级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F5B66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本轮纳入的内容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芯片与服务器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芯片热源、封装/TIM、冷板接触界面；服务器内冷板、管路、密封、快速接头和固定件。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机架分配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供回液歧管、阀门、软管、传感器、均流和冗余设计。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CDU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泵、换热器、过滤、膨胀/补液、变频驱动、控制和监测。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机房水环与排热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设施水、管道、水处理、补液、脱气、干冷器、冷机、冷却塔或其他最终排热设备。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制造与认证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材料兼容、精密加工、钎焊/焊接、清洗、装配、泄漏/压力/热性能/腐蚀/寿命测试、接口认证和客户验证。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交付与运维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系统设计、机房改造、集成、调试、验收、冷却液管理、过滤清洗、备件、监控、故障处理和升级。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替代与竞争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浸没式、后门换热、风液混合、芯片效率提升、客户自制、第二供应商和潜在进入者。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6D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before="0" w:after="60" w:line="264" w:lineRule="auto"/>
            </w:pPr>
            <w:r>
              <w:rPr>
                <w:rFonts w:ascii="Noto Sans CJK SC" w:hAnsi="Noto Sans CJK SC" w:eastAsia="Noto Sans CJK SC"/>
                <w:b/>
                <w:color w:val="B77A00"/>
                <w:sz w:val="23"/>
              </w:rPr>
              <w:t>停止向上游追溯的规则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color w:val="1E2A32"/>
                <w:sz w:val="20"/>
              </w:rPr>
              <w:t>普通铜、铝、钢铁、基础化工、通用机床和一般电力不会为了“看起来完整”被无限纳入。只有当液冷专用规格、认证、供给约束或新增需求足以改变需求必要性、交付瓶颈、利润归属或竞争判断时，才继续追下去；否则记录停止理由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40" w:line="264" w:lineRule="auto"/>
      </w:pPr>
      <w:r>
        <w:rPr>
          <w:rFonts w:ascii="Noto Sans CJK SC" w:hAnsi="Noto Sans CJK SC" w:eastAsia="Noto Sans CJK SC"/>
          <w:b/>
          <w:color w:val="0F5B66"/>
          <w:sz w:val="36"/>
        </w:rPr>
        <w:t>3. 生命周期与拆解深度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color w:val="1E2A32"/>
          <w:sz w:val="21"/>
        </w:rPr>
        <w:t>本次不是只看设备出厂前的产品清单，而是覆盖一项液冷系统从提出需求到长期运行的完整过程。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F5B66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边界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F5B66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执行口径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纳入的生命周期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需求与架构设计 → 研发和样机 → 制造与装配 → 测试、接口认证和客户验证 → 采购、交付、改造、调试和验收 → 运行、维护、耗材和备件 → 扩容、升级和替换。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条件性纳入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退役、回收和处置只在冷却液合规、设备兼容、改造成本或资产减值会改变经济判断时研究。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拆解到什么程度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拆到能够独立采购或报价、独立定义规格/接口/测试、独立认证、能够对应供应商，并可能改变交付、成本、替代难度或利润归属的节点。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什么时候继续往下拆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下一级工艺、材料或测试能力可能形成隐藏瓶颈，决定良率、可靠性、认证周期、有效产能，或改变客户自制和竞争格局时继续。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40" w:line="264" w:lineRule="auto"/>
      </w:pPr>
      <w:r>
        <w:rPr>
          <w:rFonts w:ascii="Noto Sans CJK SC" w:hAnsi="Noto Sans CJK SC" w:eastAsia="Noto Sans CJK SC"/>
          <w:b/>
          <w:color w:val="0F5B66"/>
          <w:sz w:val="36"/>
        </w:rPr>
        <w:t>4. 什么才算“关键节点”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color w:val="1E2A32"/>
          <w:sz w:val="21"/>
        </w:rPr>
        <w:t>一个节点是否纳入，不看名称是否热门，而看漏掉它会不会改变研究结论。满足下面任一条，就必须进入节点表或未知清单：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E2A32"/>
          <w:sz w:val="20"/>
        </w:rPr>
        <w:t>会改变“最终付款人是否必须采购”的判断。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E2A32"/>
          <w:sz w:val="20"/>
        </w:rPr>
        <w:t>会改变交付瓶颈、认证周期、有效供给或量产良率判断。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E2A32"/>
          <w:sz w:val="20"/>
        </w:rPr>
        <w:t>会改变价格、议价权、利润池、现金占用或收入确认判断。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E2A32"/>
          <w:sz w:val="20"/>
        </w:rPr>
        <w:t>会改变客户自制、替代技术、第二供应商和潜在进入者判断。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E2A32"/>
          <w:sz w:val="20"/>
        </w:rPr>
        <w:t>会导致上市公司份额被高估，或重要非上市竞争者被忽略。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E2A32"/>
          <w:sz w:val="20"/>
        </w:rPr>
        <w:t>会使一条关键关系无法取得合法、可追溯、可回放的证据。</w:t>
      </w:r>
    </w:p>
    <w:p>
      <w:r>
        <w:br w:type="page"/>
      </w:r>
    </w:p>
    <w:p>
      <w:pPr>
        <w:pStyle w:val="Heading1"/>
        <w:keepNext/>
        <w:spacing w:before="200" w:after="140" w:line="264" w:lineRule="auto"/>
      </w:pPr>
      <w:r>
        <w:rPr>
          <w:rFonts w:ascii="Noto Sans CJK SC" w:hAnsi="Noto Sans CJK SC" w:eastAsia="Noto Sans CJK SC"/>
          <w:b/>
          <w:color w:val="0F5B66"/>
          <w:sz w:val="36"/>
        </w:rPr>
        <w:t>5. 后续必须从七个视角检查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F5B66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视角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F5B66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必须回答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F5B66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功能/使用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系统必须完成什么热管理和安全功能？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先证明“必须存在”，避免关键词关联。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物理产品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由哪些系统、子系统、部件、材料、软件和服务完成？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形成真实采购对象。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制造过程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怎样制造、清洗、装配和测试？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发现设备、工艺、良率和周期瓶颈。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接口/标准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怎样连接、兼容、认证和验收？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判断替换难度和客户专用壁垒。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交付/部署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谁设计、集成、改造、调试和验收？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区分订单、交付、收入和现金。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运维/生命周期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运行后需要什么耗材、备件、监控、维护和升级？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判断持续收入与售后成本。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经济/竞争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谁付钱、谁定标准、谁自制、谁扶持二供、有哪些替代？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判断利润归属和持续性。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40" w:line="264" w:lineRule="auto"/>
      </w:pPr>
      <w:r>
        <w:rPr>
          <w:rFonts w:ascii="Noto Sans CJK SC" w:hAnsi="Noto Sans CJK SC" w:eastAsia="Noto Sans CJK SC"/>
          <w:b/>
          <w:color w:val="0F5B66"/>
          <w:sz w:val="36"/>
        </w:rPr>
        <w:t>6. 本轮明确不做什么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E2A32"/>
          <w:sz w:val="20"/>
        </w:rPr>
        <w:t>现在不开始全网产业搜索，不搜索公司或股票，不形成任何公司名单。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E2A32"/>
          <w:sz w:val="20"/>
        </w:rPr>
        <w:t>不输出股票推荐、目标价、仓位、止盈止损、买卖指令或收益承诺。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E2A32"/>
          <w:sz w:val="20"/>
        </w:rPr>
        <w:t>不做当前估值、K线、价格强弱、市场拥挤或买入时点判断。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E2A32"/>
          <w:sz w:val="20"/>
        </w:rPr>
        <w:t>不把本轮扩展成完整 AI 产业链；只做液冷端到端试点。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E2A32"/>
          <w:sz w:val="20"/>
        </w:rPr>
        <w:t>不因为“热管理”“散热”“铜铝材料”等关键词就认定受益或供货关系。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E2A32"/>
          <w:sz w:val="20"/>
        </w:rPr>
        <w:t>不建设全互联网爬虫、图数据库、大平台、新数据 schema 或新增自动任务。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E2A32"/>
          <w:sz w:val="20"/>
        </w:rPr>
        <w:t>不绕过登录、验证码、授权、网站条款或数据许可限制。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E2A32"/>
          <w:sz w:val="20"/>
        </w:rPr>
        <w:t>不把缺失、冲突、过期或无法取得的事实自动补成确定结论。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E2A32"/>
          <w:sz w:val="20"/>
        </w:rPr>
        <w:t>不修改现有五个股票研究 Skill、src、tests、数据 schema、定时任务、Forward CSV、D20 口径或价格场景。</w:t>
      </w:r>
    </w:p>
    <w:p>
      <w:pPr>
        <w:pStyle w:val="Heading1"/>
        <w:keepNext/>
        <w:spacing w:before="200" w:after="140" w:line="264" w:lineRule="auto"/>
      </w:pPr>
      <w:r>
        <w:rPr>
          <w:rFonts w:ascii="Noto Sans CJK SC" w:hAnsi="Noto Sans CJK SC" w:eastAsia="Noto Sans CJK SC"/>
          <w:b/>
          <w:color w:val="0F5B66"/>
          <w:sz w:val="36"/>
        </w:rPr>
        <w:t>7. 当前就应该承认的未知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color w:val="1E2A32"/>
          <w:sz w:val="21"/>
        </w:rPr>
        <w:t>下面不是研究结论，而是下一阶段必须验证的问题。先写出来，是为了防止后面看到零散材料就提前下结论。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F5B66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未知类别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F5B66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现在的处理方式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技术路线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直接液冷、浸没式、后门换热和风液混合的实际应用比例与适用场景尚未核验。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接口与认证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标准是否趋同、客户专用接口有多强、认证周期有多长尚未核验。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客户自制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云厂商、服务器整机厂和系统商自研冷板、歧管、控制或指定部件的范围尚不清楚。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非上市公司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主体别名、股权、产品能力、客户关系和供货规模公开程度有限。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私有交易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私有 B2B 合同和保密供应关系可能长期无法通过公开材料取得。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本地数据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本地仓库对实体、主营、公告全文和历史点时的真实覆盖，要等 Codex A2 按实际系统审计。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来源与成本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外部来源是否合法、稳定、可保存、多久更新、是否需要付费和人工，尚未逐项验证。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维护门槛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双源、搜索饱和和人工金样本等起始门槛是否适合个人长期维护，需要试点校准。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40" w:line="264" w:lineRule="auto"/>
      </w:pPr>
      <w:r>
        <w:rPr>
          <w:rFonts w:ascii="Noto Sans CJK SC" w:hAnsi="Noto Sans CJK SC" w:eastAsia="Noto Sans CJK SC"/>
          <w:b/>
          <w:color w:val="0F5B66"/>
          <w:sz w:val="36"/>
        </w:rPr>
        <w:t>8. 什么时候算这次试点做完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color w:val="1E2A32"/>
          <w:sz w:val="21"/>
        </w:rPr>
        <w:t>本文件只是启动范围。第1步完成的标准很简单：三个启动文件生成，用户看懂并批准，且没有提前开始产业研究。整个液冷试点后续只有在下面条件基本满足时才能结束：</w:t>
      </w:r>
    </w:p>
    <w:p>
      <w:pPr>
        <w:spacing w:before="0" w:after="60" w:line="300" w:lineRule="auto"/>
        <w:ind w:left="369" w:hanging="369"/>
      </w:pPr>
      <w:r>
        <w:rPr>
          <w:rFonts w:ascii="Noto Sans CJK SC" w:hAnsi="Noto Sans CJK SC" w:eastAsia="Noto Sans CJK SC"/>
          <w:b/>
          <w:color w:val="1E2A32"/>
          <w:sz w:val="20"/>
        </w:rPr>
        <w:t xml:space="preserve">1. </w:t>
      </w:r>
      <w:r>
        <w:rPr>
          <w:rFonts w:ascii="Noto Sans CJK SC" w:hAnsi="Noto Sans CJK SC" w:eastAsia="Noto Sans CJK SC"/>
          <w:color w:val="1E2A32"/>
          <w:sz w:val="20"/>
        </w:rPr>
        <w:t>七个视角中的每个关键功能和接口都有明确节点或未知占位。</w:t>
      </w:r>
    </w:p>
    <w:p>
      <w:pPr>
        <w:spacing w:before="0" w:after="60" w:line="300" w:lineRule="auto"/>
        <w:ind w:left="369" w:hanging="369"/>
      </w:pPr>
      <w:r>
        <w:rPr>
          <w:rFonts w:ascii="Noto Sans CJK SC" w:hAnsi="Noto Sans CJK SC" w:eastAsia="Noto Sans CJK SC"/>
          <w:b/>
          <w:color w:val="1E2A32"/>
          <w:sz w:val="20"/>
        </w:rPr>
        <w:t xml:space="preserve">2. </w:t>
      </w:r>
      <w:r>
        <w:rPr>
          <w:rFonts w:ascii="Noto Sans CJK SC" w:hAnsi="Noto Sans CJK SC" w:eastAsia="Noto Sans CJK SC"/>
          <w:color w:val="1E2A32"/>
          <w:sz w:val="20"/>
        </w:rPr>
        <w:t>没有未解释的关键孤儿节点；低影响节点可以延后，但必须说明。</w:t>
      </w:r>
    </w:p>
    <w:p>
      <w:pPr>
        <w:spacing w:before="0" w:after="60" w:line="300" w:lineRule="auto"/>
        <w:ind w:left="369" w:hanging="369"/>
      </w:pPr>
      <w:r>
        <w:rPr>
          <w:rFonts w:ascii="Noto Sans CJK SC" w:hAnsi="Noto Sans CJK SC" w:eastAsia="Noto Sans CJK SC"/>
          <w:b/>
          <w:color w:val="1E2A32"/>
          <w:sz w:val="20"/>
        </w:rPr>
        <w:t xml:space="preserve">3. </w:t>
      </w:r>
      <w:r>
        <w:rPr>
          <w:rFonts w:ascii="Noto Sans CJK SC" w:hAnsi="Noto Sans CJK SC" w:eastAsia="Noto Sans CJK SC"/>
          <w:color w:val="1E2A32"/>
          <w:sz w:val="20"/>
        </w:rPr>
        <w:t>关键节点和关系至少有两个独立来源且至少一个一级来源，达不到就降级为待核。</w:t>
      </w:r>
    </w:p>
    <w:p>
      <w:pPr>
        <w:spacing w:before="0" w:after="60" w:line="300" w:lineRule="auto"/>
        <w:ind w:left="369" w:hanging="369"/>
      </w:pPr>
      <w:r>
        <w:rPr>
          <w:rFonts w:ascii="Noto Sans CJK SC" w:hAnsi="Noto Sans CJK SC" w:eastAsia="Noto Sans CJK SC"/>
          <w:b/>
          <w:color w:val="1E2A32"/>
          <w:sz w:val="20"/>
        </w:rPr>
        <w:t xml:space="preserve">4. </w:t>
      </w:r>
      <w:r>
        <w:rPr>
          <w:rFonts w:ascii="Noto Sans CJK SC" w:hAnsi="Noto Sans CJK SC" w:eastAsia="Noto Sans CJK SC"/>
          <w:color w:val="1E2A32"/>
          <w:sz w:val="20"/>
        </w:rPr>
        <w:t>连续两轮不同来源搜索新增关键节点低于 3%，仅作为试点起始阈值，不是永久规则。</w:t>
      </w:r>
    </w:p>
    <w:p>
      <w:pPr>
        <w:spacing w:before="0" w:after="60" w:line="300" w:lineRule="auto"/>
        <w:ind w:left="369" w:hanging="369"/>
      </w:pPr>
      <w:r>
        <w:rPr>
          <w:rFonts w:ascii="Noto Sans CJK SC" w:hAnsi="Noto Sans CJK SC" w:eastAsia="Noto Sans CJK SC"/>
          <w:b/>
          <w:color w:val="1E2A32"/>
          <w:sz w:val="20"/>
        </w:rPr>
        <w:t xml:space="preserve">5. </w:t>
      </w:r>
      <w:r>
        <w:rPr>
          <w:rFonts w:ascii="Noto Sans CJK SC" w:hAnsi="Noto Sans CJK SC" w:eastAsia="Noto Sans CJK SC"/>
          <w:color w:val="1E2A32"/>
          <w:sz w:val="20"/>
        </w:rPr>
        <w:t>冲突、过期关系、无法取得项和复核日期全部记录。</w:t>
      </w:r>
    </w:p>
    <w:p>
      <w:pPr>
        <w:spacing w:before="0" w:after="60" w:line="300" w:lineRule="auto"/>
        <w:ind w:left="369" w:hanging="369"/>
      </w:pPr>
      <w:r>
        <w:rPr>
          <w:rFonts w:ascii="Noto Sans CJK SC" w:hAnsi="Noto Sans CJK SC" w:eastAsia="Noto Sans CJK SC"/>
          <w:b/>
          <w:color w:val="1E2A32"/>
          <w:sz w:val="20"/>
        </w:rPr>
        <w:t xml:space="preserve">6. </w:t>
      </w:r>
      <w:r>
        <w:rPr>
          <w:rFonts w:ascii="Noto Sans CJK SC" w:hAnsi="Noto Sans CJK SC" w:eastAsia="Noto Sans CJK SC"/>
          <w:color w:val="1E2A32"/>
          <w:sz w:val="20"/>
        </w:rPr>
        <w:t>Codex 完成本地数据、实体映射和点时能力审计。</w:t>
      </w:r>
    </w:p>
    <w:p>
      <w:pPr>
        <w:spacing w:before="0" w:after="60" w:line="300" w:lineRule="auto"/>
        <w:ind w:left="369" w:hanging="369"/>
      </w:pPr>
      <w:r>
        <w:rPr>
          <w:rFonts w:ascii="Noto Sans CJK SC" w:hAnsi="Noto Sans CJK SC" w:eastAsia="Noto Sans CJK SC"/>
          <w:b/>
          <w:color w:val="1E2A32"/>
          <w:sz w:val="20"/>
        </w:rPr>
        <w:t xml:space="preserve">7. </w:t>
      </w:r>
      <w:r>
        <w:rPr>
          <w:rFonts w:ascii="Noto Sans CJK SC" w:hAnsi="Noto Sans CJK SC" w:eastAsia="Noto Sans CJK SC"/>
          <w:color w:val="1E2A32"/>
          <w:sz w:val="20"/>
        </w:rPr>
        <w:t>高影响实体和关系能够抽样人工复核，维护工作量个人可承受。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DF4FA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before="0" w:after="60" w:line="264" w:lineRule="auto"/>
            </w:pPr>
            <w:r>
              <w:rPr>
                <w:rFonts w:ascii="Noto Sans CJK SC" w:hAnsi="Noto Sans CJK SC" w:eastAsia="Noto Sans CJK SC"/>
                <w:b/>
                <w:color w:val="0F5B66"/>
                <w:sz w:val="23"/>
              </w:rPr>
              <w:t>最终只能有三种诚实路线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color w:val="1E2A32"/>
                <w:sz w:val="20"/>
              </w:rPr>
              <w:t>通过：关键数据可合法取得，关系核验可靠，维护负担可接受。</w:t>
              <w:br/>
              <w:t>混合：一部分可自动，一部分需要授权数据或少量人工。</w:t>
              <w:br/>
              <w:t>缩减：关键事实长期取不到、误判太高或维护成本过大，就缩小研究范围，不假装完整。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40" w:line="264" w:lineRule="auto"/>
      </w:pPr>
      <w:r>
        <w:rPr>
          <w:rFonts w:ascii="Noto Sans CJK SC" w:hAnsi="Noto Sans CJK SC" w:eastAsia="Noto Sans CJK SC"/>
          <w:b/>
          <w:color w:val="0F5B66"/>
          <w:sz w:val="36"/>
        </w:rPr>
        <w:t>9. 你最终想从试点得到什么答案</w:t>
      </w:r>
    </w:p>
    <w:p>
      <w:pPr>
        <w:spacing w:before="0" w:after="60" w:line="300" w:lineRule="auto"/>
        <w:ind w:left="369" w:hanging="369"/>
      </w:pPr>
      <w:r>
        <w:rPr>
          <w:rFonts w:ascii="Noto Sans CJK SC" w:hAnsi="Noto Sans CJK SC" w:eastAsia="Noto Sans CJK SC"/>
          <w:b/>
          <w:color w:val="1E2A32"/>
          <w:sz w:val="20"/>
        </w:rPr>
        <w:t xml:space="preserve">1. </w:t>
      </w:r>
      <w:r>
        <w:rPr>
          <w:rFonts w:ascii="Noto Sans CJK SC" w:hAnsi="Noto Sans CJK SC" w:eastAsia="Noto Sans CJK SC"/>
          <w:color w:val="1E2A32"/>
          <w:sz w:val="20"/>
        </w:rPr>
        <w:t>能否在明确边界内建立一张有界、可审计的液冷七视图，而不是一张静态产品名单。</w:t>
      </w:r>
    </w:p>
    <w:p>
      <w:pPr>
        <w:spacing w:before="0" w:after="60" w:line="300" w:lineRule="auto"/>
        <w:ind w:left="369" w:hanging="369"/>
      </w:pPr>
      <w:r>
        <w:rPr>
          <w:rFonts w:ascii="Noto Sans CJK SC" w:hAnsi="Noto Sans CJK SC" w:eastAsia="Noto Sans CJK SC"/>
          <w:b/>
          <w:color w:val="1E2A32"/>
          <w:sz w:val="20"/>
        </w:rPr>
        <w:t xml:space="preserve">2. </w:t>
      </w:r>
      <w:r>
        <w:rPr>
          <w:rFonts w:ascii="Noto Sans CJK SC" w:hAnsi="Noto Sans CJK SC" w:eastAsia="Noto Sans CJK SC"/>
          <w:color w:val="1E2A32"/>
          <w:sz w:val="20"/>
        </w:rPr>
        <w:t>哪些功能、接口、制造、测试、交付、运维和替代节点最容易被普通产业链图遗漏。</w:t>
      </w:r>
    </w:p>
    <w:p>
      <w:pPr>
        <w:spacing w:before="0" w:after="60" w:line="300" w:lineRule="auto"/>
        <w:ind w:left="369" w:hanging="369"/>
      </w:pPr>
      <w:r>
        <w:rPr>
          <w:rFonts w:ascii="Noto Sans CJK SC" w:hAnsi="Noto Sans CJK SC" w:eastAsia="Noto Sans CJK SC"/>
          <w:b/>
          <w:color w:val="1E2A32"/>
          <w:sz w:val="20"/>
        </w:rPr>
        <w:t xml:space="preserve">3. </w:t>
      </w:r>
      <w:r>
        <w:rPr>
          <w:rFonts w:ascii="Noto Sans CJK SC" w:hAnsi="Noto Sans CJK SC" w:eastAsia="Noto Sans CJK SC"/>
          <w:color w:val="1E2A32"/>
          <w:sz w:val="20"/>
        </w:rPr>
        <w:t>哪些节点真正可能影响系统交付、替代难度、利润归属和竞争格局。</w:t>
      </w:r>
    </w:p>
    <w:p>
      <w:pPr>
        <w:spacing w:before="0" w:after="60" w:line="300" w:lineRule="auto"/>
        <w:ind w:left="369" w:hanging="369"/>
      </w:pPr>
      <w:r>
        <w:rPr>
          <w:rFonts w:ascii="Noto Sans CJK SC" w:hAnsi="Noto Sans CJK SC" w:eastAsia="Noto Sans CJK SC"/>
          <w:b/>
          <w:color w:val="1E2A32"/>
          <w:sz w:val="20"/>
        </w:rPr>
        <w:t xml:space="preserve">4. </w:t>
      </w:r>
      <w:r>
        <w:rPr>
          <w:rFonts w:ascii="Noto Sans CJK SC" w:hAnsi="Noto Sans CJK SC" w:eastAsia="Noto Sans CJK SC"/>
          <w:color w:val="1E2A32"/>
          <w:sz w:val="20"/>
        </w:rPr>
        <w:t>现有股票助手的数据和点时能力能复用到什么程度，哪些地方确实缺数据。</w:t>
      </w:r>
    </w:p>
    <w:p>
      <w:pPr>
        <w:spacing w:before="0" w:after="60" w:line="300" w:lineRule="auto"/>
        <w:ind w:left="369" w:hanging="369"/>
      </w:pPr>
      <w:r>
        <w:rPr>
          <w:rFonts w:ascii="Noto Sans CJK SC" w:hAnsi="Noto Sans CJK SC" w:eastAsia="Noto Sans CJK SC"/>
          <w:b/>
          <w:color w:val="1E2A32"/>
          <w:sz w:val="20"/>
        </w:rPr>
        <w:t xml:space="preserve">5. </w:t>
      </w:r>
      <w:r>
        <w:rPr>
          <w:rFonts w:ascii="Noto Sans CJK SC" w:hAnsi="Noto Sans CJK SC" w:eastAsia="Noto Sans CJK SC"/>
          <w:color w:val="1E2A32"/>
          <w:sz w:val="20"/>
        </w:rPr>
        <w:t>上市与非上市实体能否统一去重，并把身份、能力、供货关系和规模分开。</w:t>
      </w:r>
    </w:p>
    <w:p>
      <w:pPr>
        <w:spacing w:before="0" w:after="60" w:line="300" w:lineRule="auto"/>
        <w:ind w:left="369" w:hanging="369"/>
      </w:pPr>
      <w:r>
        <w:rPr>
          <w:rFonts w:ascii="Noto Sans CJK SC" w:hAnsi="Noto Sans CJK SC" w:eastAsia="Noto Sans CJK SC"/>
          <w:b/>
          <w:color w:val="1E2A32"/>
          <w:sz w:val="20"/>
        </w:rPr>
        <w:t xml:space="preserve">6. </w:t>
      </w:r>
      <w:r>
        <w:rPr>
          <w:rFonts w:ascii="Noto Sans CJK SC" w:hAnsi="Noto Sans CJK SC" w:eastAsia="Noto Sans CJK SC"/>
          <w:color w:val="1E2A32"/>
          <w:sz w:val="20"/>
        </w:rPr>
        <w:t>哪些关键关系可以合法、稳定、可回放地验证，哪些必须保留人工或未知。</w:t>
      </w:r>
    </w:p>
    <w:p>
      <w:pPr>
        <w:spacing w:before="0" w:after="60" w:line="300" w:lineRule="auto"/>
        <w:ind w:left="369" w:hanging="369"/>
      </w:pPr>
      <w:r>
        <w:rPr>
          <w:rFonts w:ascii="Noto Sans CJK SC" w:hAnsi="Noto Sans CJK SC" w:eastAsia="Noto Sans CJK SC"/>
          <w:b/>
          <w:color w:val="1E2A32"/>
          <w:sz w:val="20"/>
        </w:rPr>
        <w:t xml:space="preserve">7. </w:t>
      </w:r>
      <w:r>
        <w:rPr>
          <w:rFonts w:ascii="Noto Sans CJK SC" w:hAnsi="Noto Sans CJK SC" w:eastAsia="Noto Sans CJK SC"/>
          <w:color w:val="1E2A32"/>
          <w:sz w:val="20"/>
        </w:rPr>
        <w:t>整套方法能否形成个人长期维护的最小闭环，而不是复杂平台。</w:t>
      </w:r>
    </w:p>
    <w:p>
      <w:pPr>
        <w:spacing w:before="0" w:after="60" w:line="300" w:lineRule="auto"/>
        <w:ind w:left="369" w:hanging="369"/>
      </w:pPr>
      <w:r>
        <w:rPr>
          <w:rFonts w:ascii="Noto Sans CJK SC" w:hAnsi="Noto Sans CJK SC" w:eastAsia="Noto Sans CJK SC"/>
          <w:b/>
          <w:color w:val="1E2A32"/>
          <w:sz w:val="20"/>
        </w:rPr>
        <w:t xml:space="preserve">8. </w:t>
      </w:r>
      <w:r>
        <w:rPr>
          <w:rFonts w:ascii="Noto Sans CJK SC" w:hAnsi="Noto Sans CJK SC" w:eastAsia="Noto Sans CJK SC"/>
          <w:color w:val="1E2A32"/>
          <w:sz w:val="20"/>
        </w:rPr>
        <w:t>试点最后应选择通过、混合还是缩减，以及下一步是什么。</w:t>
      </w:r>
    </w:p>
    <w:p>
      <w:pPr>
        <w:pStyle w:val="Heading1"/>
        <w:keepNext/>
        <w:spacing w:before="200" w:after="140" w:line="264" w:lineRule="auto"/>
      </w:pPr>
      <w:r>
        <w:rPr>
          <w:rFonts w:ascii="Noto Sans CJK SC" w:hAnsi="Noto Sans CJK SC" w:eastAsia="Noto Sans CJK SC"/>
          <w:b/>
          <w:color w:val="0F5B66"/>
          <w:sz w:val="36"/>
        </w:rPr>
        <w:t>10. 这一步与 V1—V4 怎样对应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F5B66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方法依据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F5B66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本步骤怎样落实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V1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从最终需求和付款人开始，后续用需求图、钱流图、瓶颈利润图、时间图和四种状态研究；本步骤只先把边界定好。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V2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公司映射、关系证据、生意、利润、现金、持续性和预期放在后面；本步骤不跳到公司或股票。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V3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采用“有界、可审计的完整性”，按七视图拆解，用液冷验证产业完整性、数据可得性和证据可靠性三道地基门。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V4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研究范围、付款人、边界和停止条件由 ChatGPT 起草；用户只审批；Codex 只在批准后创建分支、保存文件和运行本地任务。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40" w:line="264" w:lineRule="auto"/>
      </w:pPr>
      <w:r>
        <w:rPr>
          <w:rFonts w:ascii="Noto Sans CJK SC" w:hAnsi="Noto Sans CJK SC" w:eastAsia="Noto Sans CJK SC"/>
          <w:b/>
          <w:color w:val="0F5B66"/>
          <w:sz w:val="36"/>
        </w:rPr>
        <w:t>11. 你现在只需要做一个决定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color w:val="1E2A32"/>
          <w:sz w:val="21"/>
        </w:rPr>
        <w:t>请只检查下面四点：研究的是液冷方法可行性而不是液冷股票；范围从最终使用和付款人追到关键设备、部件、制造、接口、交付和运维；普通大宗原料不会无限追溯；未知会被保留，不会为了自动化补猜。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6D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before="0" w:after="60" w:line="264" w:lineRule="auto"/>
            </w:pPr>
            <w:r>
              <w:rPr>
                <w:rFonts w:ascii="Noto Sans CJK SC" w:hAnsi="Noto Sans CJK SC" w:eastAsia="Noto Sans CJK SC"/>
                <w:b/>
                <w:color w:val="B77A00"/>
                <w:sz w:val="23"/>
              </w:rPr>
              <w:t>默认回复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color w:val="1E2A32"/>
                <w:sz w:val="20"/>
              </w:rPr>
              <w:t>同意，按默认范围继续。</w:t>
            </w:r>
          </w:p>
        </w:tc>
      </w:tr>
    </w:tbl>
    <w:p>
      <w:pPr>
        <w:spacing w:after="20"/>
      </w:pPr>
    </w:p>
    <w:p>
      <w:pPr>
        <w:spacing w:before="0" w:after="120" w:line="324" w:lineRule="auto"/>
      </w:pPr>
      <w:r>
        <w:rPr>
          <w:rFonts w:ascii="Noto Sans CJK SC" w:hAnsi="Noto Sans CJK SC" w:eastAsia="Noto Sans CJK SC"/>
          <w:color w:val="1E2A32"/>
          <w:sz w:val="21"/>
        </w:rPr>
        <w:t>需要修改时只写一句，例如：“同意，但把观察期改为一个季度，其余不变。”ChatGPT 会重新生成三个启动文件；你不用修改 YAML。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color w:val="1E2A32"/>
          <w:sz w:val="21"/>
        </w:rPr>
        <w:t>用户批准后，下一步才由 Codex 创建研究分支和运行目录、保存这三份文件、commit 并 push。Codex 此时仍不得开始产业研究。</w:t>
      </w:r>
    </w:p>
    <w:p>
      <w:pPr>
        <w:pStyle w:val="Heading1"/>
        <w:keepNext/>
        <w:spacing w:before="200" w:after="140" w:line="264" w:lineRule="auto"/>
      </w:pPr>
      <w:r>
        <w:rPr>
          <w:rFonts w:ascii="Noto Sans CJK SC" w:hAnsi="Noto Sans CJK SC" w:eastAsia="Noto Sans CJK SC"/>
          <w:b/>
          <w:color w:val="0F5B66"/>
          <w:sz w:val="36"/>
        </w:rPr>
        <w:t>附：本次启动文件与下一步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F5B66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F5B66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00_研究启动说明.docx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给用户阅读：用通俗话解释研究什么、为什么这样定、明确不做什么。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00_研究范围.yaml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给 ChatGPT/Codex 读取：保存完整范围、字段所有权、未知和停止条件。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00_下一步操作.md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E2A32"/>
                <w:sz w:val="18"/>
              </w:rPr>
              <w:t>用户批准后，提供给 Codex 的完整创建研究运行提示词。</w:t>
            </w:r>
          </w:p>
        </w:tc>
      </w:tr>
    </w:tbl>
    <w:p>
      <w:pPr>
        <w:spacing w:after="20"/>
      </w:pPr>
    </w:p>
    <w:p>
      <w:pPr>
        <w:spacing w:before="320"/>
        <w:jc w:val="center"/>
      </w:pPr>
      <w:r>
        <w:rPr>
          <w:rFonts w:ascii="Noto Sans CJK SC" w:hAnsi="Noto Sans CJK SC" w:eastAsia="Noto Sans CJK SC"/>
          <w:b/>
          <w:color w:val="0F5B66"/>
          <w:sz w:val="23"/>
        </w:rPr>
        <w:t>—— 第1步到此停止，等待用户审批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6C757D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C757D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SC" w:hAnsi="Noto Sans CJK SC" w:eastAsia="Noto Sans CJK SC"/>
        <w:color w:val="6C757D"/>
        <w:sz w:val="17"/>
      </w:rPr>
      <w:t>热点反向穿透法 · 研究启动说明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AI数据中心液冷端到端可行性试点：研究启动说明</dc:title>
  <dc:subject>热点反向穿透法第1步研究范围草案</dc:subject>
  <dc:creator>OpenAI</dc:creator>
  <cp:keywords>液冷, AI数据中心, 产业研究, 研究范围</cp:keywords>
  <dc:description>仅定义范围，不包含公司或股票研究。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