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360"/>
        <w:jc w:val="center"/>
      </w:pPr>
      <w:r>
        <w:rPr>
          <w:rFonts w:ascii="Noto Sans CJK SC" w:hAnsi="Noto Sans CJK SC" w:eastAsia="Noto Sans CJK SC"/>
          <w:b/>
          <w:color w:val="17365D"/>
          <w:sz w:val="48"/>
        </w:rPr>
        <w:t>热点反向穿透法</w:t>
      </w:r>
    </w:p>
    <w:p>
      <w:pPr>
        <w:spacing w:before="80"/>
        <w:jc w:val="center"/>
      </w:pPr>
      <w:r>
        <w:rPr>
          <w:rFonts w:ascii="Noto Sans CJK SC" w:hAnsi="Noto Sans CJK SC" w:eastAsia="Noto Sans CJK SC"/>
          <w:b/>
          <w:color w:val="0E7C86"/>
          <w:sz w:val="38"/>
        </w:rPr>
        <w:t>第 C1 步：综合研究草案与计算请求</w:t>
      </w:r>
    </w:p>
    <w:p>
      <w:pPr>
        <w:spacing w:before="200"/>
        <w:jc w:val="center"/>
      </w:pPr>
      <w:r>
        <w:rPr>
          <w:rFonts w:ascii="Noto Sans CJK SC" w:hAnsi="Noto Sans CJK SC" w:eastAsia="Noto Sans CJK SC"/>
          <w:b/>
          <w:color w:val="1F2937"/>
          <w:sz w:val="28"/>
        </w:rPr>
        <w:t>AI 数据中心液冷端到端可行性试点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6123"/>
      </w:tblGrid>
      <w:tr>
        <w:trPr>
          <w:cantSplit/>
          <w:tblHeader w:val="true"/>
        </w:trPr>
        <w:tc>
          <w:tcPr>
            <w:tcW w:type="dxa" w:w="5018"/>
            <w:shd w:fill="EDF4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65D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17365D"/>
                <w:sz w:val="18"/>
              </w:rPr>
              <w:t>研究编号</w:t>
            </w:r>
          </w:p>
        </w:tc>
        <w:tc>
          <w:tcPr>
            <w:tcW w:type="dxa" w:w="501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EDF4FA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65D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17365D"/>
                <w:sz w:val="18"/>
              </w:rPr>
              <w:t>ai-liquid-cooling-2026h2-001</w:t>
            </w:r>
          </w:p>
        </w:tc>
      </w:tr>
      <w:tr>
        <w:trPr>
          <w:cantSplit/>
        </w:trPr>
        <w:tc>
          <w:tcPr>
            <w:tcW w:type="dxa" w:w="5018"/>
            <w:shd w:fill="EDF4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资料截止</w:t>
            </w:r>
          </w:p>
        </w:tc>
        <w:tc>
          <w:tcPr>
            <w:tcW w:type="dxa" w:w="501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2026-08-27 22:32:34（北京时间）</w:t>
            </w:r>
          </w:p>
        </w:tc>
      </w:tr>
      <w:tr>
        <w:trPr>
          <w:cantSplit/>
        </w:trPr>
        <w:tc>
          <w:tcPr>
            <w:tcW w:type="dxa" w:w="5018"/>
            <w:shd w:fill="EDF4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B3验收</w:t>
            </w:r>
          </w:p>
        </w:tc>
        <w:tc>
          <w:tcPr>
            <w:tcW w:type="dxa" w:w="501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通过但有缺口（accepted_with_gaps）；允许缩小范围进入C</w:t>
            </w:r>
          </w:p>
        </w:tc>
      </w:tr>
      <w:tr>
        <w:trPr>
          <w:cantSplit/>
        </w:trPr>
        <w:tc>
          <w:tcPr>
            <w:tcW w:type="dxa" w:w="5018"/>
            <w:shd w:fill="EDF4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本轮执行者</w:t>
            </w:r>
          </w:p>
        </w:tc>
        <w:tc>
          <w:tcPr>
            <w:tcW w:type="dxa" w:w="501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ChatGPT C1</w:t>
            </w:r>
          </w:p>
        </w:tc>
      </w:tr>
      <w:tr>
        <w:trPr>
          <w:cantSplit/>
        </w:trPr>
        <w:tc>
          <w:tcPr>
            <w:tcW w:type="dxa" w:w="5018"/>
            <w:shd w:fill="EDF4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下一执行者</w:t>
            </w:r>
          </w:p>
        </w:tc>
        <w:tc>
          <w:tcPr>
            <w:tcW w:type="dxa" w:w="501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用户批准情景草案后，Codex C2</w:t>
            </w:r>
          </w:p>
        </w:tc>
      </w:tr>
      <w:tr>
        <w:trPr>
          <w:cantSplit/>
        </w:trPr>
        <w:tc>
          <w:tcPr>
            <w:tcW w:type="dxa" w:w="5018"/>
            <w:shd w:fill="EDF4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使用边界</w:t>
            </w:r>
          </w:p>
        </w:tc>
        <w:tc>
          <w:tcPr>
            <w:tcW w:type="dxa" w:w="501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不是最终研究结论，不是股票名单，不构成交易建议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FFF4D6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val="single" w:sz="8" w:color="A16207"/>
              <w:left w:val="single" w:sz="8" w:color="A16207"/>
              <w:bottom w:val="single" w:sz="8" w:color="A16207"/>
              <w:right w:val="single" w:sz="8" w:color="A16207"/>
            </w:tcBorders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A16207"/>
                <w:sz w:val="22"/>
              </w:rPr>
              <w:t>本轮最重要的原则</w:t>
            </w:r>
          </w:p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9"/>
              </w:rPr>
              <w:t>先把“关系成立”继续拆成订单、重复交付、收入、毛利、净利润和现金；没有直接来源的数字保持未知。C1只定义商业链、情景条件和C2计算合同，不在本轮形成研究候选或买卖结论。</w:t>
            </w:r>
          </w:p>
        </w:tc>
      </w:tr>
    </w:tbl>
    <w:p>
      <w:r/>
    </w:p>
    <w:p>
      <w:pPr>
        <w:pStyle w:val="Heading1"/>
      </w:pPr>
      <w:r>
        <w:rPr>
          <w:rFonts w:ascii="Noto Sans CJK SC" w:hAnsi="Noto Sans CJK SC" w:eastAsia="Noto Sans CJK SC"/>
          <w:b/>
          <w:color w:val="17365D"/>
        </w:rPr>
        <w:t>一页读懂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E7F4F3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val="single" w:sz="8" w:color="0E7C86"/>
              <w:left w:val="single" w:sz="8" w:color="0E7C86"/>
              <w:bottom w:val="single" w:sz="8" w:color="0E7C86"/>
              <w:right w:val="single" w:sz="8" w:color="0E7C86"/>
            </w:tcBorders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0E7C86"/>
                <w:sz w:val="22"/>
              </w:rPr>
              <w:t>先给结论</w:t>
            </w:r>
          </w:p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9"/>
              </w:rPr>
              <w:t>本轮不是给九家公司排队，而是决定每一家“能研究到哪一步”。最终形成：1个直接主题数量起点、4个核心商业观察、2个受限关系观察、1个所有权背景、1个能力/竞争背景。当前没有任何主体因为C1而自动成为研究候选。</w:t>
            </w:r>
          </w:p>
        </w:tc>
      </w:tr>
    </w:tbl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color w:val="1F2937"/>
        </w:rPr>
        <w:t>唯一可以直接使用液冷主题收入和毛利数字的是曙光数创；但它的客户、订单、复购、主题净利润和主题现金仍未知。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color w:val="1F2937"/>
        </w:rPr>
        <w:t>英维克、申菱环境、飞荣达、高澜股份可以继续判断商业兑现和公司质量，但公司总收入、综合毛利率和公司现金不能替代液冷主题数值。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color w:val="1F2937"/>
        </w:rPr>
        <w:t>佳力图只按设施侧液冷关系研究；荣亿精密只按快速接头零部件量产和新增供给研究；两者均不得用混合业务收入补主题数字。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color w:val="1F2937"/>
        </w:rPr>
        <w:t>中科曙光只解释曙光数创的控制、合并和少数股东权益；同飞股份只保留为产品能力和潜在竞争背景。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color w:val="1F2937"/>
        </w:rPr>
        <w:t>三情景采用“事实下限—正常兑现条件—新增触发条件”。没有直接数据时，情景可以只有条件、没有数字。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color w:val="1F2937"/>
        </w:rPr>
        <w:t>C2将做确定性计算和反向经营要求，不会给目标价；用户批准C1草案前，不能交给Codex执行。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0E7C86"/>
        </w:rPr>
        <w:t>用户这一步要批准什么</w:t>
      </w:r>
    </w:p>
    <w:p>
      <w:pPr>
        <w:spacing w:after="100" w:line="288" w:lineRule="auto"/>
      </w:pPr>
      <w:r>
        <w:rPr>
          <w:rFonts w:ascii="Noto Sans CJK SC" w:hAnsi="Noto Sans CJK SC" w:eastAsia="Noto Sans CJK SC"/>
          <w:b w:val="0"/>
          <w:color w:val="1F2937"/>
        </w:rPr>
        <w:t>你批准的不是某只股票，而是下面两件事：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  <w:b w:val="0"/>
          <w:color w:val="1F2937"/>
        </w:rPr>
        <w:t>是否同意九条记录按本报告所列边界进入C2；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  <w:b w:val="0"/>
          <w:color w:val="1F2937"/>
        </w:rPr>
        <w:t>是否同意三情景在缺乏直接披露时返回“不可计算”，而不是由模型补数字。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FDECEC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val="single" w:sz="8" w:color="B42318"/>
              <w:left w:val="single" w:sz="8" w:color="B42318"/>
              <w:bottom w:val="single" w:sz="8" w:color="B42318"/>
              <w:right w:val="single" w:sz="8" w:color="B42318"/>
            </w:tcBorders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B42318"/>
                <w:sz w:val="22"/>
              </w:rPr>
              <w:t>本轮停止线</w:t>
            </w:r>
          </w:p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9"/>
              </w:rPr>
              <w:t>C1文件生成后立即停止。你阅读本报告后，只需回复“同意按本草案计算”或一句修改意见；之后才由Codex执行C2。</w:t>
            </w:r>
          </w:p>
        </w:tc>
      </w:tr>
    </w:tbl>
    <w:p>
      <w:pPr>
        <w:pStyle w:val="Heading1"/>
      </w:pPr>
      <w:r>
        <w:rPr>
          <w:rFonts w:ascii="Noto Sans CJK SC" w:hAnsi="Noto Sans CJK SC" w:eastAsia="Noto Sans CJK SC"/>
          <w:b/>
          <w:color w:val="17365D"/>
        </w:rPr>
        <w:t>1. 本轮在全流程中的位置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34"/>
        <w:gridCol w:w="1434"/>
        <w:gridCol w:w="1434"/>
        <w:gridCol w:w="1434"/>
        <w:gridCol w:w="1434"/>
        <w:gridCol w:w="1434"/>
        <w:gridCol w:w="1434"/>
      </w:tblGrid>
      <w:tr>
        <w:trPr>
          <w:cantSplit/>
          <w:tblHeader w:val="true"/>
        </w:trPr>
        <w:tc>
          <w:tcPr>
            <w:tcW w:type="dxa" w:w="1434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A1</w:t>
            </w: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br/>
            </w: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产业结构</w:t>
            </w:r>
          </w:p>
        </w:tc>
        <w:tc>
          <w:tcPr>
            <w:tcW w:type="dxa" w:w="1434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A2</w:t>
            </w: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br/>
            </w: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本地支持</w:t>
            </w:r>
          </w:p>
        </w:tc>
        <w:tc>
          <w:tcPr>
            <w:tcW w:type="dxa" w:w="1434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A3</w:t>
            </w: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br/>
            </w: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A阶段定稿</w:t>
            </w:r>
          </w:p>
        </w:tc>
        <w:tc>
          <w:tcPr>
            <w:tcW w:type="dxa" w:w="1434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B1</w:t>
            </w: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br/>
            </w: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定义核查</w:t>
            </w:r>
          </w:p>
        </w:tc>
        <w:tc>
          <w:tcPr>
            <w:tcW w:type="dxa" w:w="1434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B2/R1</w:t>
            </w: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br/>
            </w: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本地事实</w:t>
            </w:r>
          </w:p>
        </w:tc>
        <w:tc>
          <w:tcPr>
            <w:tcW w:type="dxa" w:w="1434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B3</w:t>
            </w: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br/>
            </w: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事实验收</w:t>
            </w:r>
          </w:p>
        </w:tc>
        <w:tc>
          <w:tcPr>
            <w:tcW w:type="dxa" w:w="1434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C1</w:t>
            </w: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br/>
            </w: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本轮</w:t>
            </w:r>
          </w:p>
        </w:tc>
      </w:tr>
    </w:tbl>
    <w:p>
      <w:pPr>
        <w:spacing w:after="100" w:line="288" w:lineRule="auto"/>
      </w:pPr>
      <w:r>
        <w:rPr>
          <w:rFonts w:ascii="Noto Sans CJK SC" w:hAnsi="Noto Sans CJK SC" w:eastAsia="Noto Sans CJK SC"/>
          <w:b w:val="0"/>
          <w:color w:val="1F2937"/>
        </w:rPr>
        <w:t>A阶段已经回答“产业链上谁值得查”；B阶段已经回答“这些公司的本地事实是什么、哪些数字能用”。C1现在负责把二者合在一起，建立从产品/项目关系到收入、利润和现金的链，并把可计算与不可计算的边界写给Codex。</w:t>
      </w:r>
    </w:p>
    <w:p>
      <w:pPr>
        <w:spacing w:after="100" w:line="288" w:lineRule="auto"/>
      </w:pPr>
      <w:r>
        <w:rPr>
          <w:rFonts w:ascii="Noto Sans CJK SC" w:hAnsi="Noto Sans CJK SC" w:eastAsia="Noto Sans CJK SC"/>
          <w:b w:val="0"/>
          <w:color w:val="1F2937"/>
        </w:rPr>
        <w:t>V2把完整机会视为乘法关系：产品匹配、关系证据、生意可重复、业绩重要、现金质量、持续性、预期差和行动条件不能互相补救。因此C1不会因为估值低、股价强或公司整体财务好，就补救液冷关系或主题财务缺失。</w:t>
      </w:r>
    </w:p>
    <w:p>
      <w:pPr>
        <w:pStyle w:val="Heading1"/>
      </w:pPr>
      <w:r>
        <w:rPr>
          <w:rFonts w:ascii="Noto Sans CJK SC" w:hAnsi="Noto Sans CJK SC" w:eastAsia="Noto Sans CJK SC"/>
          <w:b/>
          <w:color w:val="17365D"/>
        </w:rPr>
        <w:t>2. B3交给C1的九条记录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7"/>
        <w:gridCol w:w="2007"/>
        <w:gridCol w:w="2007"/>
        <w:gridCol w:w="2007"/>
        <w:gridCol w:w="2007"/>
      </w:tblGrid>
      <w:tr>
        <w:trPr>
          <w:cantSplit/>
          <w:tblHeader w:val="true"/>
        </w:trPr>
        <w:tc>
          <w:tcPr>
            <w:tcW w:type="dxa" w:w="20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17365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类别</w:t>
            </w:r>
          </w:p>
        </w:tc>
        <w:tc>
          <w:tcPr>
            <w:tcW w:type="dxa" w:w="20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17365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主体</w:t>
            </w:r>
          </w:p>
        </w:tc>
        <w:tc>
          <w:tcPr>
            <w:tcW w:type="dxa" w:w="20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17365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当前关系</w:t>
            </w:r>
          </w:p>
        </w:tc>
        <w:tc>
          <w:tcPr>
            <w:tcW w:type="dxa" w:w="20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17365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C1允许做什么</w:t>
            </w:r>
          </w:p>
        </w:tc>
        <w:tc>
          <w:tcPr>
            <w:tcW w:type="dxa" w:w="20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17365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明确禁止</w:t>
            </w:r>
          </w:p>
        </w:tc>
      </w:tr>
      <w:tr>
        <w:trPr>
          <w:cantSplit/>
        </w:trPr>
        <w:tc>
          <w:tcPr>
            <w:tcW w:type="dxa" w:w="20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6"/>
              </w:rPr>
            </w:r>
            <w:r>
              <w:rPr>
                <w:rFonts w:ascii="Noto Sans CJK SC" w:hAnsi="Noto Sans CJK SC" w:eastAsia="Noto Sans CJK SC"/>
                <w:b/>
                <w:color w:val="1F2937"/>
                <w:sz w:val="16"/>
              </w:rPr>
              <w:t>直接主题数量</w:t>
            </w:r>
          </w:p>
        </w:tc>
        <w:tc>
          <w:tcPr>
            <w:tcW w:type="dxa" w:w="20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曙光数创</w:t>
            </w:r>
          </w:p>
        </w:tc>
        <w:tc>
          <w:tcPr>
            <w:tcW w:type="dxa" w:w="20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直接产品收入已确认</w:t>
            </w:r>
          </w:p>
        </w:tc>
        <w:tc>
          <w:tcPr>
            <w:tcW w:type="dxa" w:w="20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使用冷板/浸没实际收入与毛利；检查公司质量</w:t>
            </w:r>
          </w:p>
        </w:tc>
        <w:tc>
          <w:tcPr>
            <w:tcW w:type="dxa" w:w="20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不年化；不加入模块化/系统集成；不推断订单复购</w:t>
            </w:r>
          </w:p>
        </w:tc>
      </w:tr>
      <w:tr>
        <w:trPr>
          <w:cantSplit/>
        </w:trPr>
        <w:tc>
          <w:tcPr>
            <w:tcW w:type="dxa" w:w="20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6"/>
              </w:rPr>
            </w:r>
            <w:r>
              <w:rPr>
                <w:rFonts w:ascii="Noto Sans CJK SC" w:hAnsi="Noto Sans CJK SC" w:eastAsia="Noto Sans CJK SC"/>
                <w:b/>
                <w:color w:val="1F2937"/>
                <w:sz w:val="16"/>
              </w:rPr>
              <w:t>核心商业观察</w:t>
            </w:r>
          </w:p>
        </w:tc>
        <w:tc>
          <w:tcPr>
            <w:tcW w:type="dxa" w:w="20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英维克</w:t>
            </w: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br/>
            </w: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申菱环境</w:t>
            </w: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br/>
            </w: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飞荣达</w:t>
            </w: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br/>
            </w: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高澜股份</w:t>
            </w:r>
          </w:p>
        </w:tc>
        <w:tc>
          <w:tcPr>
            <w:tcW w:type="dxa" w:w="20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产品/项目/部分交付关系成立或部分成立</w:t>
            </w:r>
          </w:p>
        </w:tc>
        <w:tc>
          <w:tcPr>
            <w:tcW w:type="dxa" w:w="20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分析商业链、公司级质量、持续性、价格背景</w:t>
            </w:r>
          </w:p>
        </w:tc>
        <w:tc>
          <w:tcPr>
            <w:tcW w:type="dxa" w:w="20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公司总数不得替代主题数</w:t>
            </w:r>
          </w:p>
        </w:tc>
      </w:tr>
      <w:tr>
        <w:trPr>
          <w:cantSplit/>
        </w:trPr>
        <w:tc>
          <w:tcPr>
            <w:tcW w:type="dxa" w:w="20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6"/>
              </w:rPr>
            </w:r>
            <w:r>
              <w:rPr>
                <w:rFonts w:ascii="Noto Sans CJK SC" w:hAnsi="Noto Sans CJK SC" w:eastAsia="Noto Sans CJK SC"/>
                <w:b/>
                <w:color w:val="1F2937"/>
                <w:sz w:val="16"/>
              </w:rPr>
              <w:t>受限关系观察</w:t>
            </w:r>
          </w:p>
        </w:tc>
        <w:tc>
          <w:tcPr>
            <w:tcW w:type="dxa" w:w="20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佳力图</w:t>
            </w: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br/>
            </w: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荣亿精密</w:t>
            </w:r>
          </w:p>
        </w:tc>
        <w:tc>
          <w:tcPr>
            <w:tcW w:type="dxa" w:w="20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设施侧关系 / 快接量产关系</w:t>
            </w:r>
          </w:p>
        </w:tc>
        <w:tc>
          <w:tcPr>
            <w:tcW w:type="dxa" w:w="20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只按准确场景分析；重点看竞争与新增供给</w:t>
            </w:r>
          </w:p>
        </w:tc>
        <w:tc>
          <w:tcPr>
            <w:tcW w:type="dxa" w:w="20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传统业务或3C混合收入不得并入液冷</w:t>
            </w:r>
          </w:p>
        </w:tc>
      </w:tr>
      <w:tr>
        <w:trPr>
          <w:cantSplit/>
        </w:trPr>
        <w:tc>
          <w:tcPr>
            <w:tcW w:type="dxa" w:w="20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6"/>
              </w:rPr>
            </w:r>
            <w:r>
              <w:rPr>
                <w:rFonts w:ascii="Noto Sans CJK SC" w:hAnsi="Noto Sans CJK SC" w:eastAsia="Noto Sans CJK SC"/>
                <w:b/>
                <w:color w:val="1F2937"/>
                <w:sz w:val="16"/>
              </w:rPr>
              <w:t>所有权背景</w:t>
            </w:r>
          </w:p>
        </w:tc>
        <w:tc>
          <w:tcPr>
            <w:tcW w:type="dxa" w:w="20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中科曙光</w:t>
            </w:r>
          </w:p>
        </w:tc>
        <w:tc>
          <w:tcPr>
            <w:tcW w:type="dxa" w:w="20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控制、合并、少数股东权益</w:t>
            </w:r>
          </w:p>
        </w:tc>
        <w:tc>
          <w:tcPr>
            <w:tcW w:type="dxa" w:w="20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解释利润归属边界</w:t>
            </w:r>
          </w:p>
        </w:tc>
        <w:tc>
          <w:tcPr>
            <w:tcW w:type="dxa" w:w="20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不继承子公司业务；不简单乘持股比例</w:t>
            </w:r>
          </w:p>
        </w:tc>
      </w:tr>
      <w:tr>
        <w:trPr>
          <w:cantSplit/>
        </w:trPr>
        <w:tc>
          <w:tcPr>
            <w:tcW w:type="dxa" w:w="20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6"/>
              </w:rPr>
            </w:r>
            <w:r>
              <w:rPr>
                <w:rFonts w:ascii="Noto Sans CJK SC" w:hAnsi="Noto Sans CJK SC" w:eastAsia="Noto Sans CJK SC"/>
                <w:b/>
                <w:color w:val="1F2937"/>
                <w:sz w:val="16"/>
              </w:rPr>
              <w:t>能力/竞争背景</w:t>
            </w:r>
          </w:p>
        </w:tc>
        <w:tc>
          <w:tcPr>
            <w:tcW w:type="dxa" w:w="20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同飞股份</w:t>
            </w:r>
          </w:p>
        </w:tc>
        <w:tc>
          <w:tcPr>
            <w:tcW w:type="dxa" w:w="20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产品能力，关系硬门未过</w:t>
            </w:r>
          </w:p>
        </w:tc>
        <w:tc>
          <w:tcPr>
            <w:tcW w:type="dxa" w:w="20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观察潜在供给和升级条件</w:t>
            </w:r>
          </w:p>
        </w:tc>
        <w:tc>
          <w:tcPr>
            <w:tcW w:type="dxa" w:w="20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不进入主题收入、利润或估值情景</w:t>
            </w:r>
          </w:p>
        </w:tc>
      </w:tr>
    </w:tbl>
    <w:p>
      <w:pPr>
        <w:pStyle w:val="Heading1"/>
      </w:pPr>
      <w:r>
        <w:rPr>
          <w:rFonts w:ascii="Noto Sans CJK SC" w:hAnsi="Noto Sans CJK SC" w:eastAsia="Noto Sans CJK SC"/>
          <w:b/>
          <w:color w:val="17365D"/>
        </w:rPr>
        <w:t>3. 剩余17项缺口怎样处理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cantSplit/>
          <w:tblHeader w:val="true"/>
        </w:trPr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17365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类别</w:t>
            </w:r>
          </w:p>
        </w:tc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17365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数量</w:t>
            </w:r>
          </w:p>
        </w:tc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17365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C1/C2处理</w:t>
            </w:r>
          </w:p>
        </w:tc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17365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不能做什么</w:t>
            </w:r>
          </w:p>
        </w:tc>
      </w:tr>
      <w:tr>
        <w:trPr>
          <w:cantSplit/>
        </w:trPr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</w: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营运资金强度只能部分计算</w:t>
            </w:r>
          </w:p>
        </w:tc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8</w:t>
            </w:r>
          </w:p>
        </w:tc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使用已计算部分，完整指标保留部分可用（partial）</w:t>
            </w:r>
          </w:p>
        </w:tc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缺失字段不得按0</w:t>
            </w:r>
          </w:p>
        </w:tc>
      </w:tr>
      <w:tr>
        <w:trPr>
          <w:cantSplit/>
        </w:trPr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</w: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液冷主题财务未独立拆分</w:t>
            </w:r>
          </w:p>
        </w:tc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7</w:t>
            </w:r>
          </w:p>
        </w:tc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除曙光数创直接产品外全部保留未知（unknown）</w:t>
            </w:r>
          </w:p>
        </w:tc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不得用公司总收入/综合毛利率/现金替代</w:t>
            </w:r>
          </w:p>
        </w:tc>
      </w:tr>
      <w:tr>
        <w:trPr>
          <w:cantSplit/>
        </w:trPr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</w: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行业相对收益不支持</w:t>
            </w:r>
          </w:p>
        </w:tc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1</w:t>
            </w:r>
          </w:p>
        </w:tc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只保留相对沪深300</w:t>
            </w:r>
          </w:p>
        </w:tc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不得写成行业相对收益</w:t>
            </w:r>
          </w:p>
        </w:tc>
      </w:tr>
      <w:tr>
        <w:trPr>
          <w:cantSplit/>
        </w:trPr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</w: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长期估值历史不足</w:t>
            </w:r>
          </w:p>
        </w:tc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1</w:t>
            </w:r>
          </w:p>
        </w:tc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只使用实际260交易日窗口</w:t>
            </w:r>
          </w:p>
        </w:tc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不得声称5年或10年分位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EDF4FA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val="single" w:sz="8" w:color="17365D"/>
              <w:left w:val="single" w:sz="8" w:color="17365D"/>
              <w:bottom w:val="single" w:sz="8" w:color="17365D"/>
              <w:right w:val="single" w:sz="8" w:color="17365D"/>
            </w:tcBorders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17365D"/>
                <w:sz w:val="22"/>
              </w:rPr>
              <w:t>缺口不是失败</w:t>
            </w:r>
          </w:p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9"/>
              </w:rPr>
              <w:t>B2-R1已经把可恢复的十份公告正文全部恢复。剩余缺口主要是正式报告本身没有独立披露。科学处理是缩小结论或保留未知，而不是继续返工到得到想要的数字为止。</w:t>
            </w:r>
          </w:p>
        </w:tc>
      </w:tr>
    </w:tbl>
    <w:p>
      <w:pPr>
        <w:pStyle w:val="Heading1"/>
      </w:pPr>
      <w:r>
        <w:rPr>
          <w:rFonts w:ascii="Noto Sans CJK SC" w:hAnsi="Noto Sans CJK SC" w:eastAsia="Noto Sans CJK SC"/>
          <w:b/>
          <w:color w:val="17365D"/>
        </w:rPr>
        <w:t>4. C1统一使用的两条商业兑现链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cantSplit/>
          <w:tblHeader w:val="true"/>
        </w:trPr>
        <w:tc>
          <w:tcPr>
            <w:tcW w:type="dxa" w:w="501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17365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业务模式</w:t>
            </w:r>
          </w:p>
        </w:tc>
        <w:tc>
          <w:tcPr>
            <w:tcW w:type="dxa" w:w="501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17365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必须依次走过的链</w:t>
            </w:r>
          </w:p>
        </w:tc>
      </w:tr>
      <w:tr>
        <w:trPr>
          <w:cantSplit/>
        </w:trPr>
        <w:tc>
          <w:tcPr>
            <w:tcW w:type="dxa" w:w="501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核心部件/硬件</w:t>
            </w:r>
          </w:p>
        </w:tc>
        <w:tc>
          <w:tcPr>
            <w:tcW w:type="dxa" w:w="501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样品/规格 → 客户认证 → 小批量 → 重复订单/第二客户 → 批量交付 → 收入 → 毛利 → 回款/现金</w:t>
            </w:r>
          </w:p>
        </w:tc>
      </w:tr>
      <w:tr>
        <w:trPr>
          <w:cantSplit/>
        </w:trPr>
        <w:tc>
          <w:tcPr>
            <w:tcW w:type="dxa" w:w="501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系统设备/工程</w:t>
            </w:r>
          </w:p>
        </w:tc>
        <w:tc>
          <w:tcPr>
            <w:tcW w:type="dxa" w:w="501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正式合同 → 可交付能力 → 项目实施 → 客户验收 → 收入确认 → 项目毛利 → 应收/合同资产 → 回款/现金</w:t>
            </w:r>
          </w:p>
        </w:tc>
      </w:tr>
    </w:tbl>
    <w:p>
      <w:pPr>
        <w:spacing w:after="100" w:line="288" w:lineRule="auto"/>
      </w:pPr>
      <w:r>
        <w:rPr>
          <w:rFonts w:ascii="Noto Sans CJK SC" w:hAnsi="Noto Sans CJK SC" w:eastAsia="Noto Sans CJK SC"/>
          <w:b w:val="0"/>
          <w:color w:val="1F2937"/>
        </w:rPr>
        <w:t>只有“真实付费 + 能重复或复制 + 单位利润不随规模恶化”同时出现，才可以说一门生意成立。一次订单、一次项目或一次批量交付，只证明交易发生，不自动证明长期生意。</w:t>
      </w:r>
    </w:p>
    <w:p>
      <w:pPr>
        <w:pStyle w:val="Heading1"/>
      </w:pPr>
      <w:r>
        <w:rPr>
          <w:rFonts w:ascii="Noto Sans CJK SC" w:hAnsi="Noto Sans CJK SC" w:eastAsia="Noto Sans CJK SC"/>
          <w:b/>
          <w:color w:val="17365D"/>
        </w:rPr>
        <w:t>5. 逐主体商业链与情景草案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0E7C86"/>
        </w:rPr>
        <w:t>5.1 曙光数创（920808.BJ）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cantSplit/>
          <w:tblHeader w:val="true"/>
        </w:trPr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17365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C阶段位置</w:t>
            </w:r>
          </w:p>
        </w:tc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17365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关系状态</w:t>
            </w:r>
          </w:p>
        </w:tc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17365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当前证据停点</w:t>
            </w:r>
          </w:p>
        </w:tc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17365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是否允许主题数值</w:t>
            </w:r>
          </w:p>
        </w:tc>
      </w:tr>
      <w:tr>
        <w:trPr>
          <w:cantSplit/>
        </w:trPr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直接主题数量分析</w:t>
            </w:r>
          </w:p>
        </w:tc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直接产品收入已确认</w:t>
            </w:r>
          </w:p>
        </w:tc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已走到直接产品收入和毛利，但重复生意、净利润与现金质量仍未通过。</w:t>
            </w:r>
          </w:p>
        </w:tc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仅直接事实</w:t>
            </w:r>
          </w:p>
        </w:tc>
      </w:tr>
    </w:tbl>
    <w:p>
      <w:pPr>
        <w:spacing w:after="100" w:line="288" w:lineRule="auto"/>
      </w:pPr>
      <w:r>
        <w:rPr>
          <w:rFonts w:ascii="Noto Sans CJK SC" w:hAnsi="Noto Sans CJK SC" w:eastAsia="Noto Sans CJK SC"/>
          <w:b/>
          <w:color w:val="17365D"/>
        </w:rPr>
        <w:t>商业链：</w:t>
      </w:r>
      <w:r>
        <w:rPr>
          <w:rFonts w:ascii="Noto Sans CJK SC" w:hAnsi="Noto Sans CJK SC" w:eastAsia="Noto Sans CJK SC"/>
          <w:b w:val="0"/>
          <w:color w:val="1F2937"/>
        </w:rPr>
      </w:r>
    </w:p>
    <w:p>
      <w:pPr>
        <w:spacing w:after="100" w:line="288" w:lineRule="auto"/>
      </w:pPr>
      <w:r>
        <w:rPr>
          <w:rFonts w:ascii="Noto Sans CJK SC" w:hAnsi="Noto Sans CJK SC" w:eastAsia="Noto Sans CJK SC"/>
          <w:b w:val="0"/>
          <w:color w:val="5B6573"/>
        </w:rPr>
        <w:t>冷板/浸没直接产品收入已确认 → 产品毛利已确认 → 客户/订单未知 → 逐项目验收未知 → 复购未知 → 主题净利润/现金未知</w:t>
      </w:r>
    </w:p>
    <w:p>
      <w:pPr>
        <w:spacing w:after="100" w:line="288" w:lineRule="auto"/>
      </w:pPr>
      <w:r>
        <w:rPr>
          <w:rFonts w:ascii="Noto Sans CJK SC" w:hAnsi="Noto Sans CJK SC" w:eastAsia="Noto Sans CJK SC"/>
          <w:b/>
          <w:color w:val="17365D"/>
        </w:rPr>
        <w:t>可进入C的事实：</w:t>
      </w:r>
      <w:r>
        <w:rPr>
          <w:rFonts w:ascii="Noto Sans CJK SC" w:hAnsi="Noto Sans CJK SC" w:eastAsia="Noto Sans CJK SC"/>
          <w:b w:val="0"/>
          <w:color w:val="1F2937"/>
        </w:rPr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color w:val="1F2937"/>
        </w:rPr>
        <w:t>直接披露的冷板/浸没产品收入、成本和毛利口径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color w:val="1F2937"/>
        </w:rPr>
        <w:t>公司级财务、存货、现金、估值和价格质量背景</w:t>
      </w:r>
    </w:p>
    <w:p>
      <w:pPr>
        <w:spacing w:after="100" w:line="288" w:lineRule="auto"/>
      </w:pPr>
      <w:r>
        <w:rPr>
          <w:rFonts w:ascii="Noto Sans CJK SC" w:hAnsi="Noto Sans CJK SC" w:eastAsia="Noto Sans CJK SC"/>
          <w:b/>
          <w:color w:val="17365D"/>
        </w:rPr>
        <w:t>仍然未知：</w:t>
      </w:r>
      <w:r>
        <w:rPr>
          <w:rFonts w:ascii="Noto Sans CJK SC" w:hAnsi="Noto Sans CJK SC" w:eastAsia="Noto Sans CJK SC"/>
          <w:b w:val="0"/>
          <w:color w:val="1F2937"/>
        </w:rPr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color w:val="1F2937"/>
        </w:rPr>
        <w:t>客户、订单金额和复购客户链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color w:val="1F2937"/>
        </w:rPr>
        <w:t>逐项目交付与验收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color w:val="1F2937"/>
        </w:rPr>
        <w:t>冷板与浸没各自净利润和现金贡献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color w:val="1F2937"/>
        </w:rPr>
        <w:t>模块化数据中心及系统集成中的液冷准确份额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73"/>
        <w:gridCol w:w="1673"/>
        <w:gridCol w:w="1673"/>
        <w:gridCol w:w="1673"/>
        <w:gridCol w:w="1673"/>
        <w:gridCol w:w="1673"/>
      </w:tblGrid>
      <w:tr>
        <w:trPr>
          <w:cantSplit/>
          <w:tblHeader w:val="true"/>
        </w:trPr>
        <w:tc>
          <w:tcPr>
            <w:tcW w:type="dxa" w:w="16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17365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可比期</w:t>
            </w:r>
          </w:p>
        </w:tc>
        <w:tc>
          <w:tcPr>
            <w:tcW w:type="dxa" w:w="16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17365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收入同比</w:t>
            </w:r>
          </w:p>
        </w:tc>
        <w:tc>
          <w:tcPr>
            <w:tcW w:type="dxa" w:w="16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17365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归母利润</w:t>
            </w:r>
          </w:p>
        </w:tc>
        <w:tc>
          <w:tcPr>
            <w:tcW w:type="dxa" w:w="16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17365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毛利率变化</w:t>
            </w:r>
          </w:p>
        </w:tc>
        <w:tc>
          <w:tcPr>
            <w:tcW w:type="dxa" w:w="16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17365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经营现金流</w:t>
            </w:r>
          </w:p>
        </w:tc>
        <w:tc>
          <w:tcPr>
            <w:tcW w:type="dxa" w:w="16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17365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市场事实</w:t>
            </w:r>
          </w:p>
        </w:tc>
      </w:tr>
      <w:tr>
        <w:trPr>
          <w:cantSplit/>
        </w:trPr>
        <w:tc>
          <w:tcPr>
            <w:tcW w:type="dxa" w:w="16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2026H1</w:t>
            </w:r>
          </w:p>
        </w:tc>
        <w:tc>
          <w:tcPr>
            <w:tcW w:type="dxa" w:w="16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75.56%</w:t>
            </w:r>
          </w:p>
        </w:tc>
        <w:tc>
          <w:tcPr>
            <w:tcW w:type="dxa" w:w="16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亏损扩大约3260万元</w:t>
            </w:r>
          </w:p>
        </w:tc>
        <w:tc>
          <w:tcPr>
            <w:tcW w:type="dxa" w:w="16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-7.56个百分点</w:t>
            </w:r>
          </w:p>
        </w:tc>
        <w:tc>
          <w:tcPr>
            <w:tcW w:type="dxa" w:w="16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-2.42亿元</w:t>
            </w:r>
          </w:p>
        </w:tc>
        <w:tc>
          <w:tcPr>
            <w:tcW w:type="dxa" w:w="16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市值115.92亿元；PE 2717.37；20日6.00%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FFF4D6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val="single" w:sz="8" w:color="A16207"/>
              <w:left w:val="single" w:sz="8" w:color="A16207"/>
              <w:bottom w:val="single" w:sz="8" w:color="A16207"/>
              <w:right w:val="single" w:sz="8" w:color="A16207"/>
            </w:tcBorders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A16207"/>
                <w:sz w:val="22"/>
              </w:rPr>
              <w:t>唯一直接主题数量起点</w:t>
            </w:r>
          </w:p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9"/>
              </w:rPr>
              <w:t>2026H1冷板液冷与浸没液冷产品收入合计约2.19亿元，占公司收入约89.10%；两项产品合计毛利率约8.95%，占公司总毛利约66.83%。该口径不包括模块化数据中心和系统集成，也不代表主题净利润或现金。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cantSplit/>
          <w:tblHeader w:val="true"/>
        </w:trPr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17365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情景</w:t>
            </w:r>
          </w:p>
        </w:tc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17365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本轮定义</w:t>
            </w:r>
          </w:p>
        </w:tc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17365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是否填数</w:t>
            </w:r>
          </w:p>
        </w:tc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17365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升级所需证据</w:t>
            </w:r>
          </w:p>
        </w:tc>
      </w:tr>
      <w:tr>
        <w:trPr>
          <w:cantSplit/>
        </w:trPr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1F2937"/>
                <w:sz w:val="15"/>
              </w:rPr>
              <w:t>保守/事实下限</w:t>
            </w:r>
          </w:p>
        </w:tc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只使用2026H1已披露的冷板与浸没产品收入和毛利；不年化、不假设增长。</w:t>
            </w:r>
          </w:p>
        </w:tc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是（仅锁定实际）</w:t>
            </w:r>
          </w:p>
        </w:tc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无</w:t>
            </w:r>
          </w:p>
        </w:tc>
      </w:tr>
      <w:tr>
        <w:trPr>
          <w:cantSplit/>
        </w:trPr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1F2937"/>
                <w:sz w:val="15"/>
              </w:rPr>
              <w:t>基准/正常兑现</w:t>
            </w:r>
          </w:p>
        </w:tc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直接产品收入继续兑现，并出现订单/验收或复购证据；毛利不再明显下滑。</w:t>
            </w:r>
          </w:p>
        </w:tc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否；缺失返回空值（null）</w:t>
            </w:r>
          </w:p>
        </w:tc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正式订单或逐项目验收；同一客户追加或第二客户；直接产品毛利稳定</w:t>
            </w:r>
          </w:p>
        </w:tc>
      </w:tr>
      <w:tr>
        <w:trPr>
          <w:cantSplit/>
        </w:trPr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1F2937"/>
                <w:sz w:val="15"/>
              </w:rPr>
              <w:t>乐观/新增触发</w:t>
            </w:r>
          </w:p>
        </w:tc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在基准条件上，客户扩展、产品毛利改善，库存和经营现金同步转好。</w:t>
            </w:r>
          </w:p>
        </w:tc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否；缺失返回空值（null）</w:t>
            </w:r>
          </w:p>
        </w:tc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第二客户/跨项目复制；直接产品毛利改善；库存增速回落；经营现金转正或显著改善</w:t>
            </w:r>
          </w:p>
        </w:tc>
      </w:tr>
    </w:tbl>
    <w:p>
      <w:pPr>
        <w:spacing w:after="100" w:line="288" w:lineRule="auto"/>
      </w:pPr>
      <w:r>
        <w:rPr>
          <w:rFonts w:ascii="Noto Sans CJK SC" w:hAnsi="Noto Sans CJK SC" w:eastAsia="Noto Sans CJK SC"/>
          <w:b/>
          <w:color w:val="17365D"/>
        </w:rPr>
        <w:t>最强失效条件：</w:t>
      </w:r>
      <w:r>
        <w:rPr>
          <w:rFonts w:ascii="Noto Sans CJK SC" w:hAnsi="Noto Sans CJK SC" w:eastAsia="Noto Sans CJK SC"/>
          <w:b w:val="0"/>
          <w:color w:val="1F2937"/>
        </w:rPr>
        <w:t>收入增长继续伴随毛利下滑、库存异常和负现金；模块化/系统集成被错误分配；路线替代压缩直接产品价值。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0E7C86"/>
        </w:rPr>
        <w:t>5.2 英维克（002837.SZ）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cantSplit/>
          <w:tblHeader w:val="true"/>
        </w:trPr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17365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C阶段位置</w:t>
            </w:r>
          </w:p>
        </w:tc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17365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关系状态</w:t>
            </w:r>
          </w:p>
        </w:tc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17365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当前证据停点</w:t>
            </w:r>
          </w:p>
        </w:tc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17365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是否允许主题数值</w:t>
            </w:r>
          </w:p>
        </w:tc>
      </w:tr>
      <w:tr>
        <w:trPr>
          <w:cantSplit/>
        </w:trPr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核心商业观察</w:t>
            </w:r>
          </w:p>
        </w:tc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关系部分通过</w:t>
            </w:r>
          </w:p>
        </w:tc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已走到“验证/部分规模应用”，尚未走到可量化订单、复购和液冷主题利润。</w:t>
            </w:r>
          </w:p>
        </w:tc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否</w:t>
            </w:r>
          </w:p>
        </w:tc>
      </w:tr>
    </w:tbl>
    <w:p>
      <w:pPr>
        <w:spacing w:after="100" w:line="288" w:lineRule="auto"/>
      </w:pPr>
      <w:r>
        <w:rPr>
          <w:rFonts w:ascii="Noto Sans CJK SC" w:hAnsi="Noto Sans CJK SC" w:eastAsia="Noto Sans CJK SC"/>
          <w:b/>
          <w:color w:val="17365D"/>
        </w:rPr>
        <w:t>商业链：</w:t>
      </w:r>
      <w:r>
        <w:rPr>
          <w:rFonts w:ascii="Noto Sans CJK SC" w:hAnsi="Noto Sans CJK SC" w:eastAsia="Noto Sans CJK SC"/>
          <w:b w:val="0"/>
          <w:color w:val="1F2937"/>
        </w:rPr>
      </w:r>
    </w:p>
    <w:p>
      <w:pPr>
        <w:spacing w:after="100" w:line="288" w:lineRule="auto"/>
      </w:pPr>
      <w:r>
        <w:rPr>
          <w:rFonts w:ascii="Noto Sans CJK SC" w:hAnsi="Noto Sans CJK SC" w:eastAsia="Noto Sans CJK SC"/>
          <w:b w:val="0"/>
          <w:color w:val="5B6573"/>
        </w:rPr>
        <w:t>准确产品已确认 → 平台验证已确认 → 部分规模应用已确认 → 订单金额未知 → 复购未知 → 主题财务未知 → 主题现金未知</w:t>
      </w:r>
    </w:p>
    <w:p>
      <w:pPr>
        <w:spacing w:after="100" w:line="288" w:lineRule="auto"/>
      </w:pPr>
      <w:r>
        <w:rPr>
          <w:rFonts w:ascii="Noto Sans CJK SC" w:hAnsi="Noto Sans CJK SC" w:eastAsia="Noto Sans CJK SC"/>
          <w:b/>
          <w:color w:val="17365D"/>
        </w:rPr>
        <w:t>可进入C的事实：</w:t>
      </w:r>
      <w:r>
        <w:rPr>
          <w:rFonts w:ascii="Noto Sans CJK SC" w:hAnsi="Noto Sans CJK SC" w:eastAsia="Noto Sans CJK SC"/>
          <w:b w:val="0"/>
          <w:color w:val="1F2937"/>
        </w:rPr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color w:val="1F2937"/>
        </w:rPr>
        <w:t>正式产品、平台验证和部分规模应用关系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color w:val="1F2937"/>
        </w:rPr>
        <w:t>公司级财务、营运资金、估值和价格背景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color w:val="1F2937"/>
        </w:rPr>
        <w:t>订单、复购和主题利润证据缺口分析</w:t>
      </w:r>
    </w:p>
    <w:p>
      <w:pPr>
        <w:spacing w:after="100" w:line="288" w:lineRule="auto"/>
      </w:pPr>
      <w:r>
        <w:rPr>
          <w:rFonts w:ascii="Noto Sans CJK SC" w:hAnsi="Noto Sans CJK SC" w:eastAsia="Noto Sans CJK SC"/>
          <w:b/>
          <w:color w:val="17365D"/>
        </w:rPr>
        <w:t>仍然未知：</w:t>
      </w:r>
      <w:r>
        <w:rPr>
          <w:rFonts w:ascii="Noto Sans CJK SC" w:hAnsi="Noto Sans CJK SC" w:eastAsia="Noto Sans CJK SC"/>
          <w:b w:val="0"/>
          <w:color w:val="1F2937"/>
        </w:rPr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color w:val="1F2937"/>
        </w:rPr>
        <w:t>液冷专属客户与订单金额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color w:val="1F2937"/>
        </w:rPr>
        <w:t>复购次数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color w:val="1F2937"/>
        </w:rPr>
        <w:t>液冷主题收入、毛利、净利润和现金贡献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color w:val="1F2937"/>
        </w:rPr>
        <w:t>液冷业务良率、有效产能和回款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73"/>
        <w:gridCol w:w="1673"/>
        <w:gridCol w:w="1673"/>
        <w:gridCol w:w="1673"/>
        <w:gridCol w:w="1673"/>
        <w:gridCol w:w="1673"/>
      </w:tblGrid>
      <w:tr>
        <w:trPr>
          <w:cantSplit/>
          <w:tblHeader w:val="true"/>
        </w:trPr>
        <w:tc>
          <w:tcPr>
            <w:tcW w:type="dxa" w:w="16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17365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可比期</w:t>
            </w:r>
          </w:p>
        </w:tc>
        <w:tc>
          <w:tcPr>
            <w:tcW w:type="dxa" w:w="16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17365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收入同比</w:t>
            </w:r>
          </w:p>
        </w:tc>
        <w:tc>
          <w:tcPr>
            <w:tcW w:type="dxa" w:w="16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17365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归母利润</w:t>
            </w:r>
          </w:p>
        </w:tc>
        <w:tc>
          <w:tcPr>
            <w:tcW w:type="dxa" w:w="16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17365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毛利率变化</w:t>
            </w:r>
          </w:p>
        </w:tc>
        <w:tc>
          <w:tcPr>
            <w:tcW w:type="dxa" w:w="16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17365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经营现金流</w:t>
            </w:r>
          </w:p>
        </w:tc>
        <w:tc>
          <w:tcPr>
            <w:tcW w:type="dxa" w:w="16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17365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市场事实</w:t>
            </w:r>
          </w:p>
        </w:tc>
      </w:tr>
      <w:tr>
        <w:trPr>
          <w:cantSplit/>
        </w:trPr>
        <w:tc>
          <w:tcPr>
            <w:tcW w:type="dxa" w:w="16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2026H1</w:t>
            </w:r>
          </w:p>
        </w:tc>
        <w:tc>
          <w:tcPr>
            <w:tcW w:type="dxa" w:w="16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17.24%</w:t>
            </w:r>
          </w:p>
        </w:tc>
        <w:tc>
          <w:tcPr>
            <w:tcW w:type="dxa" w:w="16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-14.32%</w:t>
            </w:r>
          </w:p>
        </w:tc>
        <w:tc>
          <w:tcPr>
            <w:tcW w:type="dxa" w:w="16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-1.21个百分点</w:t>
            </w:r>
          </w:p>
        </w:tc>
        <w:tc>
          <w:tcPr>
            <w:tcW w:type="dxa" w:w="16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6187.2万元</w:t>
            </w:r>
          </w:p>
        </w:tc>
        <w:tc>
          <w:tcPr>
            <w:tcW w:type="dxa" w:w="16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市值842.52亿元；PE 171.58；20日39.92%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cantSplit/>
          <w:tblHeader w:val="true"/>
        </w:trPr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17365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情景</w:t>
            </w:r>
          </w:p>
        </w:tc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17365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本轮定义</w:t>
            </w:r>
          </w:p>
        </w:tc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17365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是否填数</w:t>
            </w:r>
          </w:p>
        </w:tc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17365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升级所需证据</w:t>
            </w:r>
          </w:p>
        </w:tc>
      </w:tr>
      <w:tr>
        <w:trPr>
          <w:cantSplit/>
        </w:trPr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1F2937"/>
                <w:sz w:val="15"/>
              </w:rPr>
              <w:t>保守/事实下限</w:t>
            </w:r>
          </w:p>
        </w:tc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保持当前证据等级：确认产品、验证与规模应用，但不假设液冷订单和主题收入。</w:t>
            </w:r>
          </w:p>
        </w:tc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否；缺失返回空值（null）</w:t>
            </w:r>
          </w:p>
        </w:tc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无</w:t>
            </w:r>
          </w:p>
        </w:tc>
      </w:tr>
      <w:tr>
        <w:trPr>
          <w:cantSplit/>
        </w:trPr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1F2937"/>
                <w:sz w:val="15"/>
              </w:rPr>
              <w:t>基准/正常兑现</w:t>
            </w:r>
          </w:p>
        </w:tc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出现正式液冷客户/订单或同口径主题收入拆分，且至少一项重复交付证据成立。</w:t>
            </w:r>
          </w:p>
        </w:tc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否；缺失返回空值（null）</w:t>
            </w:r>
          </w:p>
        </w:tc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正式液冷订单或客户证据；液冷主题收入/毛利直接拆分；同一客户追加或第二客户</w:t>
            </w:r>
          </w:p>
        </w:tc>
      </w:tr>
      <w:tr>
        <w:trPr>
          <w:cantSplit/>
        </w:trPr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1F2937"/>
                <w:sz w:val="15"/>
              </w:rPr>
              <w:t>乐观/新增触发</w:t>
            </w:r>
          </w:p>
        </w:tc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在基准条件之上，主题毛利稳定、回款改善，且有效产能/良率有直接证据。</w:t>
            </w:r>
          </w:p>
        </w:tc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否；缺失返回空值（null）</w:t>
            </w:r>
          </w:p>
        </w:tc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重复订单/第二客户；主题毛利直接披露并稳定；主题现金或回款改善；良率/有效产能直接证据</w:t>
            </w:r>
          </w:p>
        </w:tc>
      </w:tr>
    </w:tbl>
    <w:p>
      <w:pPr>
        <w:spacing w:after="100" w:line="288" w:lineRule="auto"/>
      </w:pPr>
      <w:r>
        <w:rPr>
          <w:rFonts w:ascii="Noto Sans CJK SC" w:hAnsi="Noto Sans CJK SC" w:eastAsia="Noto Sans CJK SC"/>
          <w:b/>
          <w:color w:val="17365D"/>
        </w:rPr>
        <w:t>最强失效条件：</w:t>
      </w:r>
      <w:r>
        <w:rPr>
          <w:rFonts w:ascii="Noto Sans CJK SC" w:hAnsi="Noto Sans CJK SC" w:eastAsia="Noto Sans CJK SC"/>
          <w:b w:val="0"/>
          <w:color w:val="1F2937"/>
        </w:rPr>
        <w:t>规模应用长期不转成订单或复购；毛利继续下降；二供/自制压低价格；库存与应收显著恶化。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0E7C86"/>
        </w:rPr>
        <w:t>5.3 申菱环境（301018.SZ）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cantSplit/>
          <w:tblHeader w:val="true"/>
        </w:trPr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17365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C阶段位置</w:t>
            </w:r>
          </w:p>
        </w:tc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17365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关系状态</w:t>
            </w:r>
          </w:p>
        </w:tc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17365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当前证据停点</w:t>
            </w:r>
          </w:p>
        </w:tc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17365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是否允许主题数值</w:t>
            </w:r>
          </w:p>
        </w:tc>
      </w:tr>
      <w:tr>
        <w:trPr>
          <w:cantSplit/>
        </w:trPr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核心商业观察</w:t>
            </w:r>
          </w:p>
        </w:tc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关系部分通过</w:t>
            </w:r>
          </w:p>
        </w:tc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已走到产品与数据服务板块订单背景，但液冷专属合同、验收和回款未拆。</w:t>
            </w:r>
          </w:p>
        </w:tc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否</w:t>
            </w:r>
          </w:p>
        </w:tc>
      </w:tr>
    </w:tbl>
    <w:p>
      <w:pPr>
        <w:spacing w:after="100" w:line="288" w:lineRule="auto"/>
      </w:pPr>
      <w:r>
        <w:rPr>
          <w:rFonts w:ascii="Noto Sans CJK SC" w:hAnsi="Noto Sans CJK SC" w:eastAsia="Noto Sans CJK SC"/>
          <w:b/>
          <w:color w:val="17365D"/>
        </w:rPr>
        <w:t>商业链：</w:t>
      </w:r>
      <w:r>
        <w:rPr>
          <w:rFonts w:ascii="Noto Sans CJK SC" w:hAnsi="Noto Sans CJK SC" w:eastAsia="Noto Sans CJK SC"/>
          <w:b w:val="0"/>
          <w:color w:val="1F2937"/>
        </w:rPr>
      </w:r>
    </w:p>
    <w:p>
      <w:pPr>
        <w:spacing w:after="100" w:line="288" w:lineRule="auto"/>
      </w:pPr>
      <w:r>
        <w:rPr>
          <w:rFonts w:ascii="Noto Sans CJK SC" w:hAnsi="Noto Sans CJK SC" w:eastAsia="Noto Sans CJK SC"/>
          <w:b w:val="0"/>
          <w:color w:val="5B6573"/>
        </w:rPr>
        <w:t>液冷产品矩阵已确认 → 数据服务订单增长已确认 → 液冷专属订单未知 → 验收/复购未知 → 主题财务未知 → 主题现金未知</w:t>
      </w:r>
    </w:p>
    <w:p>
      <w:pPr>
        <w:spacing w:after="100" w:line="288" w:lineRule="auto"/>
      </w:pPr>
      <w:r>
        <w:rPr>
          <w:rFonts w:ascii="Noto Sans CJK SC" w:hAnsi="Noto Sans CJK SC" w:eastAsia="Noto Sans CJK SC"/>
          <w:b/>
          <w:color w:val="17365D"/>
        </w:rPr>
        <w:t>可进入C的事实：</w:t>
      </w:r>
      <w:r>
        <w:rPr>
          <w:rFonts w:ascii="Noto Sans CJK SC" w:hAnsi="Noto Sans CJK SC" w:eastAsia="Noto Sans CJK SC"/>
          <w:b w:val="0"/>
          <w:color w:val="1F2937"/>
        </w:rPr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color w:val="1F2937"/>
        </w:rPr>
        <w:t>液冷产品矩阵和数据服务业务订单增长关系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color w:val="1F2937"/>
        </w:rPr>
        <w:t>公司级财务、工程营运资金和市场背景</w:t>
      </w:r>
    </w:p>
    <w:p>
      <w:pPr>
        <w:spacing w:after="100" w:line="288" w:lineRule="auto"/>
      </w:pPr>
      <w:r>
        <w:rPr>
          <w:rFonts w:ascii="Noto Sans CJK SC" w:hAnsi="Noto Sans CJK SC" w:eastAsia="Noto Sans CJK SC"/>
          <w:b/>
          <w:color w:val="17365D"/>
        </w:rPr>
        <w:t>仍然未知：</w:t>
      </w:r>
      <w:r>
        <w:rPr>
          <w:rFonts w:ascii="Noto Sans CJK SC" w:hAnsi="Noto Sans CJK SC" w:eastAsia="Noto Sans CJK SC"/>
          <w:b w:val="0"/>
          <w:color w:val="1F2937"/>
        </w:rPr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color w:val="1F2937"/>
        </w:rPr>
        <w:t>数据服务订单中的液冷专属金额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color w:val="1F2937"/>
        </w:rPr>
        <w:t>液冷项目验收与复购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color w:val="1F2937"/>
        </w:rPr>
        <w:t>液冷主题收入、项目毛利、净利润和现金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color w:val="1F2937"/>
        </w:rPr>
        <w:t>传统温控、设施冷源、工程服务与液冷的精确拆分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73"/>
        <w:gridCol w:w="1673"/>
        <w:gridCol w:w="1673"/>
        <w:gridCol w:w="1673"/>
        <w:gridCol w:w="1673"/>
        <w:gridCol w:w="1673"/>
      </w:tblGrid>
      <w:tr>
        <w:trPr>
          <w:cantSplit/>
          <w:tblHeader w:val="true"/>
        </w:trPr>
        <w:tc>
          <w:tcPr>
            <w:tcW w:type="dxa" w:w="16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17365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可比期</w:t>
            </w:r>
          </w:p>
        </w:tc>
        <w:tc>
          <w:tcPr>
            <w:tcW w:type="dxa" w:w="16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17365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收入同比</w:t>
            </w:r>
          </w:p>
        </w:tc>
        <w:tc>
          <w:tcPr>
            <w:tcW w:type="dxa" w:w="16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17365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归母利润</w:t>
            </w:r>
          </w:p>
        </w:tc>
        <w:tc>
          <w:tcPr>
            <w:tcW w:type="dxa" w:w="16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17365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毛利率变化</w:t>
            </w:r>
          </w:p>
        </w:tc>
        <w:tc>
          <w:tcPr>
            <w:tcW w:type="dxa" w:w="16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17365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经营现金流</w:t>
            </w:r>
          </w:p>
        </w:tc>
        <w:tc>
          <w:tcPr>
            <w:tcW w:type="dxa" w:w="16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17365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市场事实</w:t>
            </w:r>
          </w:p>
        </w:tc>
      </w:tr>
      <w:tr>
        <w:trPr>
          <w:cantSplit/>
        </w:trPr>
        <w:tc>
          <w:tcPr>
            <w:tcW w:type="dxa" w:w="16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2026Q1</w:t>
            </w:r>
          </w:p>
        </w:tc>
        <w:tc>
          <w:tcPr>
            <w:tcW w:type="dxa" w:w="16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-1.80%</w:t>
            </w:r>
          </w:p>
        </w:tc>
        <w:tc>
          <w:tcPr>
            <w:tcW w:type="dxa" w:w="16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-47.71%</w:t>
            </w:r>
          </w:p>
        </w:tc>
        <w:tc>
          <w:tcPr>
            <w:tcW w:type="dxa" w:w="16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-1.40个百分点</w:t>
            </w:r>
          </w:p>
        </w:tc>
        <w:tc>
          <w:tcPr>
            <w:tcW w:type="dxa" w:w="16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-1.93亿元</w:t>
            </w:r>
          </w:p>
        </w:tc>
        <w:tc>
          <w:tcPr>
            <w:tcW w:type="dxa" w:w="16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市值403.77亿元；PE 211.46；20日59.23%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cantSplit/>
          <w:tblHeader w:val="true"/>
        </w:trPr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17365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情景</w:t>
            </w:r>
          </w:p>
        </w:tc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17365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本轮定义</w:t>
            </w:r>
          </w:p>
        </w:tc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17365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是否填数</w:t>
            </w:r>
          </w:p>
        </w:tc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17365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升级所需证据</w:t>
            </w:r>
          </w:p>
        </w:tc>
      </w:tr>
      <w:tr>
        <w:trPr>
          <w:cantSplit/>
        </w:trPr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1F2937"/>
                <w:sz w:val="15"/>
              </w:rPr>
              <w:t>保守/事实下限</w:t>
            </w:r>
          </w:p>
        </w:tc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只承认液冷产品能力和数据服务板块订单背景，不把板块订单全部视为液冷。</w:t>
            </w:r>
          </w:p>
        </w:tc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否；缺失返回空值（null）</w:t>
            </w:r>
          </w:p>
        </w:tc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无</w:t>
            </w:r>
          </w:p>
        </w:tc>
      </w:tr>
      <w:tr>
        <w:trPr>
          <w:cantSplit/>
        </w:trPr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1F2937"/>
                <w:sz w:val="15"/>
              </w:rPr>
              <w:t>基准/正常兑现</w:t>
            </w:r>
          </w:p>
        </w:tc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正式披露液冷项目合同/订单、可交付金额或验收收入，并与传统温控、设施冷源分开。</w:t>
            </w:r>
          </w:p>
        </w:tc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否；缺失返回空值（null）</w:t>
            </w:r>
          </w:p>
        </w:tc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液冷专属合同/订单；项目验收或直接收入；传统温控与液冷拆分</w:t>
            </w:r>
          </w:p>
        </w:tc>
      </w:tr>
      <w:tr>
        <w:trPr>
          <w:cantSplit/>
        </w:trPr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1F2937"/>
                <w:sz w:val="15"/>
              </w:rPr>
              <w:t>乐观/新增触发</w:t>
            </w:r>
          </w:p>
        </w:tc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在基准条件上出现跨客户复制、项目毛利稳定、合同资产/应收与现金改善。</w:t>
            </w:r>
          </w:p>
        </w:tc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否；缺失返回空值（null）</w:t>
            </w:r>
          </w:p>
        </w:tc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第二客户或重复项目；项目毛利直接披露；应收/合同资产受控；经营现金改善</w:t>
            </w:r>
          </w:p>
        </w:tc>
      </w:tr>
    </w:tbl>
    <w:p>
      <w:pPr>
        <w:spacing w:after="100" w:line="288" w:lineRule="auto"/>
      </w:pPr>
      <w:r>
        <w:rPr>
          <w:rFonts w:ascii="Noto Sans CJK SC" w:hAnsi="Noto Sans CJK SC" w:eastAsia="Noto Sans CJK SC"/>
          <w:b/>
          <w:color w:val="17365D"/>
        </w:rPr>
        <w:t>最强失效条件：</w:t>
      </w:r>
      <w:r>
        <w:rPr>
          <w:rFonts w:ascii="Noto Sans CJK SC" w:hAnsi="Noto Sans CJK SC" w:eastAsia="Noto Sans CJK SC"/>
          <w:b w:val="0"/>
          <w:color w:val="1F2937"/>
        </w:rPr>
        <w:t>订单主要是传统温控；项目验收延期；应收/存货继续快于收入；现金持续恶化。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0E7C86"/>
        </w:rPr>
        <w:t>5.4 飞荣达（300602.SZ）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cantSplit/>
          <w:tblHeader w:val="true"/>
        </w:trPr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17365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C阶段位置</w:t>
            </w:r>
          </w:p>
        </w:tc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17365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关系状态</w:t>
            </w:r>
          </w:p>
        </w:tc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17365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当前证据停点</w:t>
            </w:r>
          </w:p>
        </w:tc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17365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是否允许主题数值</w:t>
            </w:r>
          </w:p>
        </w:tc>
      </w:tr>
      <w:tr>
        <w:trPr>
          <w:cantSplit/>
        </w:trPr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核心商业观察</w:t>
            </w:r>
          </w:p>
        </w:tc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关系部分通过</w:t>
            </w:r>
          </w:p>
        </w:tc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已走到供应合作和部分批量交付，尚未证明重复订单、液冷主题利润和现金。</w:t>
            </w:r>
          </w:p>
        </w:tc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否</w:t>
            </w:r>
          </w:p>
        </w:tc>
      </w:tr>
    </w:tbl>
    <w:p>
      <w:pPr>
        <w:spacing w:after="100" w:line="288" w:lineRule="auto"/>
      </w:pPr>
      <w:r>
        <w:rPr>
          <w:rFonts w:ascii="Noto Sans CJK SC" w:hAnsi="Noto Sans CJK SC" w:eastAsia="Noto Sans CJK SC"/>
          <w:b/>
          <w:color w:val="17365D"/>
        </w:rPr>
        <w:t>商业链：</w:t>
      </w:r>
      <w:r>
        <w:rPr>
          <w:rFonts w:ascii="Noto Sans CJK SC" w:hAnsi="Noto Sans CJK SC" w:eastAsia="Noto Sans CJK SC"/>
          <w:b w:val="0"/>
          <w:color w:val="1F2937"/>
        </w:rPr>
      </w:r>
    </w:p>
    <w:p>
      <w:pPr>
        <w:spacing w:after="100" w:line="288" w:lineRule="auto"/>
      </w:pPr>
      <w:r>
        <w:rPr>
          <w:rFonts w:ascii="Noto Sans CJK SC" w:hAnsi="Noto Sans CJK SC" w:eastAsia="Noto Sans CJK SC"/>
          <w:b w:val="0"/>
          <w:color w:val="5B6573"/>
        </w:rPr>
        <w:t>液冷产品已确认 → 服务器厂商供应合作已确认 → 部分产品批量交付已确认 → 复购/第二客户未知 → 主题财务未知 → 主题现金未知</w:t>
      </w:r>
    </w:p>
    <w:p>
      <w:pPr>
        <w:spacing w:after="100" w:line="288" w:lineRule="auto"/>
      </w:pPr>
      <w:r>
        <w:rPr>
          <w:rFonts w:ascii="Noto Sans CJK SC" w:hAnsi="Noto Sans CJK SC" w:eastAsia="Noto Sans CJK SC"/>
          <w:b/>
          <w:color w:val="17365D"/>
        </w:rPr>
        <w:t>可进入C的事实：</w:t>
      </w:r>
      <w:r>
        <w:rPr>
          <w:rFonts w:ascii="Noto Sans CJK SC" w:hAnsi="Noto Sans CJK SC" w:eastAsia="Noto Sans CJK SC"/>
          <w:b w:val="0"/>
          <w:color w:val="1F2937"/>
        </w:rPr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color w:val="1F2937"/>
        </w:rPr>
        <w:t>服务器/数据中心液冷产品、供应合作和部分产品批量交付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color w:val="1F2937"/>
        </w:rPr>
        <w:t>公司级财务、现金、应收、存货、估值和价格背景</w:t>
      </w:r>
    </w:p>
    <w:p>
      <w:pPr>
        <w:spacing w:after="100" w:line="288" w:lineRule="auto"/>
      </w:pPr>
      <w:r>
        <w:rPr>
          <w:rFonts w:ascii="Noto Sans CJK SC" w:hAnsi="Noto Sans CJK SC" w:eastAsia="Noto Sans CJK SC"/>
          <w:b/>
          <w:color w:val="17365D"/>
        </w:rPr>
        <w:t>仍然未知：</w:t>
      </w:r>
      <w:r>
        <w:rPr>
          <w:rFonts w:ascii="Noto Sans CJK SC" w:hAnsi="Noto Sans CJK SC" w:eastAsia="Noto Sans CJK SC"/>
          <w:b w:val="0"/>
          <w:color w:val="1F2937"/>
        </w:rPr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color w:val="1F2937"/>
        </w:rPr>
        <w:t>液冷订单金额、客户名称和复购次数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color w:val="1F2937"/>
        </w:rPr>
        <w:t>液冷主题收入、产品线毛利、净利润和现金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color w:val="1F2937"/>
        </w:rPr>
        <w:t>AI服务器液冷与储能、汽车、消费电子、通信的准确拆分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73"/>
        <w:gridCol w:w="1673"/>
        <w:gridCol w:w="1673"/>
        <w:gridCol w:w="1673"/>
        <w:gridCol w:w="1673"/>
        <w:gridCol w:w="1673"/>
      </w:tblGrid>
      <w:tr>
        <w:trPr>
          <w:cantSplit/>
          <w:tblHeader w:val="true"/>
        </w:trPr>
        <w:tc>
          <w:tcPr>
            <w:tcW w:type="dxa" w:w="16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17365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可比期</w:t>
            </w:r>
          </w:p>
        </w:tc>
        <w:tc>
          <w:tcPr>
            <w:tcW w:type="dxa" w:w="16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17365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收入同比</w:t>
            </w:r>
          </w:p>
        </w:tc>
        <w:tc>
          <w:tcPr>
            <w:tcW w:type="dxa" w:w="16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17365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归母利润</w:t>
            </w:r>
          </w:p>
        </w:tc>
        <w:tc>
          <w:tcPr>
            <w:tcW w:type="dxa" w:w="16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17365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毛利率变化</w:t>
            </w:r>
          </w:p>
        </w:tc>
        <w:tc>
          <w:tcPr>
            <w:tcW w:type="dxa" w:w="16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17365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经营现金流</w:t>
            </w:r>
          </w:p>
        </w:tc>
        <w:tc>
          <w:tcPr>
            <w:tcW w:type="dxa" w:w="16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17365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市场事实</w:t>
            </w:r>
          </w:p>
        </w:tc>
      </w:tr>
      <w:tr>
        <w:trPr>
          <w:cantSplit/>
        </w:trPr>
        <w:tc>
          <w:tcPr>
            <w:tcW w:type="dxa" w:w="16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2026Q1</w:t>
            </w:r>
          </w:p>
        </w:tc>
        <w:tc>
          <w:tcPr>
            <w:tcW w:type="dxa" w:w="16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39.15%</w:t>
            </w:r>
          </w:p>
        </w:tc>
        <w:tc>
          <w:tcPr>
            <w:tcW w:type="dxa" w:w="16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33.92%</w:t>
            </w:r>
          </w:p>
        </w:tc>
        <w:tc>
          <w:tcPr>
            <w:tcW w:type="dxa" w:w="16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+3.38个百分点</w:t>
            </w:r>
          </w:p>
        </w:tc>
        <w:tc>
          <w:tcPr>
            <w:tcW w:type="dxa" w:w="16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-2400.0万元</w:t>
            </w:r>
          </w:p>
        </w:tc>
        <w:tc>
          <w:tcPr>
            <w:tcW w:type="dxa" w:w="16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市值261.26亿元；PE 57.92；20日44.36%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cantSplit/>
          <w:tblHeader w:val="true"/>
        </w:trPr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17365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情景</w:t>
            </w:r>
          </w:p>
        </w:tc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17365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本轮定义</w:t>
            </w:r>
          </w:p>
        </w:tc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17365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是否填数</w:t>
            </w:r>
          </w:p>
        </w:tc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17365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升级所需证据</w:t>
            </w:r>
          </w:p>
        </w:tc>
      </w:tr>
      <w:tr>
        <w:trPr>
          <w:cantSplit/>
        </w:trPr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1F2937"/>
                <w:sz w:val="15"/>
              </w:rPr>
              <w:t>保守/事实下限</w:t>
            </w:r>
          </w:p>
        </w:tc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只承认供应合作和部分产品批量交付，不把公司整体增长归为AI液冷。</w:t>
            </w:r>
          </w:p>
        </w:tc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否；缺失返回空值（null）</w:t>
            </w:r>
          </w:p>
        </w:tc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无</w:t>
            </w:r>
          </w:p>
        </w:tc>
      </w:tr>
      <w:tr>
        <w:trPr>
          <w:cantSplit/>
        </w:trPr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1F2937"/>
                <w:sz w:val="15"/>
              </w:rPr>
              <w:t>基准/正常兑现</w:t>
            </w:r>
          </w:p>
        </w:tc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出现液冷产品线收入/毛利拆分，以及同一客户追加或第二客户的正式证据。</w:t>
            </w:r>
          </w:p>
        </w:tc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否；缺失返回空值（null）</w:t>
            </w:r>
          </w:p>
        </w:tc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液冷产品线收入/毛利；追加订单或第二客户；AI服务器与储能/汽车拆分</w:t>
            </w:r>
          </w:p>
        </w:tc>
      </w:tr>
      <w:tr>
        <w:trPr>
          <w:cantSplit/>
        </w:trPr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1F2937"/>
                <w:sz w:val="15"/>
              </w:rPr>
              <w:t>乐观/新增触发</w:t>
            </w:r>
          </w:p>
        </w:tc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在基准条件上，良率/利用率与回款改善，液冷主题利润对公司形成实质影响。</w:t>
            </w:r>
          </w:p>
        </w:tc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否；缺失返回空值（null）</w:t>
            </w:r>
          </w:p>
        </w:tc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良率/利用率证据；主题净利润贡献；经营现金改善；客户结构分散</w:t>
            </w:r>
          </w:p>
        </w:tc>
      </w:tr>
    </w:tbl>
    <w:p>
      <w:pPr>
        <w:spacing w:after="100" w:line="288" w:lineRule="auto"/>
      </w:pPr>
      <w:r>
        <w:rPr>
          <w:rFonts w:ascii="Noto Sans CJK SC" w:hAnsi="Noto Sans CJK SC" w:eastAsia="Noto Sans CJK SC"/>
          <w:b/>
          <w:color w:val="17365D"/>
        </w:rPr>
        <w:t>最强失效条件：</w:t>
      </w:r>
      <w:r>
        <w:rPr>
          <w:rFonts w:ascii="Noto Sans CJK SC" w:hAnsi="Noto Sans CJK SC" w:eastAsia="Noto Sans CJK SC"/>
          <w:b w:val="0"/>
          <w:color w:val="1F2937"/>
        </w:rPr>
        <w:t>批量交付没有复购；增长主要来自非目标场景；现金持续为负；标准化和二供导致降价。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0E7C86"/>
        </w:rPr>
        <w:t>5.5 高澜股份（300499.SZ）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cantSplit/>
          <w:tblHeader w:val="true"/>
        </w:trPr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17365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C阶段位置</w:t>
            </w:r>
          </w:p>
        </w:tc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17365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关系状态</w:t>
            </w:r>
          </w:p>
        </w:tc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17365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当前证据停点</w:t>
            </w:r>
          </w:p>
        </w:tc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17365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是否允许主题数值</w:t>
            </w:r>
          </w:p>
        </w:tc>
      </w:tr>
      <w:tr>
        <w:trPr>
          <w:cantSplit/>
        </w:trPr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核心商业观察</w:t>
            </w:r>
          </w:p>
        </w:tc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项目关系已确认</w:t>
            </w:r>
          </w:p>
        </w:tc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项目关系成立，但高功率密度分项混有其他场景，订单、验收和现金未闭环。</w:t>
            </w:r>
          </w:p>
        </w:tc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否</w:t>
            </w:r>
          </w:p>
        </w:tc>
      </w:tr>
    </w:tbl>
    <w:p>
      <w:pPr>
        <w:spacing w:after="100" w:line="288" w:lineRule="auto"/>
      </w:pPr>
      <w:r>
        <w:rPr>
          <w:rFonts w:ascii="Noto Sans CJK SC" w:hAnsi="Noto Sans CJK SC" w:eastAsia="Noto Sans CJK SC"/>
          <w:b/>
          <w:color w:val="17365D"/>
        </w:rPr>
        <w:t>商业链：</w:t>
      </w:r>
      <w:r>
        <w:rPr>
          <w:rFonts w:ascii="Noto Sans CJK SC" w:hAnsi="Noto Sans CJK SC" w:eastAsia="Noto Sans CJK SC"/>
          <w:b w:val="0"/>
          <w:color w:val="1F2937"/>
        </w:rPr>
      </w:r>
    </w:p>
    <w:p>
      <w:pPr>
        <w:spacing w:after="100" w:line="288" w:lineRule="auto"/>
      </w:pPr>
      <w:r>
        <w:rPr>
          <w:rFonts w:ascii="Noto Sans CJK SC" w:hAnsi="Noto Sans CJK SC" w:eastAsia="Noto Sans CJK SC"/>
          <w:b w:val="0"/>
          <w:color w:val="5B6573"/>
        </w:rPr>
        <w:t>国内AIDC交付已确认 → 海外数据中心EPC已确认 → 液冷专属订单金额未知 → 验收/复购未知 → 混合分项未拆 → 主题现金未知</w:t>
      </w:r>
    </w:p>
    <w:p>
      <w:pPr>
        <w:spacing w:after="100" w:line="288" w:lineRule="auto"/>
      </w:pPr>
      <w:r>
        <w:rPr>
          <w:rFonts w:ascii="Noto Sans CJK SC" w:hAnsi="Noto Sans CJK SC" w:eastAsia="Noto Sans CJK SC"/>
          <w:b/>
          <w:color w:val="17365D"/>
        </w:rPr>
        <w:t>可进入C的事实：</w:t>
      </w:r>
      <w:r>
        <w:rPr>
          <w:rFonts w:ascii="Noto Sans CJK SC" w:hAnsi="Noto Sans CJK SC" w:eastAsia="Noto Sans CJK SC"/>
          <w:b w:val="0"/>
          <w:color w:val="1F2937"/>
        </w:rPr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color w:val="1F2937"/>
        </w:rPr>
        <w:t>国内AIDC项目交付和海外数据中心EPC项目关系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color w:val="1F2937"/>
        </w:rPr>
        <w:t>公司级财务、应收、存货、现金、估值和价格背景</w:t>
      </w:r>
    </w:p>
    <w:p>
      <w:pPr>
        <w:spacing w:after="100" w:line="288" w:lineRule="auto"/>
      </w:pPr>
      <w:r>
        <w:rPr>
          <w:rFonts w:ascii="Noto Sans CJK SC" w:hAnsi="Noto Sans CJK SC" w:eastAsia="Noto Sans CJK SC"/>
          <w:b/>
          <w:color w:val="17365D"/>
        </w:rPr>
        <w:t>仍然未知：</w:t>
      </w:r>
      <w:r>
        <w:rPr>
          <w:rFonts w:ascii="Noto Sans CJK SC" w:hAnsi="Noto Sans CJK SC" w:eastAsia="Noto Sans CJK SC"/>
          <w:b w:val="0"/>
          <w:color w:val="1F2937"/>
        </w:rPr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color w:val="1F2937"/>
        </w:rPr>
        <w:t>高功率密度分项中纯AI数据中心液冷收入和毛利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color w:val="1F2937"/>
        </w:rPr>
        <w:t>液冷专属订单金额、项目验收、净利润和现金贡献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73"/>
        <w:gridCol w:w="1673"/>
        <w:gridCol w:w="1673"/>
        <w:gridCol w:w="1673"/>
        <w:gridCol w:w="1673"/>
        <w:gridCol w:w="1673"/>
      </w:tblGrid>
      <w:tr>
        <w:trPr>
          <w:cantSplit/>
          <w:tblHeader w:val="true"/>
        </w:trPr>
        <w:tc>
          <w:tcPr>
            <w:tcW w:type="dxa" w:w="16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17365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可比期</w:t>
            </w:r>
          </w:p>
        </w:tc>
        <w:tc>
          <w:tcPr>
            <w:tcW w:type="dxa" w:w="16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17365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收入同比</w:t>
            </w:r>
          </w:p>
        </w:tc>
        <w:tc>
          <w:tcPr>
            <w:tcW w:type="dxa" w:w="16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17365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归母利润</w:t>
            </w:r>
          </w:p>
        </w:tc>
        <w:tc>
          <w:tcPr>
            <w:tcW w:type="dxa" w:w="16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17365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毛利率变化</w:t>
            </w:r>
          </w:p>
        </w:tc>
        <w:tc>
          <w:tcPr>
            <w:tcW w:type="dxa" w:w="16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17365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经营现金流</w:t>
            </w:r>
          </w:p>
        </w:tc>
        <w:tc>
          <w:tcPr>
            <w:tcW w:type="dxa" w:w="16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17365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市场事实</w:t>
            </w:r>
          </w:p>
        </w:tc>
      </w:tr>
      <w:tr>
        <w:trPr>
          <w:cantSplit/>
        </w:trPr>
        <w:tc>
          <w:tcPr>
            <w:tcW w:type="dxa" w:w="16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2026Q1</w:t>
            </w:r>
          </w:p>
        </w:tc>
        <w:tc>
          <w:tcPr>
            <w:tcW w:type="dxa" w:w="16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-2.77%</w:t>
            </w:r>
          </w:p>
        </w:tc>
        <w:tc>
          <w:tcPr>
            <w:tcW w:type="dxa" w:w="16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16.55%</w:t>
            </w:r>
          </w:p>
        </w:tc>
        <w:tc>
          <w:tcPr>
            <w:tcW w:type="dxa" w:w="16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+5.54个百分点</w:t>
            </w:r>
          </w:p>
        </w:tc>
        <w:tc>
          <w:tcPr>
            <w:tcW w:type="dxa" w:w="16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-1.12亿元</w:t>
            </w:r>
          </w:p>
        </w:tc>
        <w:tc>
          <w:tcPr>
            <w:tcW w:type="dxa" w:w="16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市值96.15亿元；PE 308.34；20日32.35%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cantSplit/>
          <w:tblHeader w:val="true"/>
        </w:trPr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17365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情景</w:t>
            </w:r>
          </w:p>
        </w:tc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17365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本轮定义</w:t>
            </w:r>
          </w:p>
        </w:tc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17365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是否填数</w:t>
            </w:r>
          </w:p>
        </w:tc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17365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升级所需证据</w:t>
            </w:r>
          </w:p>
        </w:tc>
      </w:tr>
      <w:tr>
        <w:trPr>
          <w:cantSplit/>
        </w:trPr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1F2937"/>
                <w:sz w:val="15"/>
              </w:rPr>
              <w:t>保守/事实下限</w:t>
            </w:r>
          </w:p>
        </w:tc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只承认AIDC/海外数据中心项目关系，不把高功率密度分项全部归为液冷。</w:t>
            </w:r>
          </w:p>
        </w:tc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否；缺失返回空值（null）</w:t>
            </w:r>
          </w:p>
        </w:tc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无</w:t>
            </w:r>
          </w:p>
        </w:tc>
      </w:tr>
      <w:tr>
        <w:trPr>
          <w:cantSplit/>
        </w:trPr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1F2937"/>
                <w:sz w:val="15"/>
              </w:rPr>
              <w:t>基准/正常兑现</w:t>
            </w:r>
          </w:p>
        </w:tc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正式披露可交付订单、验收收入和纯数据中心液冷分项。</w:t>
            </w:r>
          </w:p>
        </w:tc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否；缺失返回空值（null）</w:t>
            </w:r>
          </w:p>
        </w:tc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液冷专属订单/在手订单；验收收入；高功率密度分项场景拆分</w:t>
            </w:r>
          </w:p>
        </w:tc>
      </w:tr>
      <w:tr>
        <w:trPr>
          <w:cantSplit/>
        </w:trPr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1F2937"/>
                <w:sz w:val="15"/>
              </w:rPr>
              <w:t>乐观/新增触发</w:t>
            </w:r>
          </w:p>
        </w:tc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在基准条件上出现重复项目/第二客户、项目毛利稳定、合同资产和现金改善。</w:t>
            </w:r>
          </w:p>
        </w:tc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否；缺失返回空值（null）</w:t>
            </w:r>
          </w:p>
        </w:tc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第二客户或重复项目；项目毛利；合同资产/应收受控；经营现金改善</w:t>
            </w:r>
          </w:p>
        </w:tc>
      </w:tr>
    </w:tbl>
    <w:p>
      <w:pPr>
        <w:spacing w:after="100" w:line="288" w:lineRule="auto"/>
      </w:pPr>
      <w:r>
        <w:rPr>
          <w:rFonts w:ascii="Noto Sans CJK SC" w:hAnsi="Noto Sans CJK SC" w:eastAsia="Noto Sans CJK SC"/>
          <w:b/>
          <w:color w:val="17365D"/>
        </w:rPr>
        <w:t>最强失效条件：</w:t>
      </w:r>
      <w:r>
        <w:rPr>
          <w:rFonts w:ascii="Noto Sans CJK SC" w:hAnsi="Noto Sans CJK SC" w:eastAsia="Noto Sans CJK SC"/>
          <w:b w:val="0"/>
          <w:color w:val="1F2937"/>
        </w:rPr>
        <w:t>项目长期不验收；混合场景被误算；应收/库存继续异常；海外项目成本或变更吞噬毛利。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0E7C86"/>
        </w:rPr>
        <w:t>5.6 佳力图（603912.SH）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cantSplit/>
          <w:tblHeader w:val="true"/>
        </w:trPr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17365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C阶段位置</w:t>
            </w:r>
          </w:p>
        </w:tc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17365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关系状态</w:t>
            </w:r>
          </w:p>
        </w:tc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17365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当前证据停点</w:t>
            </w:r>
          </w:p>
        </w:tc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17365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是否允许主题数值</w:t>
            </w:r>
          </w:p>
        </w:tc>
      </w:tr>
      <w:tr>
        <w:trPr>
          <w:cantSplit/>
        </w:trPr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设施侧受限观察</w:t>
            </w:r>
          </w:p>
        </w:tc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设施侧液冷关系部分通过</w:t>
            </w:r>
          </w:p>
        </w:tc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设施侧关系已通过，但传统风冷、风液协同、IDC运营与液冷财务未拆。</w:t>
            </w:r>
          </w:p>
        </w:tc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否</w:t>
            </w:r>
          </w:p>
        </w:tc>
      </w:tr>
    </w:tbl>
    <w:p>
      <w:pPr>
        <w:spacing w:after="100" w:line="288" w:lineRule="auto"/>
      </w:pPr>
      <w:r>
        <w:rPr>
          <w:rFonts w:ascii="Noto Sans CJK SC" w:hAnsi="Noto Sans CJK SC" w:eastAsia="Noto Sans CJK SC"/>
          <w:b/>
          <w:color w:val="17365D"/>
        </w:rPr>
        <w:t>商业链：</w:t>
      </w:r>
      <w:r>
        <w:rPr>
          <w:rFonts w:ascii="Noto Sans CJK SC" w:hAnsi="Noto Sans CJK SC" w:eastAsia="Noto Sans CJK SC"/>
          <w:b w:val="0"/>
          <w:color w:val="1F2937"/>
        </w:rPr>
      </w:r>
    </w:p>
    <w:p>
      <w:pPr>
        <w:spacing w:after="100" w:line="288" w:lineRule="auto"/>
      </w:pPr>
      <w:r>
        <w:rPr>
          <w:rFonts w:ascii="Noto Sans CJK SC" w:hAnsi="Noto Sans CJK SC" w:eastAsia="Noto Sans CJK SC"/>
          <w:b w:val="0"/>
          <w:color w:val="5B6573"/>
        </w:rPr>
        <w:t>全栈方案已确认 → CDU认证已确认 → 2MW级CDU批量交付已确认 → 液冷专属订单/验收未知 → 设施侧主题财务未知</w:t>
      </w:r>
    </w:p>
    <w:p>
      <w:pPr>
        <w:spacing w:after="100" w:line="288" w:lineRule="auto"/>
      </w:pPr>
      <w:r>
        <w:rPr>
          <w:rFonts w:ascii="Noto Sans CJK SC" w:hAnsi="Noto Sans CJK SC" w:eastAsia="Noto Sans CJK SC"/>
          <w:b/>
          <w:color w:val="17365D"/>
        </w:rPr>
        <w:t>可进入C的事实：</w:t>
      </w:r>
      <w:r>
        <w:rPr>
          <w:rFonts w:ascii="Noto Sans CJK SC" w:hAnsi="Noto Sans CJK SC" w:eastAsia="Noto Sans CJK SC"/>
          <w:b w:val="0"/>
          <w:color w:val="1F2937"/>
        </w:rPr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color w:val="1F2937"/>
        </w:rPr>
        <w:t>全栈液冷方案、CDU认证、2MW级CDU批量交付和项目案例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color w:val="1F2937"/>
        </w:rPr>
        <w:t>设施侧水环、最终排热、风液协同和数据中心改造关系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color w:val="1F2937"/>
        </w:rPr>
        <w:t>公司级工程垫资、验收、应收和现金风险背景</w:t>
      </w:r>
    </w:p>
    <w:p>
      <w:pPr>
        <w:spacing w:after="100" w:line="288" w:lineRule="auto"/>
      </w:pPr>
      <w:r>
        <w:rPr>
          <w:rFonts w:ascii="Noto Sans CJK SC" w:hAnsi="Noto Sans CJK SC" w:eastAsia="Noto Sans CJK SC"/>
          <w:b/>
          <w:color w:val="17365D"/>
        </w:rPr>
        <w:t>仍然未知：</w:t>
      </w:r>
      <w:r>
        <w:rPr>
          <w:rFonts w:ascii="Noto Sans CJK SC" w:hAnsi="Noto Sans CJK SC" w:eastAsia="Noto Sans CJK SC"/>
          <w:b w:val="0"/>
          <w:color w:val="1F2937"/>
        </w:rPr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color w:val="1F2937"/>
        </w:rPr>
        <w:t>液冷专属客户和订单金额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color w:val="1F2937"/>
        </w:rPr>
        <w:t>液冷项目验收与复购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color w:val="1F2937"/>
        </w:rPr>
        <w:t>液冷设施侧收入、项目毛利、净利润和现金贡献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73"/>
        <w:gridCol w:w="1673"/>
        <w:gridCol w:w="1673"/>
        <w:gridCol w:w="1673"/>
        <w:gridCol w:w="1673"/>
        <w:gridCol w:w="1673"/>
      </w:tblGrid>
      <w:tr>
        <w:trPr>
          <w:cantSplit/>
          <w:tblHeader w:val="true"/>
        </w:trPr>
        <w:tc>
          <w:tcPr>
            <w:tcW w:type="dxa" w:w="16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17365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可比期</w:t>
            </w:r>
          </w:p>
        </w:tc>
        <w:tc>
          <w:tcPr>
            <w:tcW w:type="dxa" w:w="16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17365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收入同比</w:t>
            </w:r>
          </w:p>
        </w:tc>
        <w:tc>
          <w:tcPr>
            <w:tcW w:type="dxa" w:w="16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17365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归母利润</w:t>
            </w:r>
          </w:p>
        </w:tc>
        <w:tc>
          <w:tcPr>
            <w:tcW w:type="dxa" w:w="16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17365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毛利率变化</w:t>
            </w:r>
          </w:p>
        </w:tc>
        <w:tc>
          <w:tcPr>
            <w:tcW w:type="dxa" w:w="16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17365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经营现金流</w:t>
            </w:r>
          </w:p>
        </w:tc>
        <w:tc>
          <w:tcPr>
            <w:tcW w:type="dxa" w:w="16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17365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市场事实</w:t>
            </w:r>
          </w:p>
        </w:tc>
      </w:tr>
      <w:tr>
        <w:trPr>
          <w:cantSplit/>
        </w:trPr>
        <w:tc>
          <w:tcPr>
            <w:tcW w:type="dxa" w:w="16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2026Q1</w:t>
            </w:r>
          </w:p>
        </w:tc>
        <w:tc>
          <w:tcPr>
            <w:tcW w:type="dxa" w:w="16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5.35%</w:t>
            </w:r>
          </w:p>
        </w:tc>
        <w:tc>
          <w:tcPr>
            <w:tcW w:type="dxa" w:w="16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亏损扩大约740万元</w:t>
            </w:r>
          </w:p>
        </w:tc>
        <w:tc>
          <w:tcPr>
            <w:tcW w:type="dxa" w:w="16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-7.91个百分点</w:t>
            </w:r>
          </w:p>
        </w:tc>
        <w:tc>
          <w:tcPr>
            <w:tcW w:type="dxa" w:w="16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-4000.0万元</w:t>
            </w:r>
          </w:p>
        </w:tc>
        <w:tc>
          <w:tcPr>
            <w:tcW w:type="dxa" w:w="16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市值48.81亿元；—；20日32.16%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cantSplit/>
          <w:tblHeader w:val="true"/>
        </w:trPr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17365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情景</w:t>
            </w:r>
          </w:p>
        </w:tc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17365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本轮定义</w:t>
            </w:r>
          </w:p>
        </w:tc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17365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是否填数</w:t>
            </w:r>
          </w:p>
        </w:tc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17365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升级所需证据</w:t>
            </w:r>
          </w:p>
        </w:tc>
      </w:tr>
      <w:tr>
        <w:trPr>
          <w:cantSplit/>
        </w:trPr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1F2937"/>
                <w:sz w:val="15"/>
              </w:rPr>
              <w:t>保守/事实下限</w:t>
            </w:r>
          </w:p>
        </w:tc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只承认设施侧液冷关系和批量交付，不计算液冷专属收入或利润。</w:t>
            </w:r>
          </w:p>
        </w:tc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否；缺失返回空值（null）</w:t>
            </w:r>
          </w:p>
        </w:tc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无</w:t>
            </w:r>
          </w:p>
        </w:tc>
      </w:tr>
      <w:tr>
        <w:trPr>
          <w:cantSplit/>
        </w:trPr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1F2937"/>
                <w:sz w:val="15"/>
              </w:rPr>
              <w:t>基准/正常兑现</w:t>
            </w:r>
          </w:p>
        </w:tc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出现液冷设施侧合同/验收收入，且与传统风冷、IDC运营和普通温控分开。</w:t>
            </w:r>
          </w:p>
        </w:tc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否；缺失返回空值（null）</w:t>
            </w:r>
          </w:p>
        </w:tc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液冷设施侧合同/验收；液冷与传统业务拆分；项目毛利或回款</w:t>
            </w:r>
          </w:p>
        </w:tc>
      </w:tr>
      <w:tr>
        <w:trPr>
          <w:cantSplit/>
        </w:trPr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1F2937"/>
                <w:sz w:val="15"/>
              </w:rPr>
              <w:t>乐观/新增触发</w:t>
            </w:r>
          </w:p>
        </w:tc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在基准条件上出现重复项目/第二客户，工程毛利与现金质量改善。</w:t>
            </w:r>
          </w:p>
        </w:tc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否；缺失返回空值（null）</w:t>
            </w:r>
          </w:p>
        </w:tc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重复项目或第二客户；项目毛利稳定；应收/合同资产受控；现金改善</w:t>
            </w:r>
          </w:p>
        </w:tc>
      </w:tr>
    </w:tbl>
    <w:p>
      <w:pPr>
        <w:spacing w:after="100" w:line="288" w:lineRule="auto"/>
      </w:pPr>
      <w:r>
        <w:rPr>
          <w:rFonts w:ascii="Noto Sans CJK SC" w:hAnsi="Noto Sans CJK SC" w:eastAsia="Noto Sans CJK SC"/>
          <w:b/>
          <w:color w:val="17365D"/>
        </w:rPr>
        <w:t>最强失效条件：</w:t>
      </w:r>
      <w:r>
        <w:rPr>
          <w:rFonts w:ascii="Noto Sans CJK SC" w:hAnsi="Noto Sans CJK SC" w:eastAsia="Noto Sans CJK SC"/>
          <w:b w:val="0"/>
          <w:color w:val="1F2937"/>
        </w:rPr>
        <w:t>收入主要来自传统温控或IDC运营；项目延期、垫资和应收吞噬利润；风液混合推迟直接液冷投资。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0E7C86"/>
        </w:rPr>
        <w:t>5.7 荣亿精密（920223.BJ）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cantSplit/>
          <w:tblHeader w:val="true"/>
        </w:trPr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17365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C阶段位置</w:t>
            </w:r>
          </w:p>
        </w:tc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17365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关系状态</w:t>
            </w:r>
          </w:p>
        </w:tc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17365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当前证据停点</w:t>
            </w:r>
          </w:p>
        </w:tc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17365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是否允许主题数值</w:t>
            </w:r>
          </w:p>
        </w:tc>
      </w:tr>
      <w:tr>
        <w:trPr>
          <w:cantSplit/>
        </w:trPr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新进入者受限观察</w:t>
            </w:r>
          </w:p>
        </w:tc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量产关系已确认</w:t>
            </w:r>
          </w:p>
        </w:tc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量产关系已经成立，但规模、良率、有效产能和主题利润重要性未通过。</w:t>
            </w:r>
          </w:p>
        </w:tc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否</w:t>
            </w:r>
          </w:p>
        </w:tc>
      </w:tr>
    </w:tbl>
    <w:p>
      <w:pPr>
        <w:spacing w:after="100" w:line="288" w:lineRule="auto"/>
      </w:pPr>
      <w:r>
        <w:rPr>
          <w:rFonts w:ascii="Noto Sans CJK SC" w:hAnsi="Noto Sans CJK SC" w:eastAsia="Noto Sans CJK SC"/>
          <w:b/>
          <w:color w:val="17365D"/>
        </w:rPr>
        <w:t>商业链：</w:t>
      </w:r>
      <w:r>
        <w:rPr>
          <w:rFonts w:ascii="Noto Sans CJK SC" w:hAnsi="Noto Sans CJK SC" w:eastAsia="Noto Sans CJK SC"/>
          <w:b w:val="0"/>
          <w:color w:val="1F2937"/>
        </w:rPr>
      </w:r>
    </w:p>
    <w:p>
      <w:pPr>
        <w:spacing w:after="100" w:line="288" w:lineRule="auto"/>
      </w:pPr>
      <w:r>
        <w:rPr>
          <w:rFonts w:ascii="Noto Sans CJK SC" w:hAnsi="Noto Sans CJK SC" w:eastAsia="Noto Sans CJK SC"/>
          <w:b w:val="0"/>
          <w:color w:val="5B6573"/>
        </w:rPr>
        <w:t>服务器液冷快接零部件已量产 → 核心客户富世达已确认 → 设备到位/产能爬坡已确认 → 液冷收入拆分未知 → 复购/良率/有效产能未知 → 主题利润/现金未知</w:t>
      </w:r>
    </w:p>
    <w:p>
      <w:pPr>
        <w:spacing w:after="100" w:line="288" w:lineRule="auto"/>
      </w:pPr>
      <w:r>
        <w:rPr>
          <w:rFonts w:ascii="Noto Sans CJK SC" w:hAnsi="Noto Sans CJK SC" w:eastAsia="Noto Sans CJK SC"/>
          <w:b/>
          <w:color w:val="17365D"/>
        </w:rPr>
        <w:t>可进入C的事实：</w:t>
      </w:r>
      <w:r>
        <w:rPr>
          <w:rFonts w:ascii="Noto Sans CJK SC" w:hAnsi="Noto Sans CJK SC" w:eastAsia="Noto Sans CJK SC"/>
          <w:b w:val="0"/>
          <w:color w:val="1F2937"/>
        </w:rPr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color w:val="1F2937"/>
        </w:rPr>
        <w:t>服务器液冷快接相关零部件2025Q2批量生产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color w:val="1F2937"/>
        </w:rPr>
        <w:t>核心客户富世达、设备到位和产能爬坡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color w:val="1F2937"/>
        </w:rPr>
        <w:t>快速接头新增供给、二供和竞争加剧样本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color w:val="1F2937"/>
        </w:rPr>
        <w:t>公司级亏损、现金和扩产压力背景</w:t>
      </w:r>
    </w:p>
    <w:p>
      <w:pPr>
        <w:spacing w:after="100" w:line="288" w:lineRule="auto"/>
      </w:pPr>
      <w:r>
        <w:rPr>
          <w:rFonts w:ascii="Noto Sans CJK SC" w:hAnsi="Noto Sans CJK SC" w:eastAsia="Noto Sans CJK SC"/>
          <w:b/>
          <w:color w:val="17365D"/>
        </w:rPr>
        <w:t>仍然未知：</w:t>
      </w:r>
      <w:r>
        <w:rPr>
          <w:rFonts w:ascii="Noto Sans CJK SC" w:hAnsi="Noto Sans CJK SC" w:eastAsia="Noto Sans CJK SC"/>
          <w:b w:val="0"/>
          <w:color w:val="1F2937"/>
        </w:rPr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color w:val="1F2937"/>
        </w:rPr>
        <w:t>液冷订单金额、复购次数和客户集中度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color w:val="1F2937"/>
        </w:rPr>
        <w:t>液冷收入、毛利、净利润和现金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color w:val="1F2937"/>
        </w:rPr>
        <w:t>良率、认证通过率、有效产能和利用率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73"/>
        <w:gridCol w:w="1673"/>
        <w:gridCol w:w="1673"/>
        <w:gridCol w:w="1673"/>
        <w:gridCol w:w="1673"/>
        <w:gridCol w:w="1673"/>
      </w:tblGrid>
      <w:tr>
        <w:trPr>
          <w:cantSplit/>
          <w:tblHeader w:val="true"/>
        </w:trPr>
        <w:tc>
          <w:tcPr>
            <w:tcW w:type="dxa" w:w="16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17365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可比期</w:t>
            </w:r>
          </w:p>
        </w:tc>
        <w:tc>
          <w:tcPr>
            <w:tcW w:type="dxa" w:w="16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17365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收入同比</w:t>
            </w:r>
          </w:p>
        </w:tc>
        <w:tc>
          <w:tcPr>
            <w:tcW w:type="dxa" w:w="16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17365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归母利润</w:t>
            </w:r>
          </w:p>
        </w:tc>
        <w:tc>
          <w:tcPr>
            <w:tcW w:type="dxa" w:w="16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17365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毛利率变化</w:t>
            </w:r>
          </w:p>
        </w:tc>
        <w:tc>
          <w:tcPr>
            <w:tcW w:type="dxa" w:w="16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17365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经营现金流</w:t>
            </w:r>
          </w:p>
        </w:tc>
        <w:tc>
          <w:tcPr>
            <w:tcW w:type="dxa" w:w="16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17365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市场事实</w:t>
            </w:r>
          </w:p>
        </w:tc>
      </w:tr>
      <w:tr>
        <w:trPr>
          <w:cantSplit/>
        </w:trPr>
        <w:tc>
          <w:tcPr>
            <w:tcW w:type="dxa" w:w="16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2026H1</w:t>
            </w:r>
          </w:p>
        </w:tc>
        <w:tc>
          <w:tcPr>
            <w:tcW w:type="dxa" w:w="16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30.60%</w:t>
            </w:r>
          </w:p>
        </w:tc>
        <w:tc>
          <w:tcPr>
            <w:tcW w:type="dxa" w:w="16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亏损约1100万元</w:t>
            </w:r>
          </w:p>
        </w:tc>
        <w:tc>
          <w:tcPr>
            <w:tcW w:type="dxa" w:w="16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-3.68个百分点</w:t>
            </w:r>
          </w:p>
        </w:tc>
        <w:tc>
          <w:tcPr>
            <w:tcW w:type="dxa" w:w="16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-3600.0万元</w:t>
            </w:r>
          </w:p>
        </w:tc>
        <w:tc>
          <w:tcPr>
            <w:tcW w:type="dxa" w:w="16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市值16.96亿元；—；20日-0.92%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cantSplit/>
          <w:tblHeader w:val="true"/>
        </w:trPr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17365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情景</w:t>
            </w:r>
          </w:p>
        </w:tc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17365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本轮定义</w:t>
            </w:r>
          </w:p>
        </w:tc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17365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是否填数</w:t>
            </w:r>
          </w:p>
        </w:tc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17365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升级所需证据</w:t>
            </w:r>
          </w:p>
        </w:tc>
      </w:tr>
      <w:tr>
        <w:trPr>
          <w:cantSplit/>
        </w:trPr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1F2937"/>
                <w:sz w:val="15"/>
              </w:rPr>
              <w:t>保守/事实下限</w:t>
            </w:r>
          </w:p>
        </w:tc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只承认量产和客户关系，不把3C混合收入或项目投资视为液冷收入/有效产能。</w:t>
            </w:r>
          </w:p>
        </w:tc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否；缺失返回空值（null）</w:t>
            </w:r>
          </w:p>
        </w:tc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无</w:t>
            </w:r>
          </w:p>
        </w:tc>
      </w:tr>
      <w:tr>
        <w:trPr>
          <w:cantSplit/>
        </w:trPr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1F2937"/>
                <w:sz w:val="15"/>
              </w:rPr>
              <w:t>基准/正常兑现</w:t>
            </w:r>
          </w:p>
        </w:tc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出现液冷快接直接收入/交易金额，产能利用或良率证据，并确认重复交付。</w:t>
            </w:r>
          </w:p>
        </w:tc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否；缺失返回空值（null）</w:t>
            </w:r>
          </w:p>
        </w:tc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液冷直接收入或客户交易金额；复购/重复交付；良率/有效产能</w:t>
            </w:r>
          </w:p>
        </w:tc>
      </w:tr>
      <w:tr>
        <w:trPr>
          <w:cantSplit/>
        </w:trPr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1F2937"/>
                <w:sz w:val="15"/>
              </w:rPr>
              <w:t>乐观/新增触发</w:t>
            </w:r>
          </w:p>
        </w:tc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在基准条件上出现第二客户、毛利改善和现金爬坡完成。</w:t>
            </w:r>
          </w:p>
        </w:tc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否；缺失返回空值（null）</w:t>
            </w:r>
          </w:p>
        </w:tc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第二客户；主题毛利改善；有效产能利用率；经营现金改善</w:t>
            </w:r>
          </w:p>
        </w:tc>
      </w:tr>
    </w:tbl>
    <w:p>
      <w:pPr>
        <w:spacing w:after="100" w:line="288" w:lineRule="auto"/>
      </w:pPr>
      <w:r>
        <w:rPr>
          <w:rFonts w:ascii="Noto Sans CJK SC" w:hAnsi="Noto Sans CJK SC" w:eastAsia="Noto Sans CJK SC"/>
          <w:b/>
          <w:color w:val="17365D"/>
        </w:rPr>
        <w:t>最强失效条件：</w:t>
      </w:r>
      <w:r>
        <w:rPr>
          <w:rFonts w:ascii="Noto Sans CJK SC" w:hAnsi="Noto Sans CJK SC" w:eastAsia="Noto Sans CJK SC"/>
          <w:b w:val="0"/>
          <w:color w:val="1F2937"/>
        </w:rPr>
        <w:t>扩产项目未按期形成有效产能；客户过度集中；低毛利/亏损延续；接口标准化降低稀缺性。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0E7C86"/>
        </w:rPr>
        <w:t>5.8 中科曙光（603019.SH）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cantSplit/>
          <w:tblHeader w:val="true"/>
        </w:trPr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17365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C阶段位置</w:t>
            </w:r>
          </w:p>
        </w:tc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17365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关系状态</w:t>
            </w:r>
          </w:p>
        </w:tc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17365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当前证据停点</w:t>
            </w:r>
          </w:p>
        </w:tc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17365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是否允许主题数值</w:t>
            </w:r>
          </w:p>
        </w:tc>
      </w:tr>
      <w:tr>
        <w:trPr>
          <w:cantSplit/>
        </w:trPr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只看所有权与利润归属</w:t>
            </w:r>
          </w:p>
        </w:tc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所有权关系已确认</w:t>
            </w:r>
          </w:p>
        </w:tc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只完成所有权与合并边界，不建立液冷经营情景。</w:t>
            </w:r>
          </w:p>
        </w:tc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不适用</w:t>
            </w:r>
          </w:p>
        </w:tc>
      </w:tr>
    </w:tbl>
    <w:p>
      <w:pPr>
        <w:spacing w:after="100" w:line="288" w:lineRule="auto"/>
      </w:pPr>
      <w:r>
        <w:rPr>
          <w:rFonts w:ascii="Noto Sans CJK SC" w:hAnsi="Noto Sans CJK SC" w:eastAsia="Noto Sans CJK SC"/>
          <w:b/>
          <w:color w:val="17365D"/>
        </w:rPr>
        <w:t>商业链：</w:t>
      </w:r>
      <w:r>
        <w:rPr>
          <w:rFonts w:ascii="Noto Sans CJK SC" w:hAnsi="Noto Sans CJK SC" w:eastAsia="Noto Sans CJK SC"/>
          <w:b w:val="0"/>
          <w:color w:val="1F2937"/>
        </w:rPr>
      </w:r>
    </w:p>
    <w:p>
      <w:pPr>
        <w:spacing w:after="100" w:line="288" w:lineRule="auto"/>
      </w:pPr>
      <w:r>
        <w:rPr>
          <w:rFonts w:ascii="Noto Sans CJK SC" w:hAnsi="Noto Sans CJK SC" w:eastAsia="Noto Sans CJK SC"/>
          <w:b w:val="0"/>
          <w:color w:val="5B6573"/>
        </w:rPr>
        <w:t>重要非全资子公司身份已确认 → 合并边界已确认 → 少数股东权益已确认 → 母公司液冷增量归母影响未知</w:t>
      </w:r>
    </w:p>
    <w:p>
      <w:pPr>
        <w:spacing w:after="100" w:line="288" w:lineRule="auto"/>
      </w:pPr>
      <w:r>
        <w:rPr>
          <w:rFonts w:ascii="Noto Sans CJK SC" w:hAnsi="Noto Sans CJK SC" w:eastAsia="Noto Sans CJK SC"/>
          <w:b/>
          <w:color w:val="17365D"/>
        </w:rPr>
        <w:t>可进入C的事实：</w:t>
      </w:r>
      <w:r>
        <w:rPr>
          <w:rFonts w:ascii="Noto Sans CJK SC" w:hAnsi="Noto Sans CJK SC" w:eastAsia="Noto Sans CJK SC"/>
          <w:b w:val="0"/>
          <w:color w:val="1F2937"/>
        </w:rPr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color w:val="1F2937"/>
        </w:rPr>
        <w:t>曙光数创的重要非全资子公司身份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color w:val="1F2937"/>
        </w:rPr>
        <w:t>控制、合并范围、少数股东权益和利润归属边界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color w:val="1F2937"/>
        </w:rPr>
        <w:t>年报少数股东持股37.9302%、半年报37.93%的正式披露</w:t>
      </w:r>
    </w:p>
    <w:p>
      <w:pPr>
        <w:spacing w:after="100" w:line="288" w:lineRule="auto"/>
      </w:pPr>
      <w:r>
        <w:rPr>
          <w:rFonts w:ascii="Noto Sans CJK SC" w:hAnsi="Noto Sans CJK SC" w:eastAsia="Noto Sans CJK SC"/>
          <w:b/>
          <w:color w:val="17365D"/>
        </w:rPr>
        <w:t>仍然未知：</w:t>
      </w:r>
      <w:r>
        <w:rPr>
          <w:rFonts w:ascii="Noto Sans CJK SC" w:hAnsi="Noto Sans CJK SC" w:eastAsia="Noto Sans CJK SC"/>
          <w:b w:val="0"/>
          <w:color w:val="1F2937"/>
        </w:rPr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color w:val="1F2937"/>
        </w:rPr>
        <w:t>曙光数创液冷经营结果对中科曙光归母利润的精确增量影响，除非正式报表直接披露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cantSplit/>
          <w:tblHeader w:val="true"/>
        </w:trPr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17365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情景</w:t>
            </w:r>
          </w:p>
        </w:tc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17365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本轮定义</w:t>
            </w:r>
          </w:p>
        </w:tc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17365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是否填数</w:t>
            </w:r>
          </w:p>
        </w:tc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17365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升级所需证据</w:t>
            </w:r>
          </w:p>
        </w:tc>
      </w:tr>
      <w:tr>
        <w:trPr>
          <w:cantSplit/>
        </w:trPr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1F2937"/>
                <w:sz w:val="15"/>
              </w:rPr>
              <w:t>保守/事实下限</w:t>
            </w:r>
          </w:p>
        </w:tc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不建立经营情景。</w:t>
            </w:r>
          </w:p>
        </w:tc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否；缺失返回空值（null）</w:t>
            </w:r>
          </w:p>
        </w:tc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无</w:t>
            </w:r>
          </w:p>
        </w:tc>
      </w:tr>
      <w:tr>
        <w:trPr>
          <w:cantSplit/>
        </w:trPr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1F2937"/>
                <w:sz w:val="15"/>
              </w:rPr>
              <w:t>基准/正常兑现</w:t>
            </w:r>
          </w:p>
        </w:tc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不建立经营情景。</w:t>
            </w:r>
          </w:p>
        </w:tc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否；缺失返回空值（null）</w:t>
            </w:r>
          </w:p>
        </w:tc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无</w:t>
            </w:r>
          </w:p>
        </w:tc>
      </w:tr>
      <w:tr>
        <w:trPr>
          <w:cantSplit/>
        </w:trPr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1F2937"/>
                <w:sz w:val="15"/>
              </w:rPr>
              <w:t>乐观/新增触发</w:t>
            </w:r>
          </w:p>
        </w:tc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不建立经营情景。</w:t>
            </w:r>
          </w:p>
        </w:tc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否；缺失返回空值（null）</w:t>
            </w:r>
          </w:p>
        </w:tc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无</w:t>
            </w:r>
          </w:p>
        </w:tc>
      </w:tr>
    </w:tbl>
    <w:p>
      <w:pPr>
        <w:spacing w:after="100" w:line="288" w:lineRule="auto"/>
      </w:pPr>
      <w:r>
        <w:rPr>
          <w:rFonts w:ascii="Noto Sans CJK SC" w:hAnsi="Noto Sans CJK SC" w:eastAsia="Noto Sans CJK SC"/>
          <w:b/>
          <w:color w:val="17365D"/>
        </w:rPr>
        <w:t>最强失效条件：</w:t>
      </w:r>
      <w:r>
        <w:rPr>
          <w:rFonts w:ascii="Noto Sans CJK SC" w:hAnsi="Noto Sans CJK SC" w:eastAsia="Noto Sans CJK SC"/>
          <w:b w:val="0"/>
          <w:color w:val="1F2937"/>
        </w:rPr>
        <w:t>任何把子公司收入或利润简单乘持股比例的做法均无效。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0E7C86"/>
        </w:rPr>
        <w:t>5.9 同飞股份（300990.SZ）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cantSplit/>
          <w:tblHeader w:val="true"/>
        </w:trPr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17365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C阶段位置</w:t>
            </w:r>
          </w:p>
        </w:tc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17365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关系状态</w:t>
            </w:r>
          </w:p>
        </w:tc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17365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当前证据停点</w:t>
            </w:r>
          </w:p>
        </w:tc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17365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是否允许主题数值</w:t>
            </w:r>
          </w:p>
        </w:tc>
      </w:tr>
      <w:tr>
        <w:trPr>
          <w:cantSplit/>
        </w:trPr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只作能力与竞争背景</w:t>
            </w:r>
          </w:p>
        </w:tc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关系硬门未通过</w:t>
            </w:r>
          </w:p>
        </w:tc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只证明产品能力，关系硬门未通过。</w:t>
            </w:r>
          </w:p>
        </w:tc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不适用</w:t>
            </w:r>
          </w:p>
        </w:tc>
      </w:tr>
    </w:tbl>
    <w:p>
      <w:pPr>
        <w:spacing w:after="100" w:line="288" w:lineRule="auto"/>
      </w:pPr>
      <w:r>
        <w:rPr>
          <w:rFonts w:ascii="Noto Sans CJK SC" w:hAnsi="Noto Sans CJK SC" w:eastAsia="Noto Sans CJK SC"/>
          <w:b/>
          <w:color w:val="17365D"/>
        </w:rPr>
        <w:t>商业链：</w:t>
      </w:r>
      <w:r>
        <w:rPr>
          <w:rFonts w:ascii="Noto Sans CJK SC" w:hAnsi="Noto Sans CJK SC" w:eastAsia="Noto Sans CJK SC"/>
          <w:b w:val="0"/>
          <w:color w:val="1F2937"/>
        </w:rPr>
      </w:r>
    </w:p>
    <w:p>
      <w:pPr>
        <w:spacing w:after="100" w:line="288" w:lineRule="auto"/>
      </w:pPr>
      <w:r>
        <w:rPr>
          <w:rFonts w:ascii="Noto Sans CJK SC" w:hAnsi="Noto Sans CJK SC" w:eastAsia="Noto Sans CJK SC"/>
          <w:b w:val="0"/>
          <w:color w:val="5B6573"/>
        </w:rPr>
        <w:t>CDU/Manifold/浸没箱体能力已确认 → 客户未知 → 订单未知 → 交付未知 → 主题财务未知</w:t>
      </w:r>
    </w:p>
    <w:p>
      <w:pPr>
        <w:spacing w:after="100" w:line="288" w:lineRule="auto"/>
      </w:pPr>
      <w:r>
        <w:rPr>
          <w:rFonts w:ascii="Noto Sans CJK SC" w:hAnsi="Noto Sans CJK SC" w:eastAsia="Noto Sans CJK SC"/>
          <w:b/>
          <w:color w:val="17365D"/>
        </w:rPr>
        <w:t>可进入C的事实：</w:t>
      </w:r>
      <w:r>
        <w:rPr>
          <w:rFonts w:ascii="Noto Sans CJK SC" w:hAnsi="Noto Sans CJK SC" w:eastAsia="Noto Sans CJK SC"/>
          <w:b w:val="0"/>
          <w:color w:val="1F2937"/>
        </w:rPr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color w:val="1F2937"/>
        </w:rPr>
        <w:t>CDU、Manifold、浸没箱体等产品能力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color w:val="1F2937"/>
        </w:rPr>
        <w:t>潜在供给、竞争者和未来关系升级背景</w:t>
      </w:r>
    </w:p>
    <w:p>
      <w:pPr>
        <w:spacing w:after="100" w:line="288" w:lineRule="auto"/>
      </w:pPr>
      <w:r>
        <w:rPr>
          <w:rFonts w:ascii="Noto Sans CJK SC" w:hAnsi="Noto Sans CJK SC" w:eastAsia="Noto Sans CJK SC"/>
          <w:b/>
          <w:color w:val="17365D"/>
        </w:rPr>
        <w:t>仍然未知：</w:t>
      </w:r>
      <w:r>
        <w:rPr>
          <w:rFonts w:ascii="Noto Sans CJK SC" w:hAnsi="Noto Sans CJK SC" w:eastAsia="Noto Sans CJK SC"/>
          <w:b w:val="0"/>
          <w:color w:val="1F2937"/>
        </w:rPr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color w:val="1F2937"/>
        </w:rPr>
        <w:t>客户、订单、交付、重复采购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color w:val="1F2937"/>
        </w:rPr>
        <w:t>液冷主题收入、利润和现金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73"/>
        <w:gridCol w:w="1673"/>
        <w:gridCol w:w="1673"/>
        <w:gridCol w:w="1673"/>
        <w:gridCol w:w="1673"/>
        <w:gridCol w:w="1673"/>
      </w:tblGrid>
      <w:tr>
        <w:trPr>
          <w:cantSplit/>
          <w:tblHeader w:val="true"/>
        </w:trPr>
        <w:tc>
          <w:tcPr>
            <w:tcW w:type="dxa" w:w="16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17365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可比期</w:t>
            </w:r>
          </w:p>
        </w:tc>
        <w:tc>
          <w:tcPr>
            <w:tcW w:type="dxa" w:w="16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17365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收入同比</w:t>
            </w:r>
          </w:p>
        </w:tc>
        <w:tc>
          <w:tcPr>
            <w:tcW w:type="dxa" w:w="16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17365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归母利润</w:t>
            </w:r>
          </w:p>
        </w:tc>
        <w:tc>
          <w:tcPr>
            <w:tcW w:type="dxa" w:w="16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17365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毛利率变化</w:t>
            </w:r>
          </w:p>
        </w:tc>
        <w:tc>
          <w:tcPr>
            <w:tcW w:type="dxa" w:w="16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17365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经营现金流</w:t>
            </w:r>
          </w:p>
        </w:tc>
        <w:tc>
          <w:tcPr>
            <w:tcW w:type="dxa" w:w="16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17365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市场事实</w:t>
            </w:r>
          </w:p>
        </w:tc>
      </w:tr>
      <w:tr>
        <w:trPr>
          <w:cantSplit/>
        </w:trPr>
        <w:tc>
          <w:tcPr>
            <w:tcW w:type="dxa" w:w="16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2026Q1</w:t>
            </w:r>
          </w:p>
        </w:tc>
        <w:tc>
          <w:tcPr>
            <w:tcW w:type="dxa" w:w="16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21.80%</w:t>
            </w:r>
          </w:p>
        </w:tc>
        <w:tc>
          <w:tcPr>
            <w:tcW w:type="dxa" w:w="16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-3.44%</w:t>
            </w:r>
          </w:p>
        </w:tc>
        <w:tc>
          <w:tcPr>
            <w:tcW w:type="dxa" w:w="16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-2.66个百分点</w:t>
            </w:r>
          </w:p>
        </w:tc>
        <w:tc>
          <w:tcPr>
            <w:tcW w:type="dxa" w:w="16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1.43亿元</w:t>
            </w:r>
          </w:p>
        </w:tc>
        <w:tc>
          <w:tcPr>
            <w:tcW w:type="dxa" w:w="16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市值156.03亿元；PE 62.22；20日41.95%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cantSplit/>
          <w:tblHeader w:val="true"/>
        </w:trPr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17365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情景</w:t>
            </w:r>
          </w:p>
        </w:tc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17365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本轮定义</w:t>
            </w:r>
          </w:p>
        </w:tc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17365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是否填数</w:t>
            </w:r>
          </w:p>
        </w:tc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17365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升级所需证据</w:t>
            </w:r>
          </w:p>
        </w:tc>
      </w:tr>
      <w:tr>
        <w:trPr>
          <w:cantSplit/>
        </w:trPr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1F2937"/>
                <w:sz w:val="15"/>
              </w:rPr>
              <w:t>保守/事实下限</w:t>
            </w:r>
          </w:p>
        </w:tc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仅作为能力与潜在供给背景。</w:t>
            </w:r>
          </w:p>
        </w:tc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否；缺失返回空值（null）</w:t>
            </w:r>
          </w:p>
        </w:tc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无</w:t>
            </w:r>
          </w:p>
        </w:tc>
      </w:tr>
      <w:tr>
        <w:trPr>
          <w:cantSplit/>
        </w:trPr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1F2937"/>
                <w:sz w:val="15"/>
              </w:rPr>
              <w:t>基准/正常兑现</w:t>
            </w:r>
          </w:p>
        </w:tc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正式客户/订单/交付出现后才重新进入关系验收。</w:t>
            </w:r>
          </w:p>
        </w:tc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否；缺失返回空值（null）</w:t>
            </w:r>
          </w:p>
        </w:tc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正式客户或订单；正式交付或独立业务分项</w:t>
            </w:r>
          </w:p>
        </w:tc>
      </w:tr>
      <w:tr>
        <w:trPr>
          <w:cantSplit/>
        </w:trPr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1F2937"/>
                <w:sz w:val="15"/>
              </w:rPr>
              <w:t>乐观/新增触发</w:t>
            </w:r>
          </w:p>
        </w:tc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不在本轮建立。</w:t>
            </w:r>
          </w:p>
        </w:tc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否；缺失返回空值（null）</w:t>
            </w:r>
          </w:p>
        </w:tc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无</w:t>
            </w:r>
          </w:p>
        </w:tc>
      </w:tr>
    </w:tbl>
    <w:p>
      <w:pPr>
        <w:spacing w:after="100" w:line="288" w:lineRule="auto"/>
      </w:pPr>
      <w:r>
        <w:rPr>
          <w:rFonts w:ascii="Noto Sans CJK SC" w:hAnsi="Noto Sans CJK SC" w:eastAsia="Noto Sans CJK SC"/>
          <w:b/>
          <w:color w:val="17365D"/>
        </w:rPr>
        <w:t>最强失效条件：</w:t>
      </w:r>
      <w:r>
        <w:rPr>
          <w:rFonts w:ascii="Noto Sans CJK SC" w:hAnsi="Noto Sans CJK SC" w:eastAsia="Noto Sans CJK SC"/>
          <w:b w:val="0"/>
          <w:color w:val="1F2937"/>
        </w:rPr>
        <w:t>继续只有产品展示或能力描述而没有商业关系。</w:t>
      </w:r>
    </w:p>
    <w:p>
      <w:pPr>
        <w:pStyle w:val="Heading1"/>
      </w:pPr>
      <w:r>
        <w:rPr>
          <w:rFonts w:ascii="Noto Sans CJK SC" w:hAnsi="Noto Sans CJK SC" w:eastAsia="Noto Sans CJK SC"/>
          <w:b/>
          <w:color w:val="17365D"/>
        </w:rPr>
        <w:t>6. 三情景不是三组随意数字</w:t>
      </w:r>
    </w:p>
    <w:p>
      <w:pPr>
        <w:spacing w:after="100" w:line="288" w:lineRule="auto"/>
      </w:pPr>
      <w:r>
        <w:rPr>
          <w:rFonts w:ascii="Noto Sans CJK SC" w:hAnsi="Noto Sans CJK SC" w:eastAsia="Noto Sans CJK SC"/>
          <w:b w:val="0"/>
          <w:color w:val="1F2937"/>
        </w:rPr>
        <w:t>本轮把三情景定义为“事实下限、正常兑现条件、新增触发条件”。对没有独立主题收入、订单、良率或项目验收数据的主体，C2应返回条件情景和缺失字段，而不是给出看似完整的财务预测。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cantSplit/>
          <w:tblHeader w:val="true"/>
        </w:trPr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17365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情景</w:t>
            </w:r>
          </w:p>
        </w:tc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17365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允许使用</w:t>
            </w:r>
          </w:p>
        </w:tc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17365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本轮实际做法</w:t>
            </w:r>
          </w:p>
        </w:tc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17365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禁止</w:t>
            </w:r>
          </w:p>
        </w:tc>
      </w:tr>
      <w:tr>
        <w:trPr>
          <w:cantSplit/>
        </w:trPr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6"/>
              </w:rPr>
            </w:r>
            <w:r>
              <w:rPr>
                <w:rFonts w:ascii="Noto Sans CJK SC" w:hAnsi="Noto Sans CJK SC" w:eastAsia="Noto Sans CJK SC"/>
                <w:b/>
                <w:color w:val="1F2937"/>
                <w:sz w:val="16"/>
              </w:rPr>
              <w:t>保守/事实下限</w:t>
            </w:r>
          </w:p>
        </w:tc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已实现值、已验收收入、正式披露下限</w:t>
            </w:r>
          </w:p>
        </w:tc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曙光数创只保留2026H1实际；其他主体保持当前证据层级</w:t>
            </w:r>
          </w:p>
        </w:tc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任意砍半；自动年化；把公司总数当主题数</w:t>
            </w:r>
          </w:p>
        </w:tc>
      </w:tr>
      <w:tr>
        <w:trPr>
          <w:cantSplit/>
        </w:trPr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6"/>
              </w:rPr>
            </w:r>
            <w:r>
              <w:rPr>
                <w:rFonts w:ascii="Noto Sans CJK SC" w:hAnsi="Noto Sans CJK SC" w:eastAsia="Noto Sans CJK SC"/>
                <w:b/>
                <w:color w:val="1F2937"/>
                <w:sz w:val="16"/>
              </w:rPr>
              <w:t>基准/正常兑现</w:t>
            </w:r>
          </w:p>
        </w:tc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当前订单、有效产能、历史可复算转化与正常交付</w:t>
            </w:r>
          </w:p>
        </w:tc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只列需要出现的订单、复购、验收、毛利与现金证据；无直接数值则null</w:t>
            </w:r>
          </w:p>
        </w:tc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把行业空间、市场目标或公司规划当基准</w:t>
            </w:r>
          </w:p>
        </w:tc>
      </w:tr>
      <w:tr>
        <w:trPr>
          <w:cantSplit/>
        </w:trPr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6"/>
              </w:rPr>
            </w:r>
            <w:r>
              <w:rPr>
                <w:rFonts w:ascii="Noto Sans CJK SC" w:hAnsi="Noto Sans CJK SC" w:eastAsia="Noto Sans CJK SC"/>
                <w:b/>
                <w:color w:val="1F2937"/>
                <w:sz w:val="16"/>
              </w:rPr>
              <w:t>乐观/新增触发</w:t>
            </w:r>
          </w:p>
        </w:tc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第二客户、份额、良率、价格或现金改善的明确触发</w:t>
            </w:r>
          </w:p>
        </w:tc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先列触发条件；触发和数值同时出现后才计算</w:t>
            </w:r>
          </w:p>
        </w:tc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先下结论再倒推销量、毛利或份额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EDF4FA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val="single" w:sz="8" w:color="17365D"/>
              <w:left w:val="single" w:sz="8" w:color="17365D"/>
              <w:bottom w:val="single" w:sz="8" w:color="17365D"/>
              <w:right w:val="single" w:sz="8" w:color="17365D"/>
            </w:tcBorders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17365D"/>
                <w:sz w:val="22"/>
              </w:rPr>
              <w:t>为什么本轮很多情景没有数字</w:t>
            </w:r>
          </w:p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9"/>
              </w:rPr>
              <w:t>V2要求每个关键假设绑定来源和时间。没有来源的数字只能写未知。这不是研究没有完成，而是避免把产业故事包装成精确预测。</w:t>
            </w:r>
          </w:p>
        </w:tc>
      </w:tr>
    </w:tbl>
    <w:p>
      <w:pPr>
        <w:pStyle w:val="Heading1"/>
      </w:pPr>
      <w:r>
        <w:rPr>
          <w:rFonts w:ascii="Noto Sans CJK SC" w:hAnsi="Noto Sans CJK SC" w:eastAsia="Noto Sans CJK SC"/>
          <w:b/>
          <w:color w:val="17365D"/>
        </w:rPr>
        <w:t>7. 持续性、替代和利润池迁移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cantSplit/>
          <w:tblHeader w:val="true"/>
        </w:trPr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17365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风险</w:t>
            </w:r>
          </w:p>
        </w:tc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17365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本轮已看到什么</w:t>
            </w:r>
          </w:p>
        </w:tc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17365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最可能影响谁</w:t>
            </w:r>
          </w:p>
        </w:tc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17365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C2/C3继续看什么</w:t>
            </w:r>
          </w:p>
        </w:tc>
      </w:tr>
      <w:tr>
        <w:trPr>
          <w:cantSplit/>
        </w:trPr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6"/>
              </w:rPr>
            </w:r>
            <w:r>
              <w:rPr>
                <w:rFonts w:ascii="Noto Sans CJK SC" w:hAnsi="Noto Sans CJK SC" w:eastAsia="Noto Sans CJK SC"/>
                <w:b/>
                <w:color w:val="1F2937"/>
                <w:sz w:val="16"/>
              </w:rPr>
              <w:t>同行扩产/新进入者</w:t>
            </w:r>
          </w:p>
        </w:tc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荣亿精密量产、同飞股份具备产品能力，说明供给并非静止</w:t>
            </w:r>
          </w:p>
        </w:tc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快接、CDU、系统集成商</w:t>
            </w:r>
          </w:p>
        </w:tc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有效产能、认证、良率、交期和价格，而非名义投资</w:t>
            </w:r>
          </w:p>
        </w:tc>
      </w:tr>
      <w:tr>
        <w:trPr>
          <w:cantSplit/>
        </w:trPr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6"/>
              </w:rPr>
            </w:r>
            <w:r>
              <w:rPr>
                <w:rFonts w:ascii="Noto Sans CJK SC" w:hAnsi="Noto Sans CJK SC" w:eastAsia="Noto Sans CJK SC"/>
                <w:b/>
                <w:color w:val="1F2937"/>
                <w:sz w:val="16"/>
              </w:rPr>
              <w:t>客户扶持二供</w:t>
            </w:r>
          </w:p>
        </w:tc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接口标准化和客户降低单一供应风险的动力仍在</w:t>
            </w:r>
          </w:p>
        </w:tc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快接、冷板、CDU</w:t>
            </w:r>
          </w:p>
        </w:tc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第二供应商认证、同规格价格与份额变化</w:t>
            </w:r>
          </w:p>
        </w:tc>
      </w:tr>
      <w:tr>
        <w:trPr>
          <w:cantSplit/>
        </w:trPr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6"/>
              </w:rPr>
            </w:r>
            <w:r>
              <w:rPr>
                <w:rFonts w:ascii="Noto Sans CJK SC" w:hAnsi="Noto Sans CJK SC" w:eastAsia="Noto Sans CJK SC"/>
                <w:b/>
                <w:color w:val="1F2937"/>
                <w:sz w:val="16"/>
              </w:rPr>
              <w:t>客户自制/平台内置</w:t>
            </w:r>
          </w:p>
        </w:tc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服务器/OEM可能自研冷板、歧管或控制，并把软件控制内置</w:t>
            </w:r>
          </w:p>
        </w:tc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部件商、独立控制软件</w:t>
            </w:r>
          </w:p>
        </w:tc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自制比例、指定供应、外包边界和议价权</w:t>
            </w:r>
          </w:p>
        </w:tc>
      </w:tr>
      <w:tr>
        <w:trPr>
          <w:cantSplit/>
        </w:trPr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6"/>
              </w:rPr>
            </w:r>
            <w:r>
              <w:rPr>
                <w:rFonts w:ascii="Noto Sans CJK SC" w:hAnsi="Noto Sans CJK SC" w:eastAsia="Noto Sans CJK SC"/>
                <w:b/>
                <w:color w:val="1F2937"/>
                <w:sz w:val="16"/>
              </w:rPr>
              <w:t>技术路线替代</w:t>
            </w:r>
          </w:p>
        </w:tc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冷板DTC、浸没、RDHx、液到气和风液混合长期共存</w:t>
            </w:r>
          </w:p>
        </w:tc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所有液冷节点</w:t>
            </w:r>
          </w:p>
        </w:tc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不同密度/改造场景的路线选择与切换成本</w:t>
            </w:r>
          </w:p>
        </w:tc>
      </w:tr>
      <w:tr>
        <w:trPr>
          <w:cantSplit/>
        </w:trPr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6"/>
              </w:rPr>
            </w:r>
            <w:r>
              <w:rPr>
                <w:rFonts w:ascii="Noto Sans CJK SC" w:hAnsi="Noto Sans CJK SC" w:eastAsia="Noto Sans CJK SC"/>
                <w:b/>
                <w:color w:val="1F2937"/>
                <w:sz w:val="16"/>
              </w:rPr>
              <w:t>标准化与接口开放</w:t>
            </w:r>
          </w:p>
        </w:tc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标准提高互换性，同时降低锁定</w:t>
            </w:r>
          </w:p>
        </w:tc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快接、歧管、CDU</w:t>
            </w:r>
          </w:p>
        </w:tc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认证周期缩短是否带来更多二供和降价</w:t>
            </w:r>
          </w:p>
        </w:tc>
      </w:tr>
      <w:tr>
        <w:trPr>
          <w:cantSplit/>
        </w:trPr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6"/>
              </w:rPr>
            </w:r>
            <w:r>
              <w:rPr>
                <w:rFonts w:ascii="Noto Sans CJK SC" w:hAnsi="Noto Sans CJK SC" w:eastAsia="Noto Sans CJK SC"/>
                <w:b/>
                <w:color w:val="1F2937"/>
                <w:sz w:val="16"/>
              </w:rPr>
              <w:t>利润池迁移</w:t>
            </w:r>
          </w:p>
        </w:tc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系统收入可能大但工程垫资重；核心部件可能被标准化；价值也可能流向集成、运维或客户</w:t>
            </w:r>
          </w:p>
        </w:tc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部件、系统、工程、运维</w:t>
            </w:r>
          </w:p>
        </w:tc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毛利、验收、售后、现金和客户掌控度</w:t>
            </w:r>
          </w:p>
        </w:tc>
      </w:tr>
    </w:tbl>
    <w:p>
      <w:pPr>
        <w:pStyle w:val="Heading1"/>
      </w:pPr>
      <w:r>
        <w:rPr>
          <w:rFonts w:ascii="Noto Sans CJK SC" w:hAnsi="Noto Sans CJK SC" w:eastAsia="Noto Sans CJK SC"/>
          <w:b/>
          <w:color w:val="17365D"/>
        </w:rPr>
        <w:t>8. 财务质量：公司账本能说明什么，不能说明什么</w:t>
      </w:r>
    </w:p>
    <w:p>
      <w:pPr>
        <w:spacing w:after="100" w:line="288" w:lineRule="auto"/>
      </w:pPr>
      <w:r>
        <w:rPr>
          <w:rFonts w:ascii="Noto Sans CJK SC" w:hAnsi="Noto Sans CJK SC" w:eastAsia="Noto Sans CJK SC"/>
          <w:b w:val="0"/>
          <w:color w:val="1F2937"/>
        </w:rPr>
        <w:t>B2已经给出公司级收入、利润、毛利、现金、应收、存货和资本开支。C1允许用这些数字判断公司整体质量和风险，但除曙光数创直接产品分项外，不能把它们命名为液冷主题财务。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7"/>
        <w:gridCol w:w="2007"/>
        <w:gridCol w:w="2007"/>
        <w:gridCol w:w="2007"/>
        <w:gridCol w:w="2007"/>
      </w:tblGrid>
      <w:tr>
        <w:trPr>
          <w:cantSplit/>
          <w:tblHeader w:val="true"/>
        </w:trPr>
        <w:tc>
          <w:tcPr>
            <w:tcW w:type="dxa" w:w="20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17365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主体</w:t>
            </w:r>
          </w:p>
        </w:tc>
        <w:tc>
          <w:tcPr>
            <w:tcW w:type="dxa" w:w="20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17365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公司级正面</w:t>
            </w:r>
          </w:p>
        </w:tc>
        <w:tc>
          <w:tcPr>
            <w:tcW w:type="dxa" w:w="20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17365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公司级压力</w:t>
            </w:r>
          </w:p>
        </w:tc>
        <w:tc>
          <w:tcPr>
            <w:tcW w:type="dxa" w:w="20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17365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主题财务</w:t>
            </w:r>
          </w:p>
        </w:tc>
        <w:tc>
          <w:tcPr>
            <w:tcW w:type="dxa" w:w="20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17365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C1判断</w:t>
            </w:r>
          </w:p>
        </w:tc>
      </w:tr>
      <w:tr>
        <w:trPr>
          <w:cantSplit/>
        </w:trPr>
        <w:tc>
          <w:tcPr>
            <w:tcW w:type="dxa" w:w="20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1F2937"/>
                <w:sz w:val="15"/>
              </w:rPr>
              <w:t>英维克</w:t>
            </w:r>
          </w:p>
        </w:tc>
        <w:tc>
          <w:tcPr>
            <w:tcW w:type="dxa" w:w="20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收入增长17.24%，CFO为正</w:t>
            </w:r>
          </w:p>
        </w:tc>
        <w:tc>
          <w:tcPr>
            <w:tcW w:type="dxa" w:w="20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归母利润下降14.32%，毛利率下降1.21pp</w:t>
            </w:r>
          </w:p>
        </w:tc>
        <w:tc>
          <w:tcPr>
            <w:tcW w:type="dxa" w:w="20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未知</w:t>
            </w:r>
          </w:p>
        </w:tc>
        <w:tc>
          <w:tcPr>
            <w:tcW w:type="dxa" w:w="20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公司增长未同步转成利润；不能归因于液冷</w:t>
            </w:r>
          </w:p>
        </w:tc>
      </w:tr>
      <w:tr>
        <w:trPr>
          <w:cantSplit/>
        </w:trPr>
        <w:tc>
          <w:tcPr>
            <w:tcW w:type="dxa" w:w="20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1F2937"/>
                <w:sz w:val="15"/>
              </w:rPr>
              <w:t>申菱环境</w:t>
            </w:r>
          </w:p>
        </w:tc>
        <w:tc>
          <w:tcPr>
            <w:tcW w:type="dxa" w:w="20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产品/板块订单背景</w:t>
            </w:r>
          </w:p>
        </w:tc>
        <w:tc>
          <w:tcPr>
            <w:tcW w:type="dxa" w:w="20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利润下降47.71%，CFO-1.93亿，应收/存货压力</w:t>
            </w:r>
          </w:p>
        </w:tc>
        <w:tc>
          <w:tcPr>
            <w:tcW w:type="dxa" w:w="20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未知</w:t>
            </w:r>
          </w:p>
        </w:tc>
        <w:tc>
          <w:tcPr>
            <w:tcW w:type="dxa" w:w="20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工程质量门未通过</w:t>
            </w:r>
          </w:p>
        </w:tc>
      </w:tr>
      <w:tr>
        <w:trPr>
          <w:cantSplit/>
        </w:trPr>
        <w:tc>
          <w:tcPr>
            <w:tcW w:type="dxa" w:w="20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1F2937"/>
                <w:sz w:val="15"/>
              </w:rPr>
              <w:t>曙光数创</w:t>
            </w:r>
          </w:p>
        </w:tc>
        <w:tc>
          <w:tcPr>
            <w:tcW w:type="dxa" w:w="20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直接产品收入占比高</w:t>
            </w:r>
          </w:p>
        </w:tc>
        <w:tc>
          <w:tcPr>
            <w:tcW w:type="dxa" w:w="20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毛利率下降7.56pp，库存异常，CFO-2.42亿</w:t>
            </w:r>
          </w:p>
        </w:tc>
        <w:tc>
          <w:tcPr>
            <w:tcW w:type="dxa" w:w="20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收入/毛利部分可算</w:t>
            </w:r>
          </w:p>
        </w:tc>
        <w:tc>
          <w:tcPr>
            <w:tcW w:type="dxa" w:w="20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G4重要性可研究，G5现金质量未通过</w:t>
            </w:r>
          </w:p>
        </w:tc>
      </w:tr>
      <w:tr>
        <w:trPr>
          <w:cantSplit/>
        </w:trPr>
        <w:tc>
          <w:tcPr>
            <w:tcW w:type="dxa" w:w="20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1F2937"/>
                <w:sz w:val="15"/>
              </w:rPr>
              <w:t>飞荣达</w:t>
            </w:r>
          </w:p>
        </w:tc>
        <w:tc>
          <w:tcPr>
            <w:tcW w:type="dxa" w:w="20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收入/利润增长</w:t>
            </w:r>
          </w:p>
        </w:tc>
        <w:tc>
          <w:tcPr>
            <w:tcW w:type="dxa" w:w="20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CFO-0.24亿，多场景混合</w:t>
            </w:r>
          </w:p>
        </w:tc>
        <w:tc>
          <w:tcPr>
            <w:tcW w:type="dxa" w:w="20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未知</w:t>
            </w:r>
          </w:p>
        </w:tc>
        <w:tc>
          <w:tcPr>
            <w:tcW w:type="dxa" w:w="20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需证明增长来自目标液冷并转成现金</w:t>
            </w:r>
          </w:p>
        </w:tc>
      </w:tr>
      <w:tr>
        <w:trPr>
          <w:cantSplit/>
        </w:trPr>
        <w:tc>
          <w:tcPr>
            <w:tcW w:type="dxa" w:w="20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1F2937"/>
                <w:sz w:val="15"/>
              </w:rPr>
              <w:t>佳力图</w:t>
            </w:r>
          </w:p>
        </w:tc>
        <w:tc>
          <w:tcPr>
            <w:tcW w:type="dxa" w:w="20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设施侧关系和批量CDU</w:t>
            </w:r>
          </w:p>
        </w:tc>
        <w:tc>
          <w:tcPr>
            <w:tcW w:type="dxa" w:w="20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亏损扩大、毛利率下降7.91pp、CFO-0.40亿</w:t>
            </w:r>
          </w:p>
        </w:tc>
        <w:tc>
          <w:tcPr>
            <w:tcW w:type="dxa" w:w="20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未知</w:t>
            </w:r>
          </w:p>
        </w:tc>
        <w:tc>
          <w:tcPr>
            <w:tcW w:type="dxa" w:w="20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只能受限观察</w:t>
            </w:r>
          </w:p>
        </w:tc>
      </w:tr>
      <w:tr>
        <w:trPr>
          <w:cantSplit/>
        </w:trPr>
        <w:tc>
          <w:tcPr>
            <w:tcW w:type="dxa" w:w="20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1F2937"/>
                <w:sz w:val="15"/>
              </w:rPr>
              <w:t>高澜股份</w:t>
            </w:r>
          </w:p>
        </w:tc>
        <w:tc>
          <w:tcPr>
            <w:tcW w:type="dxa" w:w="20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项目关系成立、利润增长</w:t>
            </w:r>
          </w:p>
        </w:tc>
        <w:tc>
          <w:tcPr>
            <w:tcW w:type="dxa" w:w="20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CFO-1.12亿，应收/存货压力，场景混合</w:t>
            </w:r>
          </w:p>
        </w:tc>
        <w:tc>
          <w:tcPr>
            <w:tcW w:type="dxa" w:w="20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未知</w:t>
            </w:r>
          </w:p>
        </w:tc>
        <w:tc>
          <w:tcPr>
            <w:tcW w:type="dxa" w:w="20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项目验收和回款是硬门</w:t>
            </w:r>
          </w:p>
        </w:tc>
      </w:tr>
      <w:tr>
        <w:trPr>
          <w:cantSplit/>
        </w:trPr>
        <w:tc>
          <w:tcPr>
            <w:tcW w:type="dxa" w:w="20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1F2937"/>
                <w:sz w:val="15"/>
              </w:rPr>
              <w:t>荣亿精密</w:t>
            </w:r>
          </w:p>
        </w:tc>
        <w:tc>
          <w:tcPr>
            <w:tcW w:type="dxa" w:w="20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量产与客户关系成立</w:t>
            </w:r>
          </w:p>
        </w:tc>
        <w:tc>
          <w:tcPr>
            <w:tcW w:type="dxa" w:w="20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仍亏损、CFO-0.36亿、毛利下降3.68pp</w:t>
            </w:r>
          </w:p>
        </w:tc>
        <w:tc>
          <w:tcPr>
            <w:tcW w:type="dxa" w:w="20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未知</w:t>
            </w:r>
          </w:p>
        </w:tc>
        <w:tc>
          <w:tcPr>
            <w:tcW w:type="dxa" w:w="20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新进入者成立，利润重要性未证</w:t>
            </w:r>
          </w:p>
        </w:tc>
      </w:tr>
      <w:tr>
        <w:trPr>
          <w:cantSplit/>
        </w:trPr>
        <w:tc>
          <w:tcPr>
            <w:tcW w:type="dxa" w:w="20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1F2937"/>
                <w:sz w:val="15"/>
              </w:rPr>
              <w:t>同飞股份</w:t>
            </w:r>
          </w:p>
        </w:tc>
        <w:tc>
          <w:tcPr>
            <w:tcW w:type="dxa" w:w="20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公司收入增长、CFO为正</w:t>
            </w:r>
          </w:p>
        </w:tc>
        <w:tc>
          <w:tcPr>
            <w:tcW w:type="dxa" w:w="20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关系硬门未过</w:t>
            </w:r>
          </w:p>
        </w:tc>
        <w:tc>
          <w:tcPr>
            <w:tcW w:type="dxa" w:w="20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禁止计算</w:t>
            </w:r>
          </w:p>
        </w:tc>
        <w:tc>
          <w:tcPr>
            <w:tcW w:type="dxa" w:w="20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财务和股价不能补救关系缺失</w:t>
            </w:r>
          </w:p>
        </w:tc>
      </w:tr>
    </w:tbl>
    <w:p>
      <w:pPr>
        <w:pStyle w:val="Heading1"/>
      </w:pPr>
      <w:r>
        <w:rPr>
          <w:rFonts w:ascii="Noto Sans CJK SC" w:hAnsi="Noto Sans CJK SC" w:eastAsia="Noto Sans CJK SC"/>
          <w:b/>
          <w:color w:val="17365D"/>
        </w:rPr>
        <w:t>9. 价格与预期：C1只定义反向问题</w:t>
      </w:r>
    </w:p>
    <w:p>
      <w:pPr>
        <w:spacing w:after="100" w:line="288" w:lineRule="auto"/>
      </w:pPr>
      <w:r>
        <w:rPr>
          <w:rFonts w:ascii="Noto Sans CJK SC" w:hAnsi="Noto Sans CJK SC" w:eastAsia="Noto Sans CJK SC"/>
          <w:b w:val="0"/>
          <w:color w:val="1F2937"/>
        </w:rPr>
        <w:t>当前多家公司估值较高或20日涨幅较大，不能先假设“市场还没算完”。C2应从当前市值和公司自身实际260交易日市盈率/市销率（PE/PS）分布反推需要的收入或利润，而不是使用外部目标倍数。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73"/>
        <w:gridCol w:w="1673"/>
        <w:gridCol w:w="1673"/>
        <w:gridCol w:w="1673"/>
        <w:gridCol w:w="1673"/>
        <w:gridCol w:w="1673"/>
      </w:tblGrid>
      <w:tr>
        <w:trPr>
          <w:cantSplit/>
          <w:tblHeader w:val="true"/>
        </w:trPr>
        <w:tc>
          <w:tcPr>
            <w:tcW w:type="dxa" w:w="16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17365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主体</w:t>
            </w:r>
          </w:p>
        </w:tc>
        <w:tc>
          <w:tcPr>
            <w:tcW w:type="dxa" w:w="16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17365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市值</w:t>
            </w:r>
          </w:p>
        </w:tc>
        <w:tc>
          <w:tcPr>
            <w:tcW w:type="dxa" w:w="16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17365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滚动市盈率</w:t>
            </w:r>
          </w:p>
        </w:tc>
        <w:tc>
          <w:tcPr>
            <w:tcW w:type="dxa" w:w="16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17365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PB</w:t>
            </w:r>
          </w:p>
        </w:tc>
        <w:tc>
          <w:tcPr>
            <w:tcW w:type="dxa" w:w="16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17365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20日收益</w:t>
            </w:r>
          </w:p>
        </w:tc>
        <w:tc>
          <w:tcPr>
            <w:tcW w:type="dxa" w:w="16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17365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250日收益</w:t>
            </w:r>
          </w:p>
        </w:tc>
      </w:tr>
      <w:tr>
        <w:trPr>
          <w:cantSplit/>
        </w:trPr>
        <w:tc>
          <w:tcPr>
            <w:tcW w:type="dxa" w:w="16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1F2937"/>
                <w:sz w:val="15"/>
              </w:rPr>
              <w:t>英维克</w:t>
            </w:r>
          </w:p>
        </w:tc>
        <w:tc>
          <w:tcPr>
            <w:tcW w:type="dxa" w:w="16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842.52亿元</w:t>
            </w:r>
          </w:p>
        </w:tc>
        <w:tc>
          <w:tcPr>
            <w:tcW w:type="dxa" w:w="16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171.58</w:t>
            </w:r>
          </w:p>
        </w:tc>
        <w:tc>
          <w:tcPr>
            <w:tcW w:type="dxa" w:w="16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23.50</w:t>
            </w:r>
          </w:p>
        </w:tc>
        <w:tc>
          <w:tcPr>
            <w:tcW w:type="dxa" w:w="16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39.92%</w:t>
            </w:r>
          </w:p>
        </w:tc>
        <w:tc>
          <w:tcPr>
            <w:tcW w:type="dxa" w:w="16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34.63%</w:t>
            </w:r>
          </w:p>
        </w:tc>
      </w:tr>
      <w:tr>
        <w:trPr>
          <w:cantSplit/>
        </w:trPr>
        <w:tc>
          <w:tcPr>
            <w:tcW w:type="dxa" w:w="16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1F2937"/>
                <w:sz w:val="15"/>
              </w:rPr>
              <w:t>申菱环境</w:t>
            </w:r>
          </w:p>
        </w:tc>
        <w:tc>
          <w:tcPr>
            <w:tcW w:type="dxa" w:w="16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403.77亿元</w:t>
            </w:r>
          </w:p>
        </w:tc>
        <w:tc>
          <w:tcPr>
            <w:tcW w:type="dxa" w:w="16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211.46</w:t>
            </w:r>
          </w:p>
        </w:tc>
        <w:tc>
          <w:tcPr>
            <w:tcW w:type="dxa" w:w="16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14.63</w:t>
            </w:r>
          </w:p>
        </w:tc>
        <w:tc>
          <w:tcPr>
            <w:tcW w:type="dxa" w:w="16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59.23%</w:t>
            </w:r>
          </w:p>
        </w:tc>
        <w:tc>
          <w:tcPr>
            <w:tcW w:type="dxa" w:w="16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136.03%</w:t>
            </w:r>
          </w:p>
        </w:tc>
      </w:tr>
      <w:tr>
        <w:trPr>
          <w:cantSplit/>
        </w:trPr>
        <w:tc>
          <w:tcPr>
            <w:tcW w:type="dxa" w:w="16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1F2937"/>
                <w:sz w:val="15"/>
              </w:rPr>
              <w:t>曙光数创</w:t>
            </w:r>
          </w:p>
        </w:tc>
        <w:tc>
          <w:tcPr>
            <w:tcW w:type="dxa" w:w="16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115.92亿元</w:t>
            </w:r>
          </w:p>
        </w:tc>
        <w:tc>
          <w:tcPr>
            <w:tcW w:type="dxa" w:w="16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2717.37</w:t>
            </w:r>
          </w:p>
        </w:tc>
        <w:tc>
          <w:tcPr>
            <w:tcW w:type="dxa" w:w="16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17.07</w:t>
            </w:r>
          </w:p>
        </w:tc>
        <w:tc>
          <w:tcPr>
            <w:tcW w:type="dxa" w:w="16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6.00%</w:t>
            </w:r>
          </w:p>
        </w:tc>
        <w:tc>
          <w:tcPr>
            <w:tcW w:type="dxa" w:w="16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-23.93%</w:t>
            </w:r>
          </w:p>
        </w:tc>
      </w:tr>
      <w:tr>
        <w:trPr>
          <w:cantSplit/>
        </w:trPr>
        <w:tc>
          <w:tcPr>
            <w:tcW w:type="dxa" w:w="16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1F2937"/>
                <w:sz w:val="15"/>
              </w:rPr>
              <w:t>飞荣达</w:t>
            </w:r>
          </w:p>
        </w:tc>
        <w:tc>
          <w:tcPr>
            <w:tcW w:type="dxa" w:w="16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261.26亿元</w:t>
            </w:r>
          </w:p>
        </w:tc>
        <w:tc>
          <w:tcPr>
            <w:tcW w:type="dxa" w:w="16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57.92</w:t>
            </w:r>
          </w:p>
        </w:tc>
        <w:tc>
          <w:tcPr>
            <w:tcW w:type="dxa" w:w="16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6.03</w:t>
            </w:r>
          </w:p>
        </w:tc>
        <w:tc>
          <w:tcPr>
            <w:tcW w:type="dxa" w:w="16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44.36%</w:t>
            </w:r>
          </w:p>
        </w:tc>
        <w:tc>
          <w:tcPr>
            <w:tcW w:type="dxa" w:w="16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48.39%</w:t>
            </w:r>
          </w:p>
        </w:tc>
      </w:tr>
      <w:tr>
        <w:trPr>
          <w:cantSplit/>
        </w:trPr>
        <w:tc>
          <w:tcPr>
            <w:tcW w:type="dxa" w:w="16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1F2937"/>
                <w:sz w:val="15"/>
              </w:rPr>
              <w:t>佳力图</w:t>
            </w:r>
          </w:p>
        </w:tc>
        <w:tc>
          <w:tcPr>
            <w:tcW w:type="dxa" w:w="16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48.81亿元</w:t>
            </w:r>
          </w:p>
        </w:tc>
        <w:tc>
          <w:tcPr>
            <w:tcW w:type="dxa" w:w="16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—</w:t>
            </w:r>
          </w:p>
        </w:tc>
        <w:tc>
          <w:tcPr>
            <w:tcW w:type="dxa" w:w="16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2.92</w:t>
            </w:r>
          </w:p>
        </w:tc>
        <w:tc>
          <w:tcPr>
            <w:tcW w:type="dxa" w:w="16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32.16%</w:t>
            </w:r>
          </w:p>
        </w:tc>
        <w:tc>
          <w:tcPr>
            <w:tcW w:type="dxa" w:w="16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-16.51%</w:t>
            </w:r>
          </w:p>
        </w:tc>
      </w:tr>
      <w:tr>
        <w:trPr>
          <w:cantSplit/>
        </w:trPr>
        <w:tc>
          <w:tcPr>
            <w:tcW w:type="dxa" w:w="16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1F2937"/>
                <w:sz w:val="15"/>
              </w:rPr>
              <w:t>高澜股份</w:t>
            </w:r>
          </w:p>
        </w:tc>
        <w:tc>
          <w:tcPr>
            <w:tcW w:type="dxa" w:w="16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96.15亿元</w:t>
            </w:r>
          </w:p>
        </w:tc>
        <w:tc>
          <w:tcPr>
            <w:tcW w:type="dxa" w:w="16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308.34</w:t>
            </w:r>
          </w:p>
        </w:tc>
        <w:tc>
          <w:tcPr>
            <w:tcW w:type="dxa" w:w="16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6.95</w:t>
            </w:r>
          </w:p>
        </w:tc>
        <w:tc>
          <w:tcPr>
            <w:tcW w:type="dxa" w:w="16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32.35%</w:t>
            </w:r>
          </w:p>
        </w:tc>
        <w:tc>
          <w:tcPr>
            <w:tcW w:type="dxa" w:w="16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22.42%</w:t>
            </w:r>
          </w:p>
        </w:tc>
      </w:tr>
      <w:tr>
        <w:trPr>
          <w:cantSplit/>
        </w:trPr>
        <w:tc>
          <w:tcPr>
            <w:tcW w:type="dxa" w:w="16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1F2937"/>
                <w:sz w:val="15"/>
              </w:rPr>
              <w:t>荣亿精密</w:t>
            </w:r>
          </w:p>
        </w:tc>
        <w:tc>
          <w:tcPr>
            <w:tcW w:type="dxa" w:w="16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16.96亿元</w:t>
            </w:r>
          </w:p>
        </w:tc>
        <w:tc>
          <w:tcPr>
            <w:tcW w:type="dxa" w:w="16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—</w:t>
            </w:r>
          </w:p>
        </w:tc>
        <w:tc>
          <w:tcPr>
            <w:tcW w:type="dxa" w:w="16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7.33</w:t>
            </w:r>
          </w:p>
        </w:tc>
        <w:tc>
          <w:tcPr>
            <w:tcW w:type="dxa" w:w="16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-0.92%</w:t>
            </w:r>
          </w:p>
        </w:tc>
        <w:tc>
          <w:tcPr>
            <w:tcW w:type="dxa" w:w="16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-8.88%</w:t>
            </w:r>
          </w:p>
        </w:tc>
      </w:tr>
      <w:tr>
        <w:trPr>
          <w:cantSplit/>
        </w:trPr>
        <w:tc>
          <w:tcPr>
            <w:tcW w:type="dxa" w:w="16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1F2937"/>
                <w:sz w:val="15"/>
              </w:rPr>
              <w:t>同飞股份</w:t>
            </w:r>
          </w:p>
        </w:tc>
        <w:tc>
          <w:tcPr>
            <w:tcW w:type="dxa" w:w="16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156.03亿元</w:t>
            </w:r>
          </w:p>
        </w:tc>
        <w:tc>
          <w:tcPr>
            <w:tcW w:type="dxa" w:w="16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62.22</w:t>
            </w:r>
          </w:p>
        </w:tc>
        <w:tc>
          <w:tcPr>
            <w:tcW w:type="dxa" w:w="16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7.28</w:t>
            </w:r>
          </w:p>
        </w:tc>
        <w:tc>
          <w:tcPr>
            <w:tcW w:type="dxa" w:w="16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41.95%</w:t>
            </w:r>
          </w:p>
        </w:tc>
        <w:tc>
          <w:tcPr>
            <w:tcW w:type="dxa" w:w="16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30.50%</w:t>
            </w:r>
          </w:p>
        </w:tc>
      </w:tr>
    </w:tbl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color w:val="1F2937"/>
        </w:rPr>
        <w:t>估值分位只覆盖实际260个交易日，不能称为长期历史公允区间。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color w:val="1F2937"/>
        </w:rPr>
        <w:t>相对收益只有相对沪深300，不能称为行业相对强弱。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color w:val="1F2937"/>
        </w:rPr>
        <w:t>PE无效或极端时，C2只做市销率/市净率（PS/PB）和经营要求的透明计算，不修饰成目标价。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color w:val="1F2937"/>
        </w:rPr>
        <w:t>中科曙光和同飞股份不进入液冷主题反向估值。</w:t>
      </w:r>
    </w:p>
    <w:p>
      <w:pPr>
        <w:pStyle w:val="Heading1"/>
      </w:pPr>
      <w:r>
        <w:rPr>
          <w:rFonts w:ascii="Noto Sans CJK SC" w:hAnsi="Noto Sans CJK SC" w:eastAsia="Noto Sans CJK SC"/>
          <w:b/>
          <w:color w:val="17365D"/>
        </w:rPr>
        <w:t>10. 交给Codex C2的确定性计算任务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cantSplit/>
          <w:tblHeader w:val="true"/>
        </w:trPr>
        <w:tc>
          <w:tcPr>
            <w:tcW w:type="dxa" w:w="33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17365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任务</w:t>
            </w:r>
          </w:p>
        </w:tc>
        <w:tc>
          <w:tcPr>
            <w:tcW w:type="dxa" w:w="33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17365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Codex要做什么</w:t>
            </w:r>
          </w:p>
        </w:tc>
        <w:tc>
          <w:tcPr>
            <w:tcW w:type="dxa" w:w="33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17365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停止线</w:t>
            </w:r>
          </w:p>
        </w:tc>
      </w:tr>
      <w:tr>
        <w:trPr>
          <w:cantSplit/>
        </w:trPr>
        <w:tc>
          <w:tcPr>
            <w:tcW w:type="dxa" w:w="33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6"/>
              </w:rPr>
            </w:r>
            <w:r>
              <w:rPr>
                <w:rFonts w:ascii="Noto Sans CJK SC" w:hAnsi="Noto Sans CJK SC" w:eastAsia="Noto Sans CJK SC"/>
                <w:b/>
                <w:color w:val="1F2937"/>
                <w:sz w:val="16"/>
              </w:rPr>
              <w:t>输入与冻结校验</w:t>
            </w:r>
          </w:p>
        </w:tc>
        <w:tc>
          <w:tcPr>
            <w:tcW w:type="dxa" w:w="33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校验9条记录、as_of、输入哈希；确认B2数值未被改写</w:t>
            </w:r>
          </w:p>
        </w:tc>
        <w:tc>
          <w:tcPr>
            <w:tcW w:type="dxa" w:w="33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任何不守恒立即停止</w:t>
            </w:r>
          </w:p>
        </w:tc>
      </w:tr>
      <w:tr>
        <w:trPr>
          <w:cantSplit/>
        </w:trPr>
        <w:tc>
          <w:tcPr>
            <w:tcW w:type="dxa" w:w="33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6"/>
              </w:rPr>
            </w:r>
            <w:r>
              <w:rPr>
                <w:rFonts w:ascii="Noto Sans CJK SC" w:hAnsi="Noto Sans CJK SC" w:eastAsia="Noto Sans CJK SC"/>
                <w:b/>
                <w:color w:val="1F2937"/>
                <w:sz w:val="16"/>
              </w:rPr>
              <w:t>公司级质量快照</w:t>
            </w:r>
          </w:p>
        </w:tc>
        <w:tc>
          <w:tcPr>
            <w:tcW w:type="dxa" w:w="33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原样提取公司级收入、利润、毛利、CFO、应收、存货、资本开支与预警</w:t>
            </w:r>
          </w:p>
        </w:tc>
        <w:tc>
          <w:tcPr>
            <w:tcW w:type="dxa" w:w="33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明确“公司整体数据，不是液冷主题数据”</w:t>
            </w:r>
          </w:p>
        </w:tc>
      </w:tr>
      <w:tr>
        <w:trPr>
          <w:cantSplit/>
        </w:trPr>
        <w:tc>
          <w:tcPr>
            <w:tcW w:type="dxa" w:w="33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6"/>
              </w:rPr>
            </w:r>
            <w:r>
              <w:rPr>
                <w:rFonts w:ascii="Noto Sans CJK SC" w:hAnsi="Noto Sans CJK SC" w:eastAsia="Noto Sans CJK SC"/>
                <w:b/>
                <w:color w:val="1F2937"/>
                <w:sz w:val="16"/>
              </w:rPr>
              <w:t>曙光数创直接主题事实</w:t>
            </w:r>
          </w:p>
        </w:tc>
        <w:tc>
          <w:tcPr>
            <w:tcW w:type="dxa" w:w="33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计算冷板/浸没实际收入、毛利、主题收入占比（TRS）、主题毛利占比（TGPS）和市场值诊断</w:t>
            </w:r>
          </w:p>
        </w:tc>
        <w:tc>
          <w:tcPr>
            <w:tcW w:type="dxa" w:w="33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不年化；净利润/现金仍null</w:t>
            </w:r>
          </w:p>
        </w:tc>
      </w:tr>
      <w:tr>
        <w:trPr>
          <w:cantSplit/>
        </w:trPr>
        <w:tc>
          <w:tcPr>
            <w:tcW w:type="dxa" w:w="33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6"/>
              </w:rPr>
            </w:r>
            <w:r>
              <w:rPr>
                <w:rFonts w:ascii="Noto Sans CJK SC" w:hAnsi="Noto Sans CJK SC" w:eastAsia="Noto Sans CJK SC"/>
                <w:b/>
                <w:color w:val="1F2937"/>
                <w:sz w:val="16"/>
              </w:rPr>
              <w:t>情景可计算性</w:t>
            </w:r>
          </w:p>
        </w:tc>
        <w:tc>
          <w:tcPr>
            <w:tcW w:type="dxa" w:w="33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逐实体/情景返回“可计算”“仅条件情景”或“不适用”</w:t>
            </w:r>
          </w:p>
        </w:tc>
        <w:tc>
          <w:tcPr>
            <w:tcW w:type="dxa" w:w="33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缺数据返回空值，并写明缺失原因</w:t>
            </w:r>
          </w:p>
        </w:tc>
      </w:tr>
      <w:tr>
        <w:trPr>
          <w:cantSplit/>
        </w:trPr>
        <w:tc>
          <w:tcPr>
            <w:tcW w:type="dxa" w:w="33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6"/>
              </w:rPr>
            </w:r>
            <w:r>
              <w:rPr>
                <w:rFonts w:ascii="Noto Sans CJK SC" w:hAnsi="Noto Sans CJK SC" w:eastAsia="Noto Sans CJK SC"/>
                <w:b/>
                <w:color w:val="1F2937"/>
                <w:sz w:val="16"/>
              </w:rPr>
              <w:t>260日反向经营要求</w:t>
            </w:r>
          </w:p>
        </w:tc>
        <w:tc>
          <w:tcPr>
            <w:tcW w:type="dxa" w:w="33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用自身260日市盈率/市销率（PE/PS）分位反推当前市值需要的TTM利润/收入</w:t>
            </w:r>
          </w:p>
        </w:tc>
        <w:tc>
          <w:tcPr>
            <w:tcW w:type="dxa" w:w="33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不是目标价，不引入外部倍数</w:t>
            </w:r>
          </w:p>
        </w:tc>
      </w:tr>
      <w:tr>
        <w:trPr>
          <w:cantSplit/>
        </w:trPr>
        <w:tc>
          <w:tcPr>
            <w:tcW w:type="dxa" w:w="33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6"/>
              </w:rPr>
            </w:r>
            <w:r>
              <w:rPr>
                <w:rFonts w:ascii="Noto Sans CJK SC" w:hAnsi="Noto Sans CJK SC" w:eastAsia="Noto Sans CJK SC"/>
                <w:b/>
                <w:color w:val="1F2937"/>
                <w:sz w:val="16"/>
              </w:rPr>
              <w:t>持续性字段</w:t>
            </w:r>
          </w:p>
        </w:tc>
        <w:tc>
          <w:tcPr>
            <w:tcW w:type="dxa" w:w="33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整理扩产、二供、自制、标准化、路线替代和利润池迁移的已有事实/未知</w:t>
            </w:r>
          </w:p>
        </w:tc>
        <w:tc>
          <w:tcPr>
            <w:tcW w:type="dxa" w:w="33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无同口径数据不计算份额总和</w:t>
            </w:r>
          </w:p>
        </w:tc>
      </w:tr>
    </w:tbl>
    <w:p>
      <w:pPr>
        <w:pStyle w:val="Heading1"/>
      </w:pPr>
      <w:r>
        <w:rPr>
          <w:rFonts w:ascii="Noto Sans CJK SC" w:hAnsi="Noto Sans CJK SC" w:eastAsia="Noto Sans CJK SC"/>
          <w:b/>
          <w:color w:val="17365D"/>
        </w:rPr>
        <w:t>11. C1的预审：目前各道门走到哪里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cantSplit/>
          <w:tblHeader w:val="true"/>
        </w:trPr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17365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门</w:t>
            </w:r>
          </w:p>
        </w:tc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17365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当前总体状态</w:t>
            </w:r>
          </w:p>
        </w:tc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17365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相对较强主体</w:t>
            </w:r>
          </w:p>
        </w:tc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17365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主要缺口</w:t>
            </w:r>
          </w:p>
        </w:tc>
      </w:tr>
      <w:tr>
        <w:trPr>
          <w:cantSplit/>
        </w:trPr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1F2937"/>
                <w:sz w:val="15"/>
              </w:rPr>
              <w:t>G1 产品匹配</w:t>
            </w:r>
          </w:p>
        </w:tc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多数通过，场景边界已明确</w:t>
            </w:r>
          </w:p>
        </w:tc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九条记录均有准确产品/角色；同飞只到能力</w:t>
            </w:r>
          </w:p>
        </w:tc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同名产品与目标场景仍需持续防混</w:t>
            </w:r>
          </w:p>
        </w:tc>
      </w:tr>
      <w:tr>
        <w:trPr>
          <w:cantSplit/>
        </w:trPr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1F2937"/>
                <w:sz w:val="15"/>
              </w:rPr>
              <w:t>G2 关系证据</w:t>
            </w:r>
          </w:p>
        </w:tc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7个经营主体通过或部分通过</w:t>
            </w:r>
          </w:p>
        </w:tc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曙光数创、飞荣达、佳力图、荣亿等</w:t>
            </w:r>
          </w:p>
        </w:tc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同飞未通过；部分主体客户/订单仍不具名</w:t>
            </w:r>
          </w:p>
        </w:tc>
      </w:tr>
      <w:tr>
        <w:trPr>
          <w:cantSplit/>
        </w:trPr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1F2937"/>
                <w:sz w:val="15"/>
              </w:rPr>
              <w:t>G3 生意成立</w:t>
            </w:r>
          </w:p>
        </w:tc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整体未完成</w:t>
            </w:r>
          </w:p>
        </w:tc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已有收入/批量交付/项目关系</w:t>
            </w:r>
          </w:p>
        </w:tc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重复订单、第二客户、跨项目复制普遍未知</w:t>
            </w:r>
          </w:p>
        </w:tc>
      </w:tr>
      <w:tr>
        <w:trPr>
          <w:cantSplit/>
        </w:trPr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1F2937"/>
                <w:sz w:val="15"/>
              </w:rPr>
              <w:t>G4 业绩重要</w:t>
            </w:r>
          </w:p>
        </w:tc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只有曙光数创可直接研究</w:t>
            </w:r>
          </w:p>
        </w:tc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曙光数创主题收入占比/主题毛利占比（TRS/TGPS）较高</w:t>
            </w:r>
          </w:p>
        </w:tc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其余主题收入、毛利和新增净利润未知</w:t>
            </w:r>
          </w:p>
        </w:tc>
      </w:tr>
      <w:tr>
        <w:trPr>
          <w:cantSplit/>
        </w:trPr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1F2937"/>
                <w:sz w:val="15"/>
              </w:rPr>
              <w:t>G5 质量成立</w:t>
            </w:r>
          </w:p>
        </w:tc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未完成</w:t>
            </w:r>
          </w:p>
        </w:tc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英维克CFO为正，但仍是公司级</w:t>
            </w:r>
          </w:p>
        </w:tc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多家公司存在利润—现金、应收、存货或毛利压力</w:t>
            </w:r>
          </w:p>
        </w:tc>
      </w:tr>
      <w:tr>
        <w:trPr>
          <w:cantSplit/>
        </w:trPr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1F2937"/>
                <w:sz w:val="15"/>
              </w:rPr>
              <w:t>G6 持续性</w:t>
            </w:r>
          </w:p>
        </w:tc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未知/混合</w:t>
            </w:r>
          </w:p>
        </w:tc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尚无长期垄断证明</w:t>
            </w:r>
          </w:p>
        </w:tc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扩产、二供、标准化、客户自制与路线替代</w:t>
            </w:r>
          </w:p>
        </w:tc>
      </w:tr>
      <w:tr>
        <w:trPr>
          <w:cantSplit/>
        </w:trPr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1F2937"/>
                <w:sz w:val="15"/>
              </w:rPr>
              <w:t>G7 预期差</w:t>
            </w:r>
          </w:p>
        </w:tc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待C2计算/C3判断</w:t>
            </w:r>
          </w:p>
        </w:tc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—</w:t>
            </w:r>
          </w:p>
        </w:tc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估值高、近期涨幅大；长期行业基准不足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FDECEC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val="single" w:sz="8" w:color="B42318"/>
              <w:left w:val="single" w:sz="8" w:color="B42318"/>
              <w:bottom w:val="single" w:sz="8" w:color="B42318"/>
              <w:right w:val="single" w:sz="8" w:color="B42318"/>
            </w:tcBorders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B42318"/>
                <w:sz w:val="22"/>
              </w:rPr>
              <w:t>C1当前不会给出“研究候选”</w:t>
            </w:r>
          </w:p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9"/>
              </w:rPr>
              <w:t>G3可重复生意、G5主题质量、G6持续性和G7预期差尚未全部通过。C2只负责把允许计算的事实算清，最终四类研究状态要到C3才形成。</w:t>
            </w:r>
          </w:p>
        </w:tc>
      </w:tr>
    </w:tbl>
    <w:p>
      <w:pPr>
        <w:pStyle w:val="Heading1"/>
      </w:pPr>
      <w:r>
        <w:rPr>
          <w:rFonts w:ascii="Noto Sans CJK SC" w:hAnsi="Noto Sans CJK SC" w:eastAsia="Noto Sans CJK SC"/>
          <w:b/>
          <w:color w:val="17365D"/>
        </w:rPr>
        <w:t>12. 用户审批清单</w:t>
      </w:r>
    </w:p>
    <w:p>
      <w:pPr>
        <w:spacing w:after="60"/>
      </w:pPr>
      <w:r>
        <w:rPr>
          <w:rFonts w:ascii="Noto Sans CJK SC" w:hAnsi="Noto Sans CJK SC" w:eastAsia="Noto Sans CJK SC"/>
          <w:b/>
          <w:color w:val="0E7C86"/>
        </w:rPr>
        <w:t xml:space="preserve">□ </w:t>
      </w:r>
      <w:r>
        <w:rPr>
          <w:rFonts w:ascii="Noto Sans CJK SC" w:hAnsi="Noto Sans CJK SC" w:eastAsia="Noto Sans CJK SC"/>
          <w:b w:val="0"/>
          <w:color w:val="1F2937"/>
        </w:rPr>
        <w:t>同意曙光数创是唯一直接主题数量起点，且不自动年化2026H1。</w:t>
      </w:r>
    </w:p>
    <w:p>
      <w:pPr>
        <w:spacing w:after="60"/>
      </w:pPr>
      <w:r>
        <w:rPr>
          <w:rFonts w:ascii="Noto Sans CJK SC" w:hAnsi="Noto Sans CJK SC" w:eastAsia="Noto Sans CJK SC"/>
          <w:b/>
          <w:color w:val="0E7C86"/>
        </w:rPr>
        <w:t xml:space="preserve">□ </w:t>
      </w:r>
      <w:r>
        <w:rPr>
          <w:rFonts w:ascii="Noto Sans CJK SC" w:hAnsi="Noto Sans CJK SC" w:eastAsia="Noto Sans CJK SC"/>
          <w:b w:val="0"/>
          <w:color w:val="1F2937"/>
        </w:rPr>
        <w:t>同意其他经营主体以条件情景为主，缺乏直接数据时C2返回空值（null）。</w:t>
      </w:r>
    </w:p>
    <w:p>
      <w:pPr>
        <w:spacing w:after="60"/>
      </w:pPr>
      <w:r>
        <w:rPr>
          <w:rFonts w:ascii="Noto Sans CJK SC" w:hAnsi="Noto Sans CJK SC" w:eastAsia="Noto Sans CJK SC"/>
          <w:b/>
          <w:color w:val="0E7C86"/>
        </w:rPr>
        <w:t xml:space="preserve">□ </w:t>
      </w:r>
      <w:r>
        <w:rPr>
          <w:rFonts w:ascii="Noto Sans CJK SC" w:hAnsi="Noto Sans CJK SC" w:eastAsia="Noto Sans CJK SC"/>
          <w:b w:val="0"/>
          <w:color w:val="1F2937"/>
        </w:rPr>
        <w:t>同意中科曙光只作所有权背景、同飞股份只作能力/竞争背景。</w:t>
      </w:r>
    </w:p>
    <w:p>
      <w:pPr>
        <w:spacing w:after="60"/>
      </w:pPr>
      <w:r>
        <w:rPr>
          <w:rFonts w:ascii="Noto Sans CJK SC" w:hAnsi="Noto Sans CJK SC" w:eastAsia="Noto Sans CJK SC"/>
          <w:b/>
          <w:color w:val="0E7C86"/>
        </w:rPr>
        <w:t xml:space="preserve">□ </w:t>
      </w:r>
      <w:r>
        <w:rPr>
          <w:rFonts w:ascii="Noto Sans CJK SC" w:hAnsi="Noto Sans CJK SC" w:eastAsia="Noto Sans CJK SC"/>
          <w:b w:val="0"/>
          <w:color w:val="1F2937"/>
        </w:rPr>
        <w:t>同意反向估值只用公司自身实际260交易日市盈率/市销率（PE/PS）分布，不引入目标价或外部倍数。</w:t>
      </w:r>
    </w:p>
    <w:p>
      <w:pPr>
        <w:spacing w:after="60"/>
      </w:pPr>
      <w:r>
        <w:rPr>
          <w:rFonts w:ascii="Noto Sans CJK SC" w:hAnsi="Noto Sans CJK SC" w:eastAsia="Noto Sans CJK SC"/>
          <w:b/>
          <w:color w:val="0E7C86"/>
        </w:rPr>
        <w:t xml:space="preserve">□ </w:t>
      </w:r>
      <w:r>
        <w:rPr>
          <w:rFonts w:ascii="Noto Sans CJK SC" w:hAnsi="Noto Sans CJK SC" w:eastAsia="Noto Sans CJK SC"/>
          <w:b w:val="0"/>
          <w:color w:val="1F2937"/>
        </w:rPr>
        <w:t>同意C2不搜索新材料、不修改产业假设、不把公司总数当主题数。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E7F4F3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val="single" w:sz="8" w:color="0E7C86"/>
              <w:left w:val="single" w:sz="8" w:color="0E7C86"/>
              <w:bottom w:val="single" w:sz="8" w:color="0E7C86"/>
              <w:right w:val="single" w:sz="8" w:color="0E7C86"/>
            </w:tcBorders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0E7C86"/>
                <w:sz w:val="22"/>
              </w:rPr>
              <w:t>下一步只需一句话</w:t>
            </w:r>
          </w:p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9"/>
              </w:rPr>
              <w:t>没有修改意见时回复：同意按本草案计算。</w:t>
              <w:br/>
              <w:t>有修改意见时，只需指出哪家公司或哪条边界要调整；不需要编辑YAML。</w:t>
            </w:r>
          </w:p>
        </w:tc>
      </w:tr>
    </w:tbl>
    <w:p>
      <w:pPr>
        <w:pStyle w:val="Heading1"/>
      </w:pPr>
      <w:r>
        <w:rPr>
          <w:rFonts w:ascii="Noto Sans CJK SC" w:hAnsi="Noto Sans CJK SC" w:eastAsia="Noto Sans CJK SC"/>
          <w:b/>
          <w:color w:val="17365D"/>
        </w:rPr>
        <w:t>附录A：C2输出应如何理解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cantSplit/>
          <w:tblHeader w:val="true"/>
        </w:trPr>
        <w:tc>
          <w:tcPr>
            <w:tcW w:type="dxa" w:w="33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17365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C2字段</w:t>
            </w:r>
          </w:p>
        </w:tc>
        <w:tc>
          <w:tcPr>
            <w:tcW w:type="dxa" w:w="33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17365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含义</w:t>
            </w:r>
          </w:p>
        </w:tc>
        <w:tc>
          <w:tcPr>
            <w:tcW w:type="dxa" w:w="33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17365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不能理解成</w:t>
            </w:r>
          </w:p>
        </w:tc>
      </w:tr>
      <w:tr>
        <w:trPr>
          <w:cantSplit/>
        </w:trPr>
        <w:tc>
          <w:tcPr>
            <w:tcW w:type="dxa" w:w="33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6"/>
              </w:rPr>
            </w:r>
            <w:r>
              <w:rPr>
                <w:rFonts w:ascii="Noto Sans CJK SC" w:hAnsi="Noto Sans CJK SC" w:eastAsia="Noto Sans CJK SC"/>
                <w:b/>
                <w:color w:val="1F2937"/>
                <w:sz w:val="16"/>
              </w:rPr>
              <w:t>可计算（calculable）</w:t>
            </w:r>
          </w:p>
        </w:tc>
        <w:tc>
          <w:tcPr>
            <w:tcW w:type="dxa" w:w="33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本轮合同所需输入完整，可按公式机械计算</w:t>
            </w:r>
          </w:p>
        </w:tc>
        <w:tc>
          <w:tcPr>
            <w:tcW w:type="dxa" w:w="33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结论一定正确或值得买</w:t>
            </w:r>
          </w:p>
        </w:tc>
      </w:tr>
      <w:tr>
        <w:trPr>
          <w:cantSplit/>
        </w:trPr>
        <w:tc>
          <w:tcPr>
            <w:tcW w:type="dxa" w:w="33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6"/>
              </w:rPr>
            </w:r>
            <w:r>
              <w:rPr>
                <w:rFonts w:ascii="Noto Sans CJK SC" w:hAnsi="Noto Sans CJK SC" w:eastAsia="Noto Sans CJK SC"/>
                <w:b/>
                <w:color w:val="1F2937"/>
                <w:sz w:val="16"/>
              </w:rPr>
              <w:t>仅条件情景（condition_only）</w:t>
            </w:r>
          </w:p>
        </w:tc>
        <w:tc>
          <w:tcPr>
            <w:tcW w:type="dxa" w:w="33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商业逻辑可写，但关键数值没有直接来源</w:t>
            </w:r>
          </w:p>
        </w:tc>
        <w:tc>
          <w:tcPr>
            <w:tcW w:type="dxa" w:w="33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可以由模型自由估算</w:t>
            </w:r>
          </w:p>
        </w:tc>
      </w:tr>
      <w:tr>
        <w:trPr>
          <w:cantSplit/>
        </w:trPr>
        <w:tc>
          <w:tcPr>
            <w:tcW w:type="dxa" w:w="33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6"/>
              </w:rPr>
            </w:r>
            <w:r>
              <w:rPr>
                <w:rFonts w:ascii="Noto Sans CJK SC" w:hAnsi="Noto Sans CJK SC" w:eastAsia="Noto Sans CJK SC"/>
                <w:b/>
                <w:color w:val="1F2937"/>
                <w:sz w:val="16"/>
              </w:rPr>
              <w:t>不适用（not_applicable）</w:t>
            </w:r>
          </w:p>
        </w:tc>
        <w:tc>
          <w:tcPr>
            <w:tcW w:type="dxa" w:w="33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该主体不适用本轮经营/估值情景</w:t>
            </w:r>
          </w:p>
        </w:tc>
        <w:tc>
          <w:tcPr>
            <w:tcW w:type="dxa" w:w="33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公司没有任何价值</w:t>
            </w:r>
          </w:p>
        </w:tc>
      </w:tr>
      <w:tr>
        <w:trPr>
          <w:cantSplit/>
        </w:trPr>
        <w:tc>
          <w:tcPr>
            <w:tcW w:type="dxa" w:w="33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6"/>
              </w:rPr>
            </w:r>
            <w:r>
              <w:rPr>
                <w:rFonts w:ascii="Noto Sans CJK SC" w:hAnsi="Noto Sans CJK SC" w:eastAsia="Noto Sans CJK SC"/>
                <w:b/>
                <w:color w:val="1F2937"/>
                <w:sz w:val="16"/>
              </w:rPr>
              <w:t>未知（unknown）</w:t>
            </w:r>
          </w:p>
        </w:tc>
        <w:tc>
          <w:tcPr>
            <w:tcW w:type="dxa" w:w="33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正式材料未披露或口径不匹配</w:t>
            </w:r>
          </w:p>
        </w:tc>
        <w:tc>
          <w:tcPr>
            <w:tcW w:type="dxa" w:w="33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等于0或不存在</w:t>
            </w:r>
          </w:p>
        </w:tc>
      </w:tr>
      <w:tr>
        <w:trPr>
          <w:cantSplit/>
        </w:trPr>
        <w:tc>
          <w:tcPr>
            <w:tcW w:type="dxa" w:w="33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6"/>
              </w:rPr>
            </w:r>
            <w:r>
              <w:rPr>
                <w:rFonts w:ascii="Noto Sans CJK SC" w:hAnsi="Noto Sans CJK SC" w:eastAsia="Noto Sans CJK SC"/>
                <w:b/>
                <w:color w:val="1F2937"/>
                <w:sz w:val="16"/>
              </w:rPr>
              <w:t>部分可用（partial）</w:t>
            </w:r>
          </w:p>
        </w:tc>
        <w:tc>
          <w:tcPr>
            <w:tcW w:type="dxa" w:w="33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部分字段可用，完整口径不能算</w:t>
            </w:r>
          </w:p>
        </w:tc>
        <w:tc>
          <w:tcPr>
            <w:tcW w:type="dxa" w:w="33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可以用可见部分代替整体</w:t>
            </w:r>
          </w:p>
        </w:tc>
      </w:tr>
      <w:tr>
        <w:trPr>
          <w:cantSplit/>
        </w:trPr>
        <w:tc>
          <w:tcPr>
            <w:tcW w:type="dxa" w:w="33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6"/>
              </w:rPr>
            </w:r>
            <w:r>
              <w:rPr>
                <w:rFonts w:ascii="Noto Sans CJK SC" w:hAnsi="Noto Sans CJK SC" w:eastAsia="Noto Sans CJK SC"/>
                <w:b/>
                <w:color w:val="1F2937"/>
                <w:sz w:val="16"/>
              </w:rPr>
              <w:t>当前不支持（unsupported）</w:t>
            </w:r>
          </w:p>
        </w:tc>
        <w:tc>
          <w:tcPr>
            <w:tcW w:type="dxa" w:w="33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当前本地数据不支持</w:t>
            </w:r>
          </w:p>
        </w:tc>
        <w:tc>
          <w:tcPr>
            <w:tcW w:type="dxa" w:w="33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可以换一个近似概念硬算</w:t>
            </w:r>
          </w:p>
        </w:tc>
      </w:tr>
    </w:tbl>
    <w:p>
      <w:pPr>
        <w:pStyle w:val="Heading1"/>
      </w:pPr>
      <w:r>
        <w:rPr>
          <w:rFonts w:ascii="Noto Sans CJK SC" w:hAnsi="Noto Sans CJK SC" w:eastAsia="Noto Sans CJK SC"/>
          <w:b/>
          <w:color w:val="17365D"/>
        </w:rPr>
        <w:t>附录B：本报告的文件依据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8"/>
            <w:shd w:fill="F7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• V1《理论框架与AI产业链完整演练》</w:t>
            </w:r>
          </w:p>
        </w:tc>
        <w:tc>
          <w:tcPr>
            <w:tcW w:type="dxa" w:w="5018"/>
            <w:shd w:fill="F7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• V2《从AI产业地图到合适股票的完整方法论》</w:t>
            </w:r>
          </w:p>
        </w:tc>
      </w:tr>
      <w:tr>
        <w:tc>
          <w:tcPr>
            <w:tcW w:type="dxa" w:w="5018"/>
            <w:shd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• V3《产业链完整性、数据底座与非上市公司核验》</w:t>
            </w:r>
          </w:p>
        </w:tc>
        <w:tc>
          <w:tcPr>
            <w:tcW w:type="dxa" w:w="5018"/>
            <w:shd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• V4《ChatGPT—Codex协同研究与执行分工规范》</w:t>
            </w:r>
          </w:p>
        </w:tc>
      </w:tr>
      <w:tr>
        <w:tc>
          <w:tcPr>
            <w:tcW w:type="dxa" w:w="5018"/>
            <w:shd w:fill="F7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• 03_A最终报告 / 交给B阶段.yaml / 证据清单.csv</w:t>
            </w:r>
          </w:p>
        </w:tc>
        <w:tc>
          <w:tcPr>
            <w:tcW w:type="dxa" w:w="5018"/>
            <w:shd w:fill="F7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• 04_B1本地核查合同.yaml / 口径说明.md</w:t>
            </w:r>
          </w:p>
        </w:tc>
      </w:tr>
      <w:tr>
        <w:tc>
          <w:tcPr>
            <w:tcW w:type="dxa" w:w="5018"/>
            <w:shd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• B2-R1更新后的05_B2本地核查.json / 摘要 / 数据缺口</w:t>
            </w:r>
          </w:p>
        </w:tc>
        <w:tc>
          <w:tcPr>
            <w:tcW w:type="dxa" w:w="5018"/>
            <w:shd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• 最终版06_B验收报告.md / 交给C阶段.yaml</w:t>
            </w:r>
          </w:p>
        </w:tc>
      </w:tr>
    </w:tbl>
    <w:p>
      <w:pPr>
        <w:spacing w:before="60" w:after="0" w:line="240" w:lineRule="auto"/>
      </w:pPr>
      <w:r>
        <w:rPr>
          <w:rFonts w:ascii="Noto Sans CJK SC" w:hAnsi="Noto Sans CJK SC" w:eastAsia="Noto Sans CJK SC"/>
          <w:i/>
          <w:sz w:val="15"/>
        </w:rPr>
        <w:t>本报告只使用上述研究包中已经形成的事实和边界，没有搜索新公司或补充新公告。所有数字以B2-R1原始事实包为准；摘要只用于帮助用户理解。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935" w:bottom="879" w:left="935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5B6573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b w:val="0"/>
        <w:color w:val="5B6573"/>
        <w:sz w:val="17"/>
      </w:rPr>
      <w:t>热点反向穿透法 · 液冷试点 · C1综合研究草案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83" w:lineRule="auto"/>
    </w:pPr>
    <w:rPr>
      <w:rFonts w:ascii="Noto Sans CJK SC" w:hAnsi="Noto Sans CJK SC" w:eastAsia="Noto Sans CJK S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E7C8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10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65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SC" w:hAnsi="Noto Sans CJK SC" w:eastAsia="Noto Sans CJK SC"/>
      <w:sz w:val="1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SC" w:hAnsi="Noto Sans CJK SC" w:eastAsia="Noto Sans CJK SC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