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F5" w:rsidRPr="005A6A65" w:rsidRDefault="00E83CF5" w:rsidP="00E83CF5">
      <w:pPr>
        <w:ind w:left="570" w:right="595"/>
        <w:jc w:val="center"/>
        <w:rPr>
          <w:rFonts w:ascii="Times New Roman" w:hAnsi="Times New Roman" w:cs="Times New Roman"/>
          <w:sz w:val="24"/>
          <w:szCs w:val="24"/>
        </w:rPr>
      </w:pPr>
      <w:r w:rsidRPr="005A6A65">
        <w:rPr>
          <w:rFonts w:ascii="Times New Roman" w:hAnsi="Times New Roman" w:cs="Times New Roman"/>
          <w:color w:val="2A2A2A"/>
          <w:sz w:val="24"/>
          <w:szCs w:val="24"/>
        </w:rPr>
        <w:t>Sistema de Información Inventario Almacén el Alfa</w:t>
      </w: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A6A6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757DCB" wp14:editId="56678E11">
            <wp:extent cx="1263949" cy="1252026"/>
            <wp:effectExtent l="0" t="0" r="0" b="0"/>
            <wp:docPr id="1" name="image1.jpg" descr="Alfa y omega de letras. | CanSt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lfa y omega de letras. | CanStock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949" cy="1252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A6A65">
        <w:rPr>
          <w:rFonts w:ascii="Times New Roman" w:hAnsi="Times New Roman" w:cs="Times New Roman"/>
          <w:color w:val="000000"/>
          <w:sz w:val="24"/>
          <w:szCs w:val="24"/>
        </w:rPr>
        <w:t>Camilo Cruz Soler</w:t>
      </w:r>
    </w:p>
    <w:p w:rsidR="00E83CF5" w:rsidRDefault="00E83CF5" w:rsidP="00E83C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83CF5" w:rsidRPr="005A6A65" w:rsidRDefault="00E83CF5" w:rsidP="00E83CF5">
      <w:pPr>
        <w:spacing w:line="523" w:lineRule="auto"/>
        <w:ind w:left="1259" w:right="1282"/>
        <w:jc w:val="center"/>
        <w:rPr>
          <w:rFonts w:ascii="Times New Roman" w:hAnsi="Times New Roman" w:cs="Times New Roman"/>
          <w:color w:val="2A2A2A"/>
          <w:sz w:val="24"/>
          <w:szCs w:val="24"/>
        </w:rPr>
      </w:pPr>
      <w:r w:rsidRPr="005A6A65">
        <w:rPr>
          <w:rFonts w:ascii="Times New Roman" w:hAnsi="Times New Roman" w:cs="Times New Roman"/>
          <w:color w:val="2A2A2A"/>
          <w:sz w:val="24"/>
          <w:szCs w:val="24"/>
        </w:rPr>
        <w:t>SENA</w:t>
      </w:r>
    </w:p>
    <w:p w:rsidR="00E83CF5" w:rsidRPr="005A6A65" w:rsidRDefault="00E83CF5" w:rsidP="00E83CF5">
      <w:pPr>
        <w:spacing w:line="523" w:lineRule="auto"/>
        <w:ind w:left="1259" w:right="1282"/>
        <w:jc w:val="center"/>
        <w:rPr>
          <w:rFonts w:ascii="Times New Roman" w:hAnsi="Times New Roman" w:cs="Times New Roman"/>
          <w:sz w:val="24"/>
          <w:szCs w:val="24"/>
        </w:rPr>
      </w:pPr>
      <w:r w:rsidRPr="005A6A65">
        <w:rPr>
          <w:rFonts w:ascii="Times New Roman" w:hAnsi="Times New Roman" w:cs="Times New Roman"/>
          <w:color w:val="2A2A2A"/>
          <w:sz w:val="24"/>
          <w:szCs w:val="24"/>
        </w:rPr>
        <w:t>Tecnólogo en Análisis y Desarrollo de Sistemas de Información</w:t>
      </w:r>
    </w:p>
    <w:p w:rsidR="00E83CF5" w:rsidRPr="005A6A65" w:rsidRDefault="00E83CF5" w:rsidP="00E83CF5">
      <w:pPr>
        <w:spacing w:line="272" w:lineRule="auto"/>
        <w:ind w:left="570" w:right="584"/>
        <w:jc w:val="center"/>
        <w:rPr>
          <w:rFonts w:ascii="Times New Roman" w:hAnsi="Times New Roman" w:cs="Times New Roman"/>
          <w:color w:val="2A2A2A"/>
          <w:sz w:val="24"/>
          <w:szCs w:val="24"/>
        </w:rPr>
      </w:pPr>
      <w:r w:rsidRPr="005A6A65">
        <w:rPr>
          <w:rFonts w:ascii="Times New Roman" w:hAnsi="Times New Roman" w:cs="Times New Roman"/>
          <w:color w:val="2A2A2A"/>
          <w:sz w:val="24"/>
          <w:szCs w:val="24"/>
        </w:rPr>
        <w:t>Bogotá  D.C., 2021</w:t>
      </w:r>
    </w:p>
    <w:p w:rsidR="00E83CF5" w:rsidRPr="005A6A65" w:rsidRDefault="00E83CF5" w:rsidP="00E83CF5">
      <w:pPr>
        <w:spacing w:line="272" w:lineRule="auto"/>
        <w:ind w:left="570" w:right="584"/>
        <w:jc w:val="center"/>
        <w:rPr>
          <w:rFonts w:ascii="Times New Roman" w:hAnsi="Times New Roman" w:cs="Times New Roman"/>
          <w:color w:val="2A2A2A"/>
          <w:sz w:val="24"/>
          <w:szCs w:val="24"/>
        </w:rPr>
      </w:pPr>
    </w:p>
    <w:p w:rsidR="00E83CF5" w:rsidRPr="005A6A65" w:rsidRDefault="00E83CF5" w:rsidP="00E83CF5">
      <w:pPr>
        <w:spacing w:line="272" w:lineRule="auto"/>
        <w:ind w:left="570" w:right="584"/>
        <w:jc w:val="center"/>
        <w:rPr>
          <w:rFonts w:ascii="Times New Roman" w:hAnsi="Times New Roman" w:cs="Times New Roman"/>
          <w:color w:val="2A2A2A"/>
          <w:sz w:val="24"/>
          <w:szCs w:val="24"/>
        </w:rPr>
      </w:pPr>
    </w:p>
    <w:p w:rsidR="00E83CF5" w:rsidRDefault="00E83CF5" w:rsidP="00E83CF5">
      <w:pPr>
        <w:spacing w:line="272" w:lineRule="auto"/>
        <w:ind w:right="584"/>
        <w:rPr>
          <w:color w:val="2A2A2A"/>
          <w:sz w:val="24"/>
          <w:szCs w:val="24"/>
        </w:rPr>
      </w:pPr>
    </w:p>
    <w:p w:rsidR="00E83CF5" w:rsidRDefault="00E83CF5" w:rsidP="00E83CF5">
      <w:pPr>
        <w:spacing w:line="480" w:lineRule="auto"/>
      </w:pPr>
    </w:p>
    <w:p w:rsidR="00E83CF5" w:rsidRDefault="00E83CF5" w:rsidP="00E83CF5">
      <w:pPr>
        <w:spacing w:line="480" w:lineRule="auto"/>
      </w:pPr>
    </w:p>
    <w:p w:rsidR="00E83CF5" w:rsidRDefault="00E83CF5" w:rsidP="00E83CF5">
      <w:pPr>
        <w:spacing w:line="480" w:lineRule="auto"/>
      </w:pPr>
    </w:p>
    <w:p w:rsidR="00E83CF5" w:rsidRDefault="00E83CF5" w:rsidP="00E83CF5">
      <w:pPr>
        <w:spacing w:line="480" w:lineRule="auto"/>
      </w:pPr>
    </w:p>
    <w:p w:rsidR="00E83CF5" w:rsidRDefault="00E83CF5" w:rsidP="00E83CF5">
      <w:pPr>
        <w:spacing w:line="480" w:lineRule="auto"/>
      </w:pPr>
      <w:r>
        <w:t>Antecedentes:</w:t>
      </w:r>
    </w:p>
    <w:p w:rsidR="00E83CF5" w:rsidRDefault="00E83CF5" w:rsidP="00E83CF5">
      <w:pPr>
        <w:spacing w:line="480" w:lineRule="auto"/>
      </w:pPr>
      <w:r w:rsidRPr="00A35A7A">
        <w:t>La migración de BD es un proceso que se lleva a cabo para trasladar datos</w:t>
      </w:r>
      <w:r>
        <w:t xml:space="preserve"> </w:t>
      </w:r>
      <w:r w:rsidRPr="00A35A7A">
        <w:t>almacenados previamente de un gestor de base de datos a otro o desde el</w:t>
      </w:r>
      <w:r>
        <w:t xml:space="preserve"> </w:t>
      </w:r>
      <w:r w:rsidRPr="00A35A7A">
        <w:t>mismo gestor pero a versiones diferentes.</w:t>
      </w:r>
      <w:bookmarkStart w:id="0" w:name="_GoBack"/>
      <w:bookmarkEnd w:id="0"/>
    </w:p>
    <w:p w:rsidR="00E83CF5" w:rsidRDefault="00E83CF5" w:rsidP="00E83CF5">
      <w:pPr>
        <w:spacing w:line="480" w:lineRule="auto"/>
      </w:pPr>
      <w:r>
        <w:t>En consecuencia a la migración de la base de datos que se encuentr</w:t>
      </w:r>
      <w:r>
        <w:t>a alojado en el servidor de XAMPP</w:t>
      </w:r>
      <w:r>
        <w:t xml:space="preserve">  se respaldara  en el gestor de SQL Server que suele </w:t>
      </w:r>
      <w:r w:rsidRPr="00C60C5C">
        <w:t>presentar como principal característica una alta disponibilidad al permitir un gran tiempo de actividad y una conmutación más rápida. Todo esto sin sacrificar los recursos de memoria del sistema. Gracias a las funciones de memoria integradas directamente en los motores de base de datos SQL Server y de análisis, mejora la flexibilidad y se facilita el uso.</w:t>
      </w:r>
    </w:p>
    <w:p w:rsidR="00E83CF5" w:rsidRPr="00721FCC" w:rsidRDefault="00E83CF5" w:rsidP="00E83CF5">
      <w:pPr>
        <w:spacing w:line="480" w:lineRule="auto"/>
        <w:rPr>
          <w:b/>
          <w:bCs/>
        </w:rPr>
      </w:pPr>
      <w:r>
        <w:rPr>
          <w:b/>
          <w:bCs/>
        </w:rPr>
        <w:t xml:space="preserve">Características de </w:t>
      </w:r>
      <w:r w:rsidRPr="00721FCC">
        <w:rPr>
          <w:b/>
          <w:bCs/>
        </w:rPr>
        <w:t>SQL Server:</w:t>
      </w:r>
    </w:p>
    <w:p w:rsidR="00E83CF5" w:rsidRPr="00721FCC" w:rsidRDefault="00E83CF5" w:rsidP="00E83CF5">
      <w:pPr>
        <w:numPr>
          <w:ilvl w:val="0"/>
          <w:numId w:val="2"/>
        </w:numPr>
        <w:spacing w:line="480" w:lineRule="auto"/>
      </w:pPr>
      <w:r w:rsidRPr="00721FCC">
        <w:t>Soporte de transacciones.</w:t>
      </w:r>
    </w:p>
    <w:p w:rsidR="00E83CF5" w:rsidRPr="00721FCC" w:rsidRDefault="00E83CF5" w:rsidP="00E83CF5">
      <w:pPr>
        <w:numPr>
          <w:ilvl w:val="0"/>
          <w:numId w:val="2"/>
        </w:numPr>
        <w:spacing w:line="480" w:lineRule="auto"/>
      </w:pPr>
      <w:r w:rsidRPr="00721FCC">
        <w:t>Escalabilidad, estabilidad y seguridad.</w:t>
      </w:r>
    </w:p>
    <w:p w:rsidR="00E83CF5" w:rsidRPr="00721FCC" w:rsidRDefault="00E83CF5" w:rsidP="00E83CF5">
      <w:pPr>
        <w:numPr>
          <w:ilvl w:val="0"/>
          <w:numId w:val="2"/>
        </w:numPr>
        <w:spacing w:line="480" w:lineRule="auto"/>
      </w:pPr>
      <w:r w:rsidRPr="00721FCC">
        <w:t>Soporte de procedimientos almacenados.</w:t>
      </w:r>
    </w:p>
    <w:p w:rsidR="00E83CF5" w:rsidRPr="00721FCC" w:rsidRDefault="00E83CF5" w:rsidP="00E83CF5">
      <w:pPr>
        <w:numPr>
          <w:ilvl w:val="0"/>
          <w:numId w:val="2"/>
        </w:numPr>
        <w:spacing w:line="480" w:lineRule="auto"/>
      </w:pPr>
      <w:r w:rsidRPr="00721FCC">
        <w:t>Incluye también un potente entorno gráfico de administración, que permite el uso de comandos DDL y DML gráficamente.</w:t>
      </w:r>
    </w:p>
    <w:p w:rsidR="00E83CF5" w:rsidRPr="00721FCC" w:rsidRDefault="00E83CF5" w:rsidP="00E83CF5">
      <w:pPr>
        <w:numPr>
          <w:ilvl w:val="0"/>
          <w:numId w:val="2"/>
        </w:numPr>
        <w:spacing w:line="480" w:lineRule="auto"/>
      </w:pPr>
      <w:r w:rsidRPr="00721FCC">
        <w:t>Permite trabajar en modo cliente-servidor, donde la información y datos se alojan en el servidor y las terminales o clientes de la red solo acceden a la información.</w:t>
      </w:r>
    </w:p>
    <w:p w:rsidR="00E83CF5" w:rsidRDefault="00E83CF5" w:rsidP="00E83CF5">
      <w:pPr>
        <w:numPr>
          <w:ilvl w:val="0"/>
          <w:numId w:val="2"/>
        </w:numPr>
        <w:spacing w:line="480" w:lineRule="auto"/>
      </w:pPr>
      <w:r w:rsidRPr="00721FCC">
        <w:t>Permite administrar información de otros servidores de datos.</w:t>
      </w:r>
    </w:p>
    <w:p w:rsidR="00E83CF5" w:rsidRDefault="00E83CF5" w:rsidP="00E83CF5">
      <w:pPr>
        <w:spacing w:line="480" w:lineRule="auto"/>
        <w:ind w:left="720"/>
      </w:pPr>
      <w:r>
        <w:rPr>
          <w:noProof/>
          <w:lang w:eastAsia="es-CO"/>
        </w:rPr>
        <w:lastRenderedPageBreak/>
        <w:drawing>
          <wp:inline distT="0" distB="0" distL="0" distR="0" wp14:anchorId="690CE02B" wp14:editId="2E00C8D5">
            <wp:extent cx="5535827" cy="2866768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59" b="9145"/>
                    <a:stretch/>
                  </pic:blipFill>
                  <pic:spPr bwMode="auto">
                    <a:xfrm>
                      <a:off x="0" y="0"/>
                      <a:ext cx="5535827" cy="286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CF5" w:rsidRDefault="00E83CF5" w:rsidP="00E83CF5">
      <w:pPr>
        <w:spacing w:line="480" w:lineRule="auto"/>
        <w:ind w:left="720"/>
      </w:pPr>
    </w:p>
    <w:p w:rsidR="00E83CF5" w:rsidRPr="0087047E" w:rsidRDefault="00E83CF5" w:rsidP="00E83CF5">
      <w:pPr>
        <w:spacing w:line="480" w:lineRule="auto"/>
        <w:rPr>
          <w:b/>
        </w:rPr>
      </w:pPr>
      <w:r w:rsidRPr="0087047E">
        <w:rPr>
          <w:b/>
        </w:rPr>
        <w:t>Otros aspectos a evaluar</w:t>
      </w:r>
    </w:p>
    <w:p w:rsidR="00E83CF5" w:rsidRDefault="00E83CF5" w:rsidP="00E83CF5">
      <w:pPr>
        <w:spacing w:line="480" w:lineRule="auto"/>
      </w:pPr>
      <w:r>
        <w:t>Hay una serie de factores comunes a cualquier base de datos que influyen en la complejidad de la migración y que hay que ponderar:</w:t>
      </w:r>
    </w:p>
    <w:p w:rsidR="00E83CF5" w:rsidRDefault="00E83CF5" w:rsidP="00E83CF5">
      <w:pPr>
        <w:pStyle w:val="Prrafodelista"/>
        <w:numPr>
          <w:ilvl w:val="0"/>
          <w:numId w:val="1"/>
        </w:numPr>
        <w:spacing w:line="480" w:lineRule="auto"/>
      </w:pPr>
      <w:r>
        <w:t>Cantidad y tipo de SQL propietario que se use.</w:t>
      </w:r>
    </w:p>
    <w:p w:rsidR="00E83CF5" w:rsidRDefault="00E83CF5" w:rsidP="00E83CF5">
      <w:pPr>
        <w:pStyle w:val="Prrafodelista"/>
        <w:numPr>
          <w:ilvl w:val="0"/>
          <w:numId w:val="1"/>
        </w:numPr>
        <w:spacing w:line="480" w:lineRule="auto"/>
      </w:pPr>
      <w:r>
        <w:t>Calidad de datos.</w:t>
      </w:r>
    </w:p>
    <w:p w:rsidR="00E83CF5" w:rsidRDefault="00E83CF5" w:rsidP="00E83CF5">
      <w:pPr>
        <w:pStyle w:val="Prrafodelista"/>
        <w:numPr>
          <w:ilvl w:val="0"/>
          <w:numId w:val="1"/>
        </w:numPr>
        <w:spacing w:line="480" w:lineRule="auto"/>
      </w:pPr>
      <w:r>
        <w:t>Existencia de documentación del sistema.</w:t>
      </w:r>
    </w:p>
    <w:p w:rsidR="00E83CF5" w:rsidRDefault="00E83CF5" w:rsidP="00E83CF5">
      <w:pPr>
        <w:pStyle w:val="Prrafodelista"/>
        <w:numPr>
          <w:ilvl w:val="0"/>
          <w:numId w:val="1"/>
        </w:numPr>
        <w:spacing w:line="480" w:lineRule="auto"/>
      </w:pPr>
      <w:r>
        <w:t>Requisitos de diseño tales como la alta disponibilidad y replicación.</w:t>
      </w:r>
    </w:p>
    <w:p w:rsidR="00E83CF5" w:rsidRDefault="00E83CF5" w:rsidP="00E83CF5">
      <w:pPr>
        <w:pStyle w:val="Prrafodelista"/>
        <w:numPr>
          <w:ilvl w:val="0"/>
          <w:numId w:val="1"/>
        </w:numPr>
        <w:spacing w:line="480" w:lineRule="auto"/>
      </w:pPr>
      <w:r>
        <w:t>Software de terceros dependencias.</w:t>
      </w:r>
    </w:p>
    <w:p w:rsidR="00E83CF5" w:rsidRDefault="00E83CF5" w:rsidP="00E83CF5">
      <w:pPr>
        <w:pStyle w:val="Prrafodelista"/>
        <w:numPr>
          <w:ilvl w:val="0"/>
          <w:numId w:val="1"/>
        </w:numPr>
        <w:spacing w:line="480" w:lineRule="auto"/>
      </w:pPr>
      <w:r>
        <w:t>Cambio en el sistema operativo y/o cambio de la plataforma de hardware como consecuencia de la migración.</w:t>
      </w:r>
    </w:p>
    <w:p w:rsidR="00E83CF5" w:rsidRDefault="00E83CF5" w:rsidP="00E83CF5">
      <w:pPr>
        <w:pStyle w:val="Prrafodelista"/>
        <w:numPr>
          <w:ilvl w:val="0"/>
          <w:numId w:val="1"/>
        </w:numPr>
        <w:spacing w:line="480" w:lineRule="auto"/>
      </w:pPr>
      <w:r>
        <w:t>La disponibilidad de un equipo dedicado para el desarrollo de la migración.</w:t>
      </w:r>
    </w:p>
    <w:p w:rsidR="00E83CF5" w:rsidRDefault="00E83CF5" w:rsidP="00E83CF5">
      <w:pPr>
        <w:pStyle w:val="Prrafodelista"/>
        <w:numPr>
          <w:ilvl w:val="0"/>
          <w:numId w:val="1"/>
        </w:numPr>
        <w:spacing w:line="480" w:lineRule="auto"/>
      </w:pPr>
      <w:r>
        <w:t>Tiempo máximo que se permite para la realización de la migración.</w:t>
      </w:r>
    </w:p>
    <w:p w:rsidR="00BC3523" w:rsidRDefault="00BC3523"/>
    <w:sectPr w:rsidR="00BC352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621215"/>
      <w:docPartObj>
        <w:docPartGallery w:val="Page Numbers (Bottom of Page)"/>
        <w:docPartUnique/>
      </w:docPartObj>
    </w:sdtPr>
    <w:sdtEndPr/>
    <w:sdtContent>
      <w:p w:rsidR="00721FCC" w:rsidRDefault="001906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90657">
          <w:rPr>
            <w:noProof/>
            <w:lang w:val="es-ES"/>
          </w:rPr>
          <w:t>1</w:t>
        </w:r>
        <w:r>
          <w:fldChar w:fldCharType="end"/>
        </w:r>
      </w:p>
    </w:sdtContent>
  </w:sdt>
  <w:p w:rsidR="00721FCC" w:rsidRDefault="00190657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45BD0"/>
    <w:multiLevelType w:val="multilevel"/>
    <w:tmpl w:val="138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048BF"/>
    <w:multiLevelType w:val="hybridMultilevel"/>
    <w:tmpl w:val="375AC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F5"/>
    <w:rsid w:val="00190657"/>
    <w:rsid w:val="00BC3523"/>
    <w:rsid w:val="00E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D4EA12-DD5F-484F-828C-0F22024F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C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CF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83C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2021-06-30T13:41:00Z</dcterms:created>
  <dcterms:modified xsi:type="dcterms:W3CDTF">2021-06-30T15:55:00Z</dcterms:modified>
</cp:coreProperties>
</file>