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85" w:rsidRPr="00492955" w:rsidRDefault="00006AB2" w:rsidP="008B44B3">
      <w:pPr>
        <w:spacing w:line="240" w:lineRule="auto"/>
        <w:jc w:val="center"/>
        <w:rPr>
          <w:rFonts w:eastAsia="Arial"/>
          <w:b/>
        </w:rPr>
      </w:pPr>
      <w:proofErr w:type="spellStart"/>
      <w:r w:rsidRPr="00DA2DCA">
        <w:rPr>
          <w:rFonts w:ascii="Roboto" w:hAnsi="Roboto"/>
          <w:b/>
          <w:color w:val="212529"/>
          <w:shd w:val="clear" w:color="auto" w:fill="FFFFFF"/>
        </w:rPr>
        <w:t>GT</w:t>
      </w:r>
      <w:proofErr w:type="spellEnd"/>
      <w:r w:rsidR="008B44B3" w:rsidRPr="00DA2DCA">
        <w:rPr>
          <w:rFonts w:ascii="Roboto" w:hAnsi="Roboto"/>
          <w:b/>
          <w:color w:val="212529"/>
          <w:shd w:val="clear" w:color="auto" w:fill="FFFFFF"/>
        </w:rPr>
        <w:t>-</w:t>
      </w:r>
      <w:r w:rsidRPr="00DA2DCA">
        <w:rPr>
          <w:rFonts w:ascii="Roboto" w:hAnsi="Roboto"/>
          <w:b/>
          <w:color w:val="212529"/>
          <w:shd w:val="clear" w:color="auto" w:fill="FFFFFF"/>
        </w:rPr>
        <w:t xml:space="preserve"> </w:t>
      </w:r>
      <w:r w:rsidR="00DA2DCA" w:rsidRPr="00DA2DCA">
        <w:rPr>
          <w:rFonts w:ascii="Roboto" w:hAnsi="Roboto"/>
          <w:b/>
          <w:color w:val="212529"/>
          <w:shd w:val="clear" w:color="auto" w:fill="FFFFFF"/>
        </w:rPr>
        <w:t xml:space="preserve">ESTUDOS E PESQUISAS EM ESPAÇO, TRABALHO, INOVAÇÃO E </w:t>
      </w:r>
      <w:proofErr w:type="gramStart"/>
      <w:r w:rsidR="00DA2DCA" w:rsidRPr="00DA2DCA">
        <w:rPr>
          <w:rFonts w:ascii="Roboto" w:hAnsi="Roboto"/>
          <w:b/>
          <w:color w:val="212529"/>
          <w:shd w:val="clear" w:color="auto" w:fill="FFFFFF"/>
        </w:rPr>
        <w:t>SUSTENTABILIDADE</w:t>
      </w:r>
      <w:proofErr w:type="gramEnd"/>
      <w:r w:rsidR="00DA2DCA" w:rsidRPr="006E054C">
        <w:rPr>
          <w:rFonts w:ascii="Roboto" w:hAnsi="Roboto"/>
          <w:b/>
          <w:color w:val="212529"/>
          <w:shd w:val="clear" w:color="auto" w:fill="FFFFFF"/>
        </w:rPr>
        <w:t xml:space="preserve"> </w:t>
      </w:r>
    </w:p>
    <w:p w:rsidR="004F3D85" w:rsidRDefault="007F67E5" w:rsidP="008B44B3">
      <w:pPr>
        <w:spacing w:line="240" w:lineRule="auto"/>
        <w:jc w:val="center"/>
        <w:rPr>
          <w:rFonts w:eastAsia="Arial"/>
        </w:rPr>
      </w:pPr>
      <w:r w:rsidRPr="006C14C9">
        <w:rPr>
          <w:rFonts w:eastAsia="Arial"/>
        </w:rPr>
        <w:t>Modalidade da apresentação: Comunicação oral</w:t>
      </w:r>
    </w:p>
    <w:p w:rsidR="00DA2DCA" w:rsidRDefault="00DA2DCA" w:rsidP="001D1A3C">
      <w:pPr>
        <w:pStyle w:val="Ttulo"/>
      </w:pPr>
      <w:r>
        <w:t xml:space="preserve">A REGIÃO METROPOLITANA DE NATAL: </w:t>
      </w:r>
      <w:r w:rsidR="00FF73DA">
        <w:t>em busca da integração econômica-espacial</w:t>
      </w:r>
    </w:p>
    <w:p w:rsidR="00DA2DCA" w:rsidRDefault="00DA2DCA" w:rsidP="00DA2DCA">
      <w:pPr>
        <w:widowControl w:val="0"/>
        <w:tabs>
          <w:tab w:val="left" w:pos="709"/>
        </w:tabs>
        <w:jc w:val="right"/>
        <w:rPr>
          <w:rFonts w:ascii="Arial" w:hAnsi="Arial" w:cs="Arial"/>
          <w:szCs w:val="24"/>
        </w:rPr>
      </w:pPr>
      <w:proofErr w:type="spellStart"/>
      <w:r>
        <w:rPr>
          <w:rFonts w:ascii="Arial" w:hAnsi="Arial" w:cs="Arial"/>
          <w:szCs w:val="24"/>
        </w:rPr>
        <w:t>Otomar</w:t>
      </w:r>
      <w:proofErr w:type="spellEnd"/>
      <w:r>
        <w:rPr>
          <w:rFonts w:ascii="Arial" w:hAnsi="Arial" w:cs="Arial"/>
          <w:szCs w:val="24"/>
        </w:rPr>
        <w:t xml:space="preserve"> Lopes Cardoso Junior</w:t>
      </w:r>
    </w:p>
    <w:p w:rsidR="00DA2DCA" w:rsidRDefault="00DA2DCA" w:rsidP="00DA2DCA">
      <w:pPr>
        <w:widowControl w:val="0"/>
        <w:tabs>
          <w:tab w:val="left" w:pos="709"/>
        </w:tabs>
        <w:spacing w:line="240" w:lineRule="auto"/>
        <w:rPr>
          <w:rFonts w:ascii="Times New Roman" w:hAnsi="Times New Roman"/>
          <w:szCs w:val="24"/>
        </w:rPr>
      </w:pPr>
    </w:p>
    <w:p w:rsidR="00DA2DCA" w:rsidRPr="001D1A3C" w:rsidRDefault="00DA2DCA" w:rsidP="001D1A3C">
      <w:pPr>
        <w:jc w:val="center"/>
        <w:rPr>
          <w:b/>
        </w:rPr>
      </w:pPr>
      <w:r w:rsidRPr="001D1A3C">
        <w:rPr>
          <w:b/>
          <w:color w:val="C00000"/>
        </w:rPr>
        <w:t>RESUMO</w:t>
      </w:r>
      <w:bookmarkStart w:id="0" w:name="_GoBack"/>
      <w:bookmarkEnd w:id="0"/>
    </w:p>
    <w:p w:rsidR="00DA2DCA" w:rsidRDefault="00DA2DCA" w:rsidP="001D1A3C">
      <w:pPr>
        <w:spacing w:line="240" w:lineRule="auto"/>
        <w:rPr>
          <w:sz w:val="22"/>
        </w:rPr>
      </w:pPr>
      <w:r w:rsidRPr="001D1A3C">
        <w:rPr>
          <w:sz w:val="22"/>
        </w:rPr>
        <w:t xml:space="preserve">Em 16 de janeiro de 1997 “nascia” a Região Metropolitana de Natal por determinação legal, a Lei Complementar 152, com seis municípios em sua base territorial, a partir da centralidade da Capital potiguar. Ao longo dos anos foram promulgadas outras seis leis complementares, as últimas em 2015, para chegar à composição moderna, com quatorze municípios. Apesar da proposta de integração regional, propósito da Região Metropolitana de Natal, desde seu início a disparidade entre os vizinhos ressaltava o desafio de propor e gerenciar políticas públicas que integrassem as demandas e as capacidades de ações coletivas. Ao longo dos anos não houve sensível modificação regional no que se refere </w:t>
      </w:r>
      <w:r w:rsidR="003900F8" w:rsidRPr="001D1A3C">
        <w:rPr>
          <w:sz w:val="22"/>
        </w:rPr>
        <w:t>a</w:t>
      </w:r>
      <w:r w:rsidRPr="001D1A3C">
        <w:rPr>
          <w:sz w:val="22"/>
        </w:rPr>
        <w:t xml:space="preserve"> uma aproximação dos efeitos econômicos para as populações locais: o Produto Interno Bruto e, principalmente, o Produto Interno Bruto</w:t>
      </w:r>
      <w:r w:rsidRPr="001D1A3C">
        <w:rPr>
          <w:i/>
          <w:sz w:val="22"/>
        </w:rPr>
        <w:t xml:space="preserve"> per capita</w:t>
      </w:r>
      <w:r w:rsidRPr="001D1A3C">
        <w:rPr>
          <w:sz w:val="22"/>
        </w:rPr>
        <w:t xml:space="preserve"> oferecem leituras diferentes de uma realidade baseada no propósito da integração regional. Este trabalho apresenta a evolução recente do crescimento econômicos dos quatorze municípios da Região Metropolitana de Natal em sua comparação macroeconômica, o Produto Interno Bruto, mas também em sua percepção micro, a evolução do Produto Interno Bruto</w:t>
      </w:r>
      <w:r w:rsidRPr="001D1A3C">
        <w:rPr>
          <w:i/>
          <w:sz w:val="22"/>
        </w:rPr>
        <w:t xml:space="preserve"> per capita</w:t>
      </w:r>
      <w:r w:rsidRPr="001D1A3C">
        <w:rPr>
          <w:sz w:val="22"/>
        </w:rPr>
        <w:t xml:space="preserve"> em termos de salário-mínimo, entre 2010 e 2015, aproximando uma avaliação da realidade do poder de compra dos munícipes.</w:t>
      </w:r>
    </w:p>
    <w:p w:rsidR="001D1A3C" w:rsidRPr="001D1A3C" w:rsidRDefault="001D1A3C" w:rsidP="001D1A3C">
      <w:pPr>
        <w:spacing w:line="240" w:lineRule="auto"/>
        <w:rPr>
          <w:sz w:val="22"/>
        </w:rPr>
      </w:pPr>
    </w:p>
    <w:p w:rsidR="00DA2DCA" w:rsidRPr="001D1A3C" w:rsidRDefault="00DA2DCA" w:rsidP="001D1A3C">
      <w:pPr>
        <w:spacing w:line="240" w:lineRule="auto"/>
        <w:rPr>
          <w:sz w:val="22"/>
        </w:rPr>
      </w:pPr>
      <w:r w:rsidRPr="001D1A3C">
        <w:rPr>
          <w:b/>
          <w:color w:val="C00000"/>
          <w:sz w:val="22"/>
        </w:rPr>
        <w:t>Palavras-Chave:</w:t>
      </w:r>
      <w:r w:rsidRPr="001D1A3C">
        <w:rPr>
          <w:color w:val="C00000"/>
          <w:sz w:val="22"/>
        </w:rPr>
        <w:t xml:space="preserve"> </w:t>
      </w:r>
      <w:r w:rsidRPr="001D1A3C">
        <w:rPr>
          <w:sz w:val="22"/>
        </w:rPr>
        <w:t>Região Metropolitana de Natal. Disparidade econômica regional. Integração espacial-econômica.</w:t>
      </w:r>
    </w:p>
    <w:p w:rsidR="00DA2DCA" w:rsidRDefault="00DA2DCA" w:rsidP="001D1A3C">
      <w:pPr>
        <w:pStyle w:val="Ttulo1"/>
        <w:rPr>
          <w:rFonts w:eastAsia="Arial"/>
        </w:rPr>
      </w:pPr>
      <w:r>
        <w:rPr>
          <w:rFonts w:eastAsia="Arial"/>
        </w:rPr>
        <w:t>1 INTRODUÇÃO</w:t>
      </w:r>
    </w:p>
    <w:p w:rsidR="00DA2DCA" w:rsidRDefault="00DA2DCA" w:rsidP="001D1A3C">
      <w:pPr>
        <w:rPr>
          <w:rFonts w:eastAsiaTheme="minorHAnsi"/>
        </w:rPr>
      </w:pPr>
      <w:r>
        <w:t xml:space="preserve">  </w:t>
      </w:r>
      <w:r>
        <w:tab/>
        <w:t xml:space="preserve">A Região Metropolitana de Natal </w:t>
      </w:r>
      <w:r w:rsidR="003900F8">
        <w:t>(</w:t>
      </w:r>
      <w:proofErr w:type="spellStart"/>
      <w:r w:rsidR="003900F8">
        <w:t>RMN</w:t>
      </w:r>
      <w:proofErr w:type="spellEnd"/>
      <w:r w:rsidR="003900F8">
        <w:t xml:space="preserve">) </w:t>
      </w:r>
      <w:r>
        <w:t>conta</w:t>
      </w:r>
      <w:r w:rsidR="003900F8">
        <w:t>,</w:t>
      </w:r>
      <w:r>
        <w:t xml:space="preserve"> atualmente</w:t>
      </w:r>
      <w:r w:rsidR="003900F8">
        <w:t>,</w:t>
      </w:r>
      <w:r>
        <w:t xml:space="preserve"> com 14 municípios distribuídos em todas as direções a partir de sua centralidade, a Capital. No início, quando de sua criação em 1997, com a Lei Complementar 152, contava com menos da metade dos municípios atuais, apenas 6: Natal, Parnamirim, Macaíba, São Gonçalo do Amarante, Extremoz e Ceará-Mirim. Esta diversificação quantitativa também foi de ordem qualitativa, ou seja, a nova caracterização da </w:t>
      </w:r>
      <w:proofErr w:type="spellStart"/>
      <w:r>
        <w:t>RMN</w:t>
      </w:r>
      <w:proofErr w:type="spellEnd"/>
      <w:r>
        <w:t xml:space="preserve"> tem fortes disparidades internas dentre as quais </w:t>
      </w:r>
      <w:r w:rsidR="001D1A3C">
        <w:t>se destaca</w:t>
      </w:r>
      <w:r>
        <w:t xml:space="preserve"> a riqueza econômica, mensurada aqui sob a forma da evolução do PIB-Produto Interno Bruto em período recente, 2010 a 2015 </w:t>
      </w:r>
      <w:proofErr w:type="gramStart"/>
      <w:r>
        <w:t>(último dado disponibilizado pelo IBGE-Instituto Brasileiro de Geografia e Estatística.</w:t>
      </w:r>
      <w:proofErr w:type="gramEnd"/>
      <w:r>
        <w:t xml:space="preserve"> </w:t>
      </w:r>
    </w:p>
    <w:p w:rsidR="00DA2DCA" w:rsidRDefault="00DA2DCA" w:rsidP="001D1A3C">
      <w:r>
        <w:lastRenderedPageBreak/>
        <w:tab/>
        <w:t xml:space="preserve">Neste trabalho será explorado o distanciamento do PIB entre os municípios que compõe a </w:t>
      </w:r>
      <w:proofErr w:type="spellStart"/>
      <w:r>
        <w:t>RMN</w:t>
      </w:r>
      <w:proofErr w:type="spellEnd"/>
      <w:r>
        <w:t>, indicativo de divergências solidificadas em função das distintas atividades realizadas em cada uma dela e, naturalmente, da impossibilidade da existência de igual infraestrutura (aeroporto, porto etc</w:t>
      </w:r>
      <w:r w:rsidR="001D1A3C">
        <w:t>.</w:t>
      </w:r>
      <w:r>
        <w:t xml:space="preserve">) e oferta de serviços (educação, saúde, administrações </w:t>
      </w:r>
      <w:r w:rsidR="003900F8">
        <w:t>pública estadual</w:t>
      </w:r>
      <w:r>
        <w:t xml:space="preserve"> e federal etc</w:t>
      </w:r>
      <w:r w:rsidR="001D1A3C">
        <w:t>.</w:t>
      </w:r>
      <w:r>
        <w:t>) e empregos (indústrias, comércios de grande porte etc</w:t>
      </w:r>
      <w:r w:rsidR="001D1A3C">
        <w:t>.</w:t>
      </w:r>
      <w:r>
        <w:t>) em todas elas.</w:t>
      </w:r>
    </w:p>
    <w:p w:rsidR="00DA2DCA" w:rsidRDefault="00DA2DCA" w:rsidP="001D1A3C">
      <w:pPr>
        <w:pStyle w:val="Ttulo1"/>
        <w:rPr>
          <w:rFonts w:eastAsia="Arial"/>
        </w:rPr>
      </w:pPr>
      <w:r>
        <w:rPr>
          <w:rFonts w:eastAsia="Arial"/>
        </w:rPr>
        <w:t>2 A REGIÃO METROPOLITANA DE NATAL</w:t>
      </w:r>
    </w:p>
    <w:p w:rsidR="00DA2DCA" w:rsidRDefault="00DA2DCA" w:rsidP="001D1A3C">
      <w:pPr>
        <w:rPr>
          <w:rFonts w:eastAsiaTheme="minorHAnsi"/>
        </w:rPr>
      </w:pPr>
      <w:r>
        <w:t xml:space="preserve"> </w:t>
      </w:r>
      <w:r>
        <w:tab/>
        <w:t xml:space="preserve">Ao longo dos anos outras seis leis complementares foram editadas até a composição moderna da </w:t>
      </w:r>
      <w:proofErr w:type="spellStart"/>
      <w:r>
        <w:t>RMN</w:t>
      </w:r>
      <w:proofErr w:type="spellEnd"/>
      <w:r>
        <w:t xml:space="preserve">. De acordo com a </w:t>
      </w:r>
      <w:proofErr w:type="spellStart"/>
      <w:r>
        <w:t>LC</w:t>
      </w:r>
      <w:proofErr w:type="spellEnd"/>
      <w:r>
        <w:t xml:space="preserve"> 152/1997, seu art. 1º já trazia a possibilidade de inclusão de novos municípios: “</w:t>
      </w:r>
      <w:r>
        <w:rPr>
          <w:rStyle w:val="nfase"/>
          <w:rFonts w:ascii="Arial" w:eastAsiaTheme="majorEastAsia" w:hAnsi="Arial" w:cs="Arial"/>
          <w:bCs/>
          <w:i w:val="0"/>
          <w:color w:val="000000" w:themeColor="text1"/>
          <w:spacing w:val="3"/>
          <w:bdr w:val="none" w:sz="0" w:space="0" w:color="auto" w:frame="1"/>
          <w:shd w:val="clear" w:color="auto" w:fill="FFFFFF"/>
        </w:rPr>
        <w:t>§</w:t>
      </w:r>
      <w:r>
        <w:t xml:space="preserve"> 2º. Outros municípios poderão integrar a Região </w:t>
      </w:r>
      <w:proofErr w:type="gramStart"/>
      <w:r>
        <w:t>Metropolitana de Natal motivados</w:t>
      </w:r>
      <w:proofErr w:type="gramEnd"/>
      <w:r>
        <w:t xml:space="preserve"> pela sua expansão urbana acelerada, demanda por serviços e necessidades de investimentos em parceria.” A atual </w:t>
      </w:r>
      <w:proofErr w:type="spellStart"/>
      <w:r>
        <w:t>RMN</w:t>
      </w:r>
      <w:proofErr w:type="spellEnd"/>
      <w:r>
        <w:t xml:space="preserve"> está assim:</w:t>
      </w:r>
    </w:p>
    <w:p w:rsidR="00DA2DCA" w:rsidRDefault="00DA2DCA" w:rsidP="001D1A3C">
      <w:pPr>
        <w:rPr>
          <w:sz w:val="22"/>
        </w:rPr>
      </w:pPr>
    </w:p>
    <w:p w:rsidR="00DA2DCA" w:rsidRDefault="00DA2DCA" w:rsidP="001D1A3C">
      <w:pPr>
        <w:jc w:val="center"/>
      </w:pPr>
      <w:r w:rsidRPr="001D1A3C">
        <w:rPr>
          <w:b/>
          <w:sz w:val="22"/>
        </w:rPr>
        <w:t>QUADRO 1</w:t>
      </w:r>
      <w:r w:rsidRPr="001D1A3C">
        <w:rPr>
          <w:sz w:val="22"/>
        </w:rPr>
        <w:t xml:space="preserve"> – Leis complementares de criação</w:t>
      </w:r>
      <w:r>
        <w:t xml:space="preserve"> </w:t>
      </w:r>
      <w:r w:rsidRPr="001D1A3C">
        <w:rPr>
          <w:sz w:val="22"/>
        </w:rPr>
        <w:t>da Região Metropolitana de Natal</w:t>
      </w:r>
    </w:p>
    <w:tbl>
      <w:tblPr>
        <w:tblStyle w:val="Tabelacomgrad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850"/>
        <w:gridCol w:w="1134"/>
        <w:gridCol w:w="3402"/>
      </w:tblGrid>
      <w:tr w:rsidR="00DA2DCA" w:rsidTr="00DA2DCA">
        <w:trPr>
          <w:jc w:val="center"/>
        </w:trPr>
        <w:tc>
          <w:tcPr>
            <w:tcW w:w="850"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 xml:space="preserve">ANO </w:t>
            </w:r>
          </w:p>
        </w:tc>
        <w:tc>
          <w:tcPr>
            <w:tcW w:w="1134"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NÚMERO</w:t>
            </w:r>
          </w:p>
        </w:tc>
        <w:tc>
          <w:tcPr>
            <w:tcW w:w="3402" w:type="dxa"/>
            <w:tcBorders>
              <w:top w:val="single" w:sz="4" w:space="0" w:color="auto"/>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MUNICÍPIO</w:t>
            </w:r>
          </w:p>
        </w:tc>
      </w:tr>
      <w:tr w:rsidR="00DA2DCA" w:rsidTr="00DA2DCA">
        <w:trPr>
          <w:jc w:val="center"/>
        </w:trPr>
        <w:tc>
          <w:tcPr>
            <w:tcW w:w="850"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1997</w:t>
            </w:r>
          </w:p>
        </w:tc>
        <w:tc>
          <w:tcPr>
            <w:tcW w:w="1134"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152</w:t>
            </w:r>
          </w:p>
        </w:tc>
        <w:tc>
          <w:tcPr>
            <w:tcW w:w="3402" w:type="dxa"/>
            <w:tcBorders>
              <w:top w:val="single" w:sz="4" w:space="0" w:color="auto"/>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Ceará-Mirim </w:t>
            </w:r>
          </w:p>
          <w:p w:rsidR="00DA2DCA" w:rsidRPr="001D1A3C" w:rsidRDefault="00DA2DCA" w:rsidP="001D1A3C">
            <w:pPr>
              <w:spacing w:line="240" w:lineRule="auto"/>
              <w:rPr>
                <w:sz w:val="20"/>
                <w:szCs w:val="20"/>
              </w:rPr>
            </w:pPr>
            <w:r w:rsidRPr="001D1A3C">
              <w:rPr>
                <w:sz w:val="20"/>
                <w:szCs w:val="20"/>
              </w:rPr>
              <w:t xml:space="preserve">   Extremoz </w:t>
            </w:r>
          </w:p>
          <w:p w:rsidR="00DA2DCA" w:rsidRPr="001D1A3C" w:rsidRDefault="00DA2DCA" w:rsidP="001D1A3C">
            <w:pPr>
              <w:spacing w:line="240" w:lineRule="auto"/>
              <w:rPr>
                <w:sz w:val="20"/>
                <w:szCs w:val="20"/>
              </w:rPr>
            </w:pPr>
            <w:r w:rsidRPr="001D1A3C">
              <w:rPr>
                <w:sz w:val="20"/>
                <w:szCs w:val="20"/>
              </w:rPr>
              <w:t xml:space="preserve">   Macaíba</w:t>
            </w:r>
          </w:p>
          <w:p w:rsidR="00DA2DCA" w:rsidRPr="001D1A3C" w:rsidRDefault="00DA2DCA" w:rsidP="001D1A3C">
            <w:pPr>
              <w:spacing w:line="240" w:lineRule="auto"/>
              <w:rPr>
                <w:sz w:val="20"/>
                <w:szCs w:val="20"/>
              </w:rPr>
            </w:pPr>
            <w:r w:rsidRPr="001D1A3C">
              <w:rPr>
                <w:sz w:val="20"/>
                <w:szCs w:val="20"/>
              </w:rPr>
              <w:t xml:space="preserve">   Natal </w:t>
            </w:r>
          </w:p>
          <w:p w:rsidR="00DA2DCA" w:rsidRPr="001D1A3C" w:rsidRDefault="00DA2DCA" w:rsidP="001D1A3C">
            <w:pPr>
              <w:spacing w:line="240" w:lineRule="auto"/>
              <w:rPr>
                <w:sz w:val="20"/>
                <w:szCs w:val="20"/>
              </w:rPr>
            </w:pPr>
            <w:r w:rsidRPr="001D1A3C">
              <w:rPr>
                <w:sz w:val="20"/>
                <w:szCs w:val="20"/>
              </w:rPr>
              <w:t xml:space="preserve">   Parnamirim </w:t>
            </w:r>
          </w:p>
          <w:p w:rsidR="00DA2DCA" w:rsidRPr="001D1A3C" w:rsidRDefault="00DA2DCA" w:rsidP="001D1A3C">
            <w:pPr>
              <w:spacing w:line="240" w:lineRule="auto"/>
              <w:rPr>
                <w:sz w:val="20"/>
                <w:szCs w:val="20"/>
              </w:rPr>
            </w:pPr>
            <w:r w:rsidRPr="001D1A3C">
              <w:rPr>
                <w:sz w:val="20"/>
                <w:szCs w:val="20"/>
              </w:rPr>
              <w:t xml:space="preserve">   São Gonçalo do Amarante</w:t>
            </w:r>
          </w:p>
        </w:tc>
      </w:tr>
      <w:tr w:rsidR="00DA2DCA" w:rsidTr="00DA2DCA">
        <w:trPr>
          <w:jc w:val="center"/>
        </w:trPr>
        <w:tc>
          <w:tcPr>
            <w:tcW w:w="850"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2002</w:t>
            </w:r>
          </w:p>
        </w:tc>
        <w:tc>
          <w:tcPr>
            <w:tcW w:w="1134"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221</w:t>
            </w:r>
          </w:p>
        </w:tc>
        <w:tc>
          <w:tcPr>
            <w:tcW w:w="3402" w:type="dxa"/>
            <w:tcBorders>
              <w:top w:val="single" w:sz="4" w:space="0" w:color="auto"/>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Nísia Floresta</w:t>
            </w:r>
          </w:p>
          <w:p w:rsidR="00DA2DCA" w:rsidRPr="001D1A3C" w:rsidRDefault="00DA2DCA" w:rsidP="001D1A3C">
            <w:pPr>
              <w:spacing w:line="240" w:lineRule="auto"/>
              <w:rPr>
                <w:sz w:val="20"/>
                <w:szCs w:val="20"/>
              </w:rPr>
            </w:pPr>
            <w:r w:rsidRPr="001D1A3C">
              <w:rPr>
                <w:sz w:val="20"/>
                <w:szCs w:val="20"/>
              </w:rPr>
              <w:t xml:space="preserve">   São José de Mipibu</w:t>
            </w:r>
          </w:p>
        </w:tc>
      </w:tr>
      <w:tr w:rsidR="00DA2DCA" w:rsidTr="00DA2DCA">
        <w:trPr>
          <w:jc w:val="center"/>
        </w:trPr>
        <w:tc>
          <w:tcPr>
            <w:tcW w:w="850"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2009</w:t>
            </w:r>
          </w:p>
        </w:tc>
        <w:tc>
          <w:tcPr>
            <w:tcW w:w="1134"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315</w:t>
            </w:r>
          </w:p>
          <w:p w:rsidR="00DA2DCA" w:rsidRPr="001D1A3C" w:rsidRDefault="00DA2DCA" w:rsidP="001D1A3C">
            <w:pPr>
              <w:spacing w:line="240" w:lineRule="auto"/>
              <w:rPr>
                <w:sz w:val="20"/>
                <w:szCs w:val="20"/>
              </w:rPr>
            </w:pPr>
            <w:r w:rsidRPr="001D1A3C">
              <w:rPr>
                <w:sz w:val="20"/>
                <w:szCs w:val="20"/>
              </w:rPr>
              <w:t>391</w:t>
            </w:r>
          </w:p>
        </w:tc>
        <w:tc>
          <w:tcPr>
            <w:tcW w:w="3402" w:type="dxa"/>
            <w:tcBorders>
              <w:top w:val="single" w:sz="4" w:space="0" w:color="auto"/>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Monte Alegre</w:t>
            </w:r>
          </w:p>
          <w:p w:rsidR="00DA2DCA" w:rsidRPr="001D1A3C" w:rsidRDefault="00DA2DCA" w:rsidP="001D1A3C">
            <w:pPr>
              <w:spacing w:line="240" w:lineRule="auto"/>
              <w:rPr>
                <w:sz w:val="20"/>
                <w:szCs w:val="20"/>
              </w:rPr>
            </w:pPr>
            <w:r w:rsidRPr="001D1A3C">
              <w:rPr>
                <w:sz w:val="20"/>
                <w:szCs w:val="20"/>
              </w:rPr>
              <w:t xml:space="preserve">   Vera Cruz</w:t>
            </w:r>
          </w:p>
        </w:tc>
      </w:tr>
      <w:tr w:rsidR="00DA2DCA" w:rsidTr="00DA2DCA">
        <w:trPr>
          <w:jc w:val="center"/>
        </w:trPr>
        <w:tc>
          <w:tcPr>
            <w:tcW w:w="850"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2013</w:t>
            </w:r>
          </w:p>
        </w:tc>
        <w:tc>
          <w:tcPr>
            <w:tcW w:w="1134" w:type="dxa"/>
            <w:tcBorders>
              <w:top w:val="single" w:sz="4" w:space="0" w:color="auto"/>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485</w:t>
            </w:r>
          </w:p>
        </w:tc>
        <w:tc>
          <w:tcPr>
            <w:tcW w:w="3402" w:type="dxa"/>
            <w:tcBorders>
              <w:top w:val="single" w:sz="4" w:space="0" w:color="auto"/>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Maxaranguape</w:t>
            </w:r>
          </w:p>
        </w:tc>
      </w:tr>
      <w:tr w:rsidR="00DA2DCA" w:rsidTr="00DA2DCA">
        <w:trPr>
          <w:jc w:val="center"/>
        </w:trPr>
        <w:tc>
          <w:tcPr>
            <w:tcW w:w="850" w:type="dxa"/>
            <w:tcBorders>
              <w:top w:val="single" w:sz="4" w:space="0" w:color="auto"/>
              <w:left w:val="nil"/>
              <w:bottom w:val="nil"/>
              <w:right w:val="nil"/>
            </w:tcBorders>
            <w:hideMark/>
          </w:tcPr>
          <w:p w:rsidR="00DA2DCA" w:rsidRPr="001D1A3C" w:rsidRDefault="00DA2DCA" w:rsidP="001D1A3C">
            <w:pPr>
              <w:spacing w:line="240" w:lineRule="auto"/>
              <w:rPr>
                <w:sz w:val="20"/>
                <w:szCs w:val="20"/>
              </w:rPr>
            </w:pPr>
            <w:r w:rsidRPr="001D1A3C">
              <w:rPr>
                <w:sz w:val="20"/>
                <w:szCs w:val="20"/>
              </w:rPr>
              <w:t>2015</w:t>
            </w:r>
          </w:p>
        </w:tc>
        <w:tc>
          <w:tcPr>
            <w:tcW w:w="1134" w:type="dxa"/>
            <w:tcBorders>
              <w:top w:val="single" w:sz="4" w:space="0" w:color="auto"/>
              <w:left w:val="nil"/>
              <w:bottom w:val="nil"/>
              <w:right w:val="nil"/>
            </w:tcBorders>
          </w:tcPr>
          <w:p w:rsidR="00DA2DCA" w:rsidRPr="001D1A3C" w:rsidRDefault="00DA2DCA" w:rsidP="001D1A3C">
            <w:pPr>
              <w:spacing w:line="240" w:lineRule="auto"/>
              <w:rPr>
                <w:sz w:val="20"/>
                <w:szCs w:val="20"/>
              </w:rPr>
            </w:pPr>
            <w:r w:rsidRPr="001D1A3C">
              <w:rPr>
                <w:sz w:val="20"/>
                <w:szCs w:val="20"/>
              </w:rPr>
              <w:t>540</w:t>
            </w:r>
          </w:p>
          <w:p w:rsidR="00DA2DCA" w:rsidRPr="001D1A3C" w:rsidRDefault="00DA2DCA" w:rsidP="001D1A3C">
            <w:pPr>
              <w:spacing w:line="240" w:lineRule="auto"/>
              <w:rPr>
                <w:sz w:val="20"/>
                <w:szCs w:val="20"/>
              </w:rPr>
            </w:pPr>
          </w:p>
        </w:tc>
        <w:tc>
          <w:tcPr>
            <w:tcW w:w="3402" w:type="dxa"/>
            <w:tcBorders>
              <w:top w:val="single" w:sz="4" w:space="0" w:color="auto"/>
              <w:left w:val="nil"/>
              <w:bottom w:val="nil"/>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Arês</w:t>
            </w:r>
          </w:p>
          <w:p w:rsidR="00DA2DCA" w:rsidRPr="001D1A3C" w:rsidRDefault="00DA2DCA" w:rsidP="001D1A3C">
            <w:pPr>
              <w:spacing w:line="240" w:lineRule="auto"/>
              <w:rPr>
                <w:sz w:val="20"/>
                <w:szCs w:val="20"/>
              </w:rPr>
            </w:pPr>
            <w:r w:rsidRPr="001D1A3C">
              <w:rPr>
                <w:sz w:val="20"/>
                <w:szCs w:val="20"/>
              </w:rPr>
              <w:t xml:space="preserve">   </w:t>
            </w:r>
            <w:proofErr w:type="spellStart"/>
            <w:r w:rsidRPr="001D1A3C">
              <w:rPr>
                <w:sz w:val="20"/>
                <w:szCs w:val="20"/>
              </w:rPr>
              <w:t>Ielmo</w:t>
            </w:r>
            <w:proofErr w:type="spellEnd"/>
            <w:r w:rsidRPr="001D1A3C">
              <w:rPr>
                <w:sz w:val="20"/>
                <w:szCs w:val="20"/>
              </w:rPr>
              <w:t xml:space="preserve"> Marinho</w:t>
            </w:r>
          </w:p>
        </w:tc>
      </w:tr>
      <w:tr w:rsidR="00DA2DCA" w:rsidTr="00DA2DCA">
        <w:trPr>
          <w:jc w:val="center"/>
        </w:trPr>
        <w:tc>
          <w:tcPr>
            <w:tcW w:w="850" w:type="dxa"/>
            <w:tcBorders>
              <w:top w:val="nil"/>
              <w:left w:val="nil"/>
              <w:bottom w:val="single" w:sz="4" w:space="0" w:color="auto"/>
              <w:right w:val="nil"/>
            </w:tcBorders>
          </w:tcPr>
          <w:p w:rsidR="00DA2DCA" w:rsidRPr="001D1A3C" w:rsidRDefault="00DA2DCA" w:rsidP="001D1A3C">
            <w:pPr>
              <w:spacing w:line="240" w:lineRule="auto"/>
              <w:rPr>
                <w:sz w:val="20"/>
                <w:szCs w:val="20"/>
              </w:rPr>
            </w:pPr>
          </w:p>
        </w:tc>
        <w:tc>
          <w:tcPr>
            <w:tcW w:w="1134" w:type="dxa"/>
            <w:tcBorders>
              <w:top w:val="nil"/>
              <w:left w:val="nil"/>
              <w:bottom w:val="single" w:sz="4" w:space="0" w:color="auto"/>
              <w:right w:val="nil"/>
            </w:tcBorders>
            <w:hideMark/>
          </w:tcPr>
          <w:p w:rsidR="00DA2DCA" w:rsidRPr="001D1A3C" w:rsidRDefault="00DA2DCA" w:rsidP="001D1A3C">
            <w:pPr>
              <w:spacing w:line="240" w:lineRule="auto"/>
              <w:rPr>
                <w:sz w:val="20"/>
                <w:szCs w:val="20"/>
              </w:rPr>
            </w:pPr>
            <w:r w:rsidRPr="001D1A3C">
              <w:rPr>
                <w:sz w:val="20"/>
                <w:szCs w:val="20"/>
              </w:rPr>
              <w:t>559</w:t>
            </w:r>
          </w:p>
        </w:tc>
        <w:tc>
          <w:tcPr>
            <w:tcW w:w="3402" w:type="dxa"/>
            <w:tcBorders>
              <w:top w:val="nil"/>
              <w:left w:val="nil"/>
              <w:bottom w:val="single" w:sz="4" w:space="0" w:color="auto"/>
              <w:right w:val="nil"/>
            </w:tcBorders>
            <w:vAlign w:val="center"/>
            <w:hideMark/>
          </w:tcPr>
          <w:p w:rsidR="00DA2DCA" w:rsidRPr="001D1A3C" w:rsidRDefault="00DA2DCA" w:rsidP="001D1A3C">
            <w:pPr>
              <w:spacing w:line="240" w:lineRule="auto"/>
              <w:rPr>
                <w:sz w:val="20"/>
                <w:szCs w:val="20"/>
              </w:rPr>
            </w:pPr>
            <w:r w:rsidRPr="001D1A3C">
              <w:rPr>
                <w:sz w:val="20"/>
                <w:szCs w:val="20"/>
              </w:rPr>
              <w:t xml:space="preserve">  Goianinha</w:t>
            </w:r>
          </w:p>
        </w:tc>
      </w:tr>
    </w:tbl>
    <w:p w:rsidR="001D1A3C" w:rsidRPr="001D1A3C" w:rsidRDefault="001D1A3C" w:rsidP="001D1A3C">
      <w:pPr>
        <w:jc w:val="center"/>
        <w:rPr>
          <w:b/>
          <w:sz w:val="10"/>
        </w:rPr>
      </w:pPr>
    </w:p>
    <w:p w:rsidR="00DA2DCA" w:rsidRPr="001D1A3C" w:rsidRDefault="00DA2DCA" w:rsidP="001D1A3C">
      <w:pPr>
        <w:jc w:val="center"/>
        <w:rPr>
          <w:sz w:val="18"/>
          <w:lang w:eastAsia="en-US"/>
        </w:rPr>
      </w:pPr>
      <w:r w:rsidRPr="001D1A3C">
        <w:rPr>
          <w:b/>
          <w:sz w:val="20"/>
        </w:rPr>
        <w:t>Fonte:</w:t>
      </w:r>
      <w:r w:rsidRPr="001D1A3C">
        <w:rPr>
          <w:sz w:val="20"/>
        </w:rPr>
        <w:t xml:space="preserve"> NATAL (elaboração própria).</w:t>
      </w:r>
    </w:p>
    <w:p w:rsidR="00DA2DCA" w:rsidRDefault="00DA2DCA" w:rsidP="001D1A3C">
      <w:pPr>
        <w:rPr>
          <w:sz w:val="20"/>
        </w:rPr>
      </w:pPr>
    </w:p>
    <w:p w:rsidR="00DA2DCA" w:rsidRDefault="00DA2DCA" w:rsidP="001D1A3C">
      <w:r>
        <w:t xml:space="preserve"> </w:t>
      </w:r>
      <w:r>
        <w:tab/>
        <w:t xml:space="preserve">A primeira alteração ocorreu cerca de 5 anos após a criação da </w:t>
      </w:r>
      <w:proofErr w:type="spellStart"/>
      <w:r>
        <w:t>RMN</w:t>
      </w:r>
      <w:proofErr w:type="spellEnd"/>
      <w:r>
        <w:t xml:space="preserve"> com a inclusão de Nísia Floresta e São José de Mipibu. Na sequência das novas inclusões não houve caracterização de proximidade geográfica tal como na </w:t>
      </w:r>
      <w:proofErr w:type="spellStart"/>
      <w:r>
        <w:t>LC</w:t>
      </w:r>
      <w:proofErr w:type="spellEnd"/>
      <w:r>
        <w:t xml:space="preserve"> 2002, quando incluiu as vizinhas Nísia Floresta e São José de Mipibu. </w:t>
      </w:r>
      <w:proofErr w:type="gramStart"/>
      <w:r>
        <w:t>As vizinhas Monte</w:t>
      </w:r>
      <w:proofErr w:type="gramEnd"/>
      <w:r>
        <w:t xml:space="preserve"> Alegre e </w:t>
      </w:r>
      <w:r>
        <w:lastRenderedPageBreak/>
        <w:t xml:space="preserve">Vera Cruz foram incluídas separadamente tal como </w:t>
      </w:r>
      <w:proofErr w:type="spellStart"/>
      <w:r>
        <w:t>Ielmo</w:t>
      </w:r>
      <w:proofErr w:type="spellEnd"/>
      <w:r>
        <w:t xml:space="preserve"> Marinho e Arês na mesma </w:t>
      </w:r>
      <w:proofErr w:type="spellStart"/>
      <w:r>
        <w:t>LC</w:t>
      </w:r>
      <w:proofErr w:type="spellEnd"/>
      <w:r>
        <w:t>, embora localizadas em direções opostas em relação à Capital.</w:t>
      </w:r>
    </w:p>
    <w:p w:rsidR="00DA2DCA" w:rsidRPr="003900F8" w:rsidRDefault="00DA2DCA" w:rsidP="001D1A3C">
      <w:pPr>
        <w:rPr>
          <w:sz w:val="12"/>
        </w:rPr>
      </w:pPr>
    </w:p>
    <w:p w:rsidR="00DA2DCA" w:rsidRPr="001D1A3C" w:rsidRDefault="003900F8" w:rsidP="001D1A3C">
      <w:pPr>
        <w:jc w:val="center"/>
        <w:rPr>
          <w:sz w:val="22"/>
        </w:rPr>
      </w:pPr>
      <w:r w:rsidRPr="00A516DA">
        <w:rPr>
          <w:rFonts w:ascii="Arial" w:hAnsi="Arial" w:cs="Arial"/>
          <w:noProof/>
        </w:rPr>
        <w:drawing>
          <wp:anchor distT="0" distB="0" distL="114300" distR="114300" simplePos="0" relativeHeight="251658240" behindDoc="1" locked="0" layoutInCell="1" allowOverlap="1" wp14:anchorId="10B3CBBC" wp14:editId="5C9BB699">
            <wp:simplePos x="0" y="0"/>
            <wp:positionH relativeFrom="column">
              <wp:posOffset>1310640</wp:posOffset>
            </wp:positionH>
            <wp:positionV relativeFrom="paragraph">
              <wp:posOffset>205105</wp:posOffset>
            </wp:positionV>
            <wp:extent cx="3352800" cy="4210050"/>
            <wp:effectExtent l="0" t="0" r="0" b="0"/>
            <wp:wrapThrough wrapText="bothSides">
              <wp:wrapPolygon edited="0">
                <wp:start x="0" y="0"/>
                <wp:lineTo x="0" y="21502"/>
                <wp:lineTo x="21477" y="21502"/>
                <wp:lineTo x="21477" y="0"/>
                <wp:lineTo x="0" y="0"/>
              </wp:wrapPolygon>
            </wp:wrapThrough>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rotWithShape="1">
                    <a:blip r:embed="rId9">
                      <a:extLst>
                        <a:ext uri="{28A0092B-C50C-407E-A947-70E740481C1C}">
                          <a14:useLocalDpi xmlns:a14="http://schemas.microsoft.com/office/drawing/2010/main" val="0"/>
                        </a:ext>
                      </a:extLst>
                    </a:blip>
                    <a:srcRect l="36995" t="15960" r="36638" b="14310"/>
                    <a:stretch/>
                  </pic:blipFill>
                  <pic:spPr bwMode="auto">
                    <a:xfrm>
                      <a:off x="0" y="0"/>
                      <a:ext cx="3352800" cy="421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DCA" w:rsidRPr="001D1A3C">
        <w:rPr>
          <w:b/>
          <w:sz w:val="22"/>
        </w:rPr>
        <w:t>FIGURA 1</w:t>
      </w:r>
      <w:r w:rsidR="00DA2DCA" w:rsidRPr="001D1A3C">
        <w:rPr>
          <w:sz w:val="22"/>
        </w:rPr>
        <w:t xml:space="preserve"> – Região Metropolitana de Natal em 2018</w:t>
      </w:r>
    </w:p>
    <w:p w:rsidR="001D1A3C" w:rsidRDefault="001D1A3C" w:rsidP="001D1A3C"/>
    <w:p w:rsidR="001D1A3C" w:rsidRDefault="001D1A3C" w:rsidP="001D1A3C"/>
    <w:p w:rsidR="001D1A3C" w:rsidRDefault="001D1A3C" w:rsidP="001D1A3C"/>
    <w:p w:rsidR="001D1A3C" w:rsidRDefault="001D1A3C" w:rsidP="001D1A3C"/>
    <w:p w:rsidR="001D1A3C" w:rsidRDefault="001D1A3C" w:rsidP="001D1A3C"/>
    <w:p w:rsidR="001D1A3C" w:rsidRDefault="001D1A3C" w:rsidP="001D1A3C"/>
    <w:p w:rsidR="001D1A3C" w:rsidRDefault="001D1A3C" w:rsidP="001D1A3C"/>
    <w:p w:rsidR="001D1A3C" w:rsidRDefault="001D1A3C" w:rsidP="001D1A3C"/>
    <w:p w:rsidR="003900F8" w:rsidRDefault="003900F8" w:rsidP="001D1A3C">
      <w:pPr>
        <w:jc w:val="center"/>
        <w:rPr>
          <w:b/>
          <w:sz w:val="20"/>
        </w:rPr>
      </w:pPr>
    </w:p>
    <w:p w:rsidR="003900F8" w:rsidRDefault="003900F8" w:rsidP="001D1A3C">
      <w:pPr>
        <w:jc w:val="center"/>
        <w:rPr>
          <w:b/>
          <w:sz w:val="20"/>
        </w:rPr>
      </w:pPr>
    </w:p>
    <w:p w:rsidR="003900F8" w:rsidRDefault="003900F8" w:rsidP="001D1A3C">
      <w:pPr>
        <w:jc w:val="center"/>
        <w:rPr>
          <w:b/>
          <w:sz w:val="20"/>
        </w:rPr>
      </w:pPr>
    </w:p>
    <w:p w:rsidR="003900F8" w:rsidRDefault="003900F8" w:rsidP="001D1A3C">
      <w:pPr>
        <w:jc w:val="center"/>
        <w:rPr>
          <w:b/>
          <w:sz w:val="20"/>
        </w:rPr>
      </w:pPr>
    </w:p>
    <w:p w:rsidR="00377C2C" w:rsidRDefault="00377C2C" w:rsidP="001D1A3C">
      <w:pPr>
        <w:jc w:val="center"/>
        <w:rPr>
          <w:b/>
          <w:sz w:val="20"/>
        </w:rPr>
      </w:pPr>
    </w:p>
    <w:p w:rsidR="00377C2C" w:rsidRDefault="00377C2C" w:rsidP="001D1A3C">
      <w:pPr>
        <w:jc w:val="center"/>
        <w:rPr>
          <w:b/>
          <w:sz w:val="20"/>
        </w:rPr>
      </w:pPr>
    </w:p>
    <w:p w:rsidR="00377C2C" w:rsidRDefault="00377C2C" w:rsidP="001D1A3C">
      <w:pPr>
        <w:jc w:val="center"/>
        <w:rPr>
          <w:b/>
          <w:sz w:val="20"/>
        </w:rPr>
      </w:pPr>
    </w:p>
    <w:p w:rsidR="00377C2C" w:rsidRDefault="00377C2C" w:rsidP="001D1A3C">
      <w:pPr>
        <w:jc w:val="center"/>
        <w:rPr>
          <w:b/>
          <w:sz w:val="20"/>
        </w:rPr>
      </w:pPr>
    </w:p>
    <w:p w:rsidR="00377C2C" w:rsidRDefault="00377C2C" w:rsidP="001D1A3C">
      <w:pPr>
        <w:jc w:val="center"/>
        <w:rPr>
          <w:b/>
          <w:sz w:val="20"/>
        </w:rPr>
      </w:pPr>
    </w:p>
    <w:p w:rsidR="00DA2DCA" w:rsidRPr="001D1A3C" w:rsidRDefault="00DA2DCA" w:rsidP="001D1A3C">
      <w:pPr>
        <w:jc w:val="center"/>
        <w:rPr>
          <w:sz w:val="18"/>
        </w:rPr>
      </w:pPr>
      <w:r w:rsidRPr="001D1A3C">
        <w:rPr>
          <w:b/>
          <w:sz w:val="20"/>
        </w:rPr>
        <w:t>Fonte:</w:t>
      </w:r>
      <w:r w:rsidRPr="001D1A3C">
        <w:rPr>
          <w:sz w:val="20"/>
        </w:rPr>
        <w:t xml:space="preserve"> </w:t>
      </w:r>
      <w:proofErr w:type="spellStart"/>
      <w:r w:rsidRPr="001D1A3C">
        <w:rPr>
          <w:sz w:val="20"/>
        </w:rPr>
        <w:t>FNEM</w:t>
      </w:r>
      <w:proofErr w:type="spellEnd"/>
      <w:r w:rsidRPr="001D1A3C">
        <w:rPr>
          <w:sz w:val="20"/>
        </w:rPr>
        <w:t>.</w:t>
      </w:r>
    </w:p>
    <w:p w:rsidR="00DA2DCA" w:rsidRDefault="00DA2DCA" w:rsidP="001D1A3C"/>
    <w:p w:rsidR="00DA2DCA" w:rsidRDefault="00DA2DCA" w:rsidP="001D1A3C">
      <w:r>
        <w:tab/>
        <w:t xml:space="preserve">A ausência de uma ordem jurídica, na edição das </w:t>
      </w:r>
      <w:proofErr w:type="spellStart"/>
      <w:r>
        <w:t>LC</w:t>
      </w:r>
      <w:proofErr w:type="spellEnd"/>
      <w:r>
        <w:t xml:space="preserve">, na constituição da </w:t>
      </w:r>
      <w:proofErr w:type="spellStart"/>
      <w:r>
        <w:t>RMN</w:t>
      </w:r>
      <w:proofErr w:type="spellEnd"/>
      <w:r>
        <w:t xml:space="preserve"> no formato atual também reflete a disparidade quando </w:t>
      </w:r>
      <w:r w:rsidR="003900F8">
        <w:t>se observa</w:t>
      </w:r>
      <w:r>
        <w:t xml:space="preserve"> as características de cada município. Divergem na uniformidade-regularidade populacional (Natal e Vera Cruz, por exemplo), industrial (Parnamirim e </w:t>
      </w:r>
      <w:proofErr w:type="spellStart"/>
      <w:r>
        <w:t>Ielmo</w:t>
      </w:r>
      <w:proofErr w:type="spellEnd"/>
      <w:r>
        <w:t xml:space="preserve"> Marinho, por exemplo), no contraste do espaço urbano-rural (Natal e Ceará-Mirim, por exemplo) bem como em relação à situação econômica, mensurada aqui a partir do Produto Interno Bruto</w:t>
      </w:r>
      <w:r w:rsidR="003900F8">
        <w:t xml:space="preserve"> (PIB)</w:t>
      </w:r>
      <w:r>
        <w:t xml:space="preserve">. </w:t>
      </w:r>
    </w:p>
    <w:p w:rsidR="00DA2DCA" w:rsidRDefault="00DA2DCA" w:rsidP="001D1A3C">
      <w:r>
        <w:t xml:space="preserve"> </w:t>
      </w:r>
      <w:r>
        <w:tab/>
        <w:t>O conceito do P</w:t>
      </w:r>
      <w:r w:rsidR="003900F8">
        <w:t>IB</w:t>
      </w:r>
      <w:r>
        <w:t xml:space="preserve"> adotado pode ser avaliado a partir da definição de tratar-se de “valor médio agregado por indivíduo, em moeda corrente e a preços de mercado, dos bens e serviços finais produzidos em determinado espaço</w:t>
      </w:r>
      <w:r w:rsidR="003900F8">
        <w:t xml:space="preserve"> geográfico, no ano </w:t>
      </w:r>
      <w:r w:rsidR="003900F8">
        <w:lastRenderedPageBreak/>
        <w:t>considerado</w:t>
      </w:r>
      <w:r>
        <w:t>” (</w:t>
      </w:r>
      <w:proofErr w:type="spellStart"/>
      <w:r w:rsidR="003900F8">
        <w:t>RIPSA</w:t>
      </w:r>
      <w:proofErr w:type="spellEnd"/>
      <w:r>
        <w:t>)</w:t>
      </w:r>
      <w:r w:rsidR="003900F8">
        <w:t>.</w:t>
      </w:r>
      <w:r>
        <w:t xml:space="preserve"> Em que pese as eventuais contradições geradas pelo PIB entre crescimento e desenvolvimento econômico, este é, sem dúvida, o mais eficaz parâmetro de avaliação – a médio e/ou longo prazos – de desempenho econômico nacional, regional, estadual ou municipal. Esta medida utilizada globalmente e adotada pelo IBGE teve sua criação em pleno período da II Guerra Mundial:</w:t>
      </w:r>
    </w:p>
    <w:p w:rsidR="00DA2DCA" w:rsidRDefault="003900F8" w:rsidP="001D1A3C">
      <w:r>
        <w:tab/>
      </w:r>
      <w:r w:rsidR="00DA2DCA">
        <w:t xml:space="preserve">O PIB foi idealizado por Simon Kuznets (1941) e é uma medida que </w:t>
      </w:r>
      <w:proofErr w:type="gramStart"/>
      <w:r w:rsidR="00DA2DCA">
        <w:t>tornou-se</w:t>
      </w:r>
      <w:proofErr w:type="gramEnd"/>
      <w:r w:rsidR="00DA2DCA">
        <w:t xml:space="preserve"> amplamente difundida com o advento da Segunda Guerra Mundial, em que tinha como escopo medir a produção de bens e serviços direcionados aos conflitos, como aviões, tanques e gastos com defesa. (SOUZA, 2018, p. 26)</w:t>
      </w:r>
    </w:p>
    <w:p w:rsidR="00DA2DCA" w:rsidRDefault="00DA2DCA" w:rsidP="001D1A3C">
      <w:r>
        <w:t xml:space="preserve"> </w:t>
      </w:r>
      <w:r>
        <w:tab/>
        <w:t xml:space="preserve">Esta “medida padrão de vida” também serve de parâmetro para a população que, embora não perceba seus resultados enquanto agregado macroeconômico, percebe diariamente o reflexo da desenvoltura econômica de sua localidade, do ambiente em que está inserido. Não é, consequentemente, uma medida neutra, embora contribua na análise estrutural, seja do ponto de vista micro seja do ponto de vista macroeconômico, como traz </w:t>
      </w:r>
      <w:proofErr w:type="spellStart"/>
      <w:r>
        <w:t>Stigltiz</w:t>
      </w:r>
      <w:proofErr w:type="spellEnd"/>
      <w:r>
        <w:t xml:space="preserve"> (</w:t>
      </w:r>
      <w:r>
        <w:rPr>
          <w:i/>
        </w:rPr>
        <w:t>apud</w:t>
      </w:r>
      <w:r>
        <w:t xml:space="preserve"> SOUZA, 2018, p. 27):</w:t>
      </w:r>
    </w:p>
    <w:p w:rsidR="00DA2DCA" w:rsidRDefault="003900F8" w:rsidP="001D1A3C">
      <w:r>
        <w:tab/>
      </w:r>
      <w:r w:rsidR="00DA2DCA">
        <w:t xml:space="preserve">A questão central é se o PIB provê uma boa medida do padrão de vida. Em muitos casos, o valor do PIB sugere que a economia vai bem melhor do que indicariam os cidadãos conforme suas percepções. Além disso, tal foco do PIB cria conflitos: lideres políticos são instruídos a maximizá-los, mas os cidadãos também demandam que seja dada atenção às melhorias da segurança, redução da poluição, sonora, ar, e das águas, o que por sua vez, diminui o crescimento do PIB (STIGLITZ, 2009, p 01). </w:t>
      </w:r>
    </w:p>
    <w:p w:rsidR="00DA2DCA" w:rsidRDefault="00DA2DCA" w:rsidP="001D1A3C">
      <w:r>
        <w:tab/>
        <w:t xml:space="preserve">O maior </w:t>
      </w:r>
      <w:r w:rsidR="00377C2C">
        <w:t xml:space="preserve">PIB </w:t>
      </w:r>
      <w:r>
        <w:t xml:space="preserve">dos municípios da </w:t>
      </w:r>
      <w:proofErr w:type="spellStart"/>
      <w:r>
        <w:t>RMN</w:t>
      </w:r>
      <w:proofErr w:type="spellEnd"/>
      <w:r>
        <w:t xml:space="preserve"> é atribuído à cidade de Natal, com cerca de R$ 20,9 bilhões (em 2015) enquanto o menor está associado à Vera Cruz, com cerca de R$ 93 milhões, uma proporção 225 vezes menor em relação à Capital. A seguir, Na Tabela 1, a evolução do </w:t>
      </w:r>
      <w:r w:rsidR="00377C2C">
        <w:t xml:space="preserve">PIB </w:t>
      </w:r>
      <w:r>
        <w:t xml:space="preserve">na </w:t>
      </w:r>
      <w:proofErr w:type="spellStart"/>
      <w:r>
        <w:t>RMN</w:t>
      </w:r>
      <w:proofErr w:type="spellEnd"/>
      <w:r>
        <w:t xml:space="preserve"> entre 2010 e 2015 (último ano apresentado pelo IBGE):</w:t>
      </w:r>
    </w:p>
    <w:p w:rsidR="00DA2DCA" w:rsidRDefault="00DA2DCA" w:rsidP="001D1A3C"/>
    <w:p w:rsidR="00377C2C" w:rsidRDefault="00377C2C" w:rsidP="001D1A3C"/>
    <w:p w:rsidR="00377C2C" w:rsidRDefault="00377C2C" w:rsidP="001D1A3C"/>
    <w:p w:rsidR="004676C9" w:rsidRDefault="00DA2DCA" w:rsidP="00377C2C">
      <w:pPr>
        <w:spacing w:line="240" w:lineRule="auto"/>
        <w:jc w:val="center"/>
        <w:rPr>
          <w:sz w:val="22"/>
        </w:rPr>
      </w:pPr>
      <w:r w:rsidRPr="00377C2C">
        <w:rPr>
          <w:b/>
          <w:sz w:val="22"/>
        </w:rPr>
        <w:lastRenderedPageBreak/>
        <w:t>TABELA 1</w:t>
      </w:r>
      <w:r w:rsidRPr="00377C2C">
        <w:rPr>
          <w:sz w:val="22"/>
        </w:rPr>
        <w:t xml:space="preserve"> – Classificação do </w:t>
      </w:r>
      <w:r w:rsidR="00377C2C" w:rsidRPr="00377C2C">
        <w:rPr>
          <w:sz w:val="22"/>
        </w:rPr>
        <w:t xml:space="preserve">PIB </w:t>
      </w:r>
      <w:r w:rsidRPr="00377C2C">
        <w:rPr>
          <w:sz w:val="22"/>
        </w:rPr>
        <w:t xml:space="preserve">na Região Metropolitana de Natal, 2010 a </w:t>
      </w:r>
      <w:proofErr w:type="gramStart"/>
      <w:r w:rsidRPr="00377C2C">
        <w:rPr>
          <w:sz w:val="22"/>
        </w:rPr>
        <w:t>2015</w:t>
      </w:r>
      <w:proofErr w:type="gramEnd"/>
      <w:r w:rsidRPr="00377C2C">
        <w:rPr>
          <w:sz w:val="22"/>
        </w:rPr>
        <w:t xml:space="preserve"> </w:t>
      </w:r>
    </w:p>
    <w:p w:rsidR="00DA2DCA" w:rsidRDefault="00DA2DCA" w:rsidP="00377C2C">
      <w:pPr>
        <w:spacing w:line="240" w:lineRule="auto"/>
        <w:jc w:val="center"/>
        <w:rPr>
          <w:sz w:val="22"/>
        </w:rPr>
      </w:pPr>
      <w:r w:rsidRPr="00377C2C">
        <w:rPr>
          <w:sz w:val="22"/>
        </w:rPr>
        <w:t>(em R$ 1 milhão).</w:t>
      </w:r>
    </w:p>
    <w:p w:rsidR="004676C9" w:rsidRPr="00377C2C" w:rsidRDefault="004676C9" w:rsidP="00377C2C">
      <w:pPr>
        <w:spacing w:line="240" w:lineRule="auto"/>
        <w:jc w:val="center"/>
        <w:rPr>
          <w:sz w:val="22"/>
        </w:rPr>
      </w:pPr>
    </w:p>
    <w:tbl>
      <w:tblPr>
        <w:tblW w:w="9075" w:type="dxa"/>
        <w:shd w:val="clear" w:color="auto" w:fill="FFFFFF" w:themeFill="background1"/>
        <w:tblLayout w:type="fixed"/>
        <w:tblCellMar>
          <w:left w:w="28" w:type="dxa"/>
          <w:right w:w="28" w:type="dxa"/>
        </w:tblCellMar>
        <w:tblLook w:val="04A0" w:firstRow="1" w:lastRow="0" w:firstColumn="1" w:lastColumn="0" w:noHBand="0" w:noVBand="1"/>
      </w:tblPr>
      <w:tblGrid>
        <w:gridCol w:w="879"/>
        <w:gridCol w:w="1392"/>
        <w:gridCol w:w="1134"/>
        <w:gridCol w:w="1134"/>
        <w:gridCol w:w="1134"/>
        <w:gridCol w:w="1134"/>
        <w:gridCol w:w="1134"/>
        <w:gridCol w:w="1134"/>
      </w:tblGrid>
      <w:tr w:rsidR="00DA2DCA" w:rsidTr="00377C2C">
        <w:tc>
          <w:tcPr>
            <w:tcW w:w="879" w:type="dxa"/>
            <w:tcBorders>
              <w:top w:val="single" w:sz="4" w:space="0" w:color="auto"/>
              <w:left w:val="nil"/>
              <w:bottom w:val="single" w:sz="4" w:space="0" w:color="auto"/>
              <w:right w:val="nil"/>
            </w:tcBorders>
            <w:shd w:val="clear" w:color="auto" w:fill="FFFFFF" w:themeFill="background1"/>
            <w:vAlign w:val="center"/>
            <w:hideMark/>
          </w:tcPr>
          <w:p w:rsidR="00DA2DCA" w:rsidRPr="00377C2C" w:rsidRDefault="00DA2DCA" w:rsidP="00377C2C">
            <w:pPr>
              <w:spacing w:line="240" w:lineRule="auto"/>
              <w:rPr>
                <w:sz w:val="20"/>
                <w:szCs w:val="20"/>
              </w:rPr>
            </w:pPr>
            <w:r w:rsidRPr="00377C2C">
              <w:rPr>
                <w:sz w:val="20"/>
                <w:szCs w:val="20"/>
              </w:rPr>
              <w:t>ORDEM</w:t>
            </w:r>
          </w:p>
        </w:tc>
        <w:tc>
          <w:tcPr>
            <w:tcW w:w="1392"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sz w:val="20"/>
                <w:szCs w:val="20"/>
              </w:rPr>
            </w:pPr>
            <w:r w:rsidRPr="00377C2C">
              <w:rPr>
                <w:sz w:val="20"/>
                <w:szCs w:val="20"/>
              </w:rPr>
              <w:t>CIDADE</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2010</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2011</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2012</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2013</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 xml:space="preserve"> 2014</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2015</w:t>
            </w:r>
          </w:p>
        </w:tc>
      </w:tr>
      <w:tr w:rsidR="00DA2DCA" w:rsidTr="00377C2C">
        <w:tc>
          <w:tcPr>
            <w:tcW w:w="879"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color w:val="000000"/>
                <w:sz w:val="20"/>
                <w:szCs w:val="20"/>
              </w:rPr>
            </w:pPr>
            <w:r w:rsidRPr="00377C2C">
              <w:rPr>
                <w:color w:val="000000"/>
                <w:sz w:val="20"/>
                <w:szCs w:val="20"/>
              </w:rPr>
              <w:t>1º</w:t>
            </w:r>
          </w:p>
        </w:tc>
        <w:tc>
          <w:tcPr>
            <w:tcW w:w="1392"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Natal</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12.919,0</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14.702,0</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16.542,6</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18.465,1</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19.100,6</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20.904,2</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color w:val="000000"/>
                <w:sz w:val="20"/>
                <w:szCs w:val="20"/>
              </w:rPr>
            </w:pPr>
            <w:r w:rsidRPr="00377C2C">
              <w:rPr>
                <w:color w:val="000000"/>
                <w:sz w:val="20"/>
                <w:szCs w:val="20"/>
              </w:rPr>
              <w:t>2º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Parnamirim</w:t>
            </w:r>
          </w:p>
        </w:tc>
        <w:tc>
          <w:tcPr>
            <w:tcW w:w="1134" w:type="dxa"/>
            <w:shd w:val="clear" w:color="auto" w:fill="FFFFFF" w:themeFill="background1"/>
            <w:noWrap/>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2.794,3</w:t>
            </w:r>
          </w:p>
        </w:tc>
        <w:tc>
          <w:tcPr>
            <w:tcW w:w="1134" w:type="dxa"/>
            <w:shd w:val="clear" w:color="auto" w:fill="FFFFFF" w:themeFill="background1"/>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2.966,4</w:t>
            </w:r>
          </w:p>
        </w:tc>
        <w:tc>
          <w:tcPr>
            <w:tcW w:w="1134" w:type="dxa"/>
            <w:shd w:val="clear" w:color="auto" w:fill="FFFFFF" w:themeFill="background1"/>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3.516,1</w:t>
            </w:r>
          </w:p>
        </w:tc>
        <w:tc>
          <w:tcPr>
            <w:tcW w:w="1134" w:type="dxa"/>
            <w:shd w:val="clear" w:color="auto" w:fill="FFFFFF" w:themeFill="background1"/>
            <w:noWrap/>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4.136,9</w:t>
            </w:r>
          </w:p>
        </w:tc>
        <w:tc>
          <w:tcPr>
            <w:tcW w:w="1134" w:type="dxa"/>
            <w:shd w:val="clear" w:color="auto" w:fill="FFFFFF" w:themeFill="background1"/>
            <w:noWrap/>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4.383,2</w:t>
            </w:r>
          </w:p>
        </w:tc>
        <w:tc>
          <w:tcPr>
            <w:tcW w:w="1134" w:type="dxa"/>
            <w:shd w:val="clear" w:color="auto" w:fill="FFFFFF" w:themeFill="background1"/>
            <w:vAlign w:val="bottom"/>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4.597,3</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3º</w:t>
            </w:r>
          </w:p>
        </w:tc>
        <w:tc>
          <w:tcPr>
            <w:tcW w:w="1392" w:type="dxa"/>
            <w:shd w:val="clear" w:color="auto" w:fill="FFFFFF" w:themeFill="background1"/>
            <w:noWrap/>
            <w:vAlign w:val="center"/>
            <w:hideMark/>
          </w:tcPr>
          <w:p w:rsidR="00DA2DCA" w:rsidRPr="00377C2C" w:rsidRDefault="00377C2C" w:rsidP="004676C9">
            <w:pPr>
              <w:spacing w:line="276" w:lineRule="auto"/>
              <w:jc w:val="left"/>
              <w:rPr>
                <w:color w:val="000000"/>
                <w:sz w:val="20"/>
                <w:szCs w:val="20"/>
                <w:lang w:eastAsia="en-US"/>
              </w:rPr>
            </w:pPr>
            <w:r>
              <w:rPr>
                <w:color w:val="000000"/>
                <w:sz w:val="20"/>
                <w:szCs w:val="20"/>
              </w:rPr>
              <w:t xml:space="preserve">S.G. </w:t>
            </w:r>
            <w:r w:rsidR="00DA2DCA" w:rsidRPr="00377C2C">
              <w:rPr>
                <w:color w:val="000000"/>
                <w:sz w:val="20"/>
                <w:szCs w:val="20"/>
              </w:rPr>
              <w:t>do Amarante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1.380,0</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1.418,1</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1.338,4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1.560,6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1.664,0</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1.555,8</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4º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Macaíba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1.057,4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1.079,8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1.324,9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1.389,1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1.355,8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1.413,0</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5º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Ceará-Mirim</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473,1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485,2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579,0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664,0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701,6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728,4</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6º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proofErr w:type="spellStart"/>
            <w:r w:rsidRPr="00377C2C">
              <w:rPr>
                <w:color w:val="000000"/>
                <w:sz w:val="20"/>
                <w:szCs w:val="20"/>
              </w:rPr>
              <w:t>S</w:t>
            </w:r>
            <w:r w:rsidR="00377C2C">
              <w:rPr>
                <w:color w:val="000000"/>
                <w:sz w:val="20"/>
                <w:szCs w:val="20"/>
              </w:rPr>
              <w:t>.</w:t>
            </w:r>
            <w:r w:rsidRPr="00377C2C">
              <w:rPr>
                <w:color w:val="000000"/>
                <w:sz w:val="20"/>
                <w:szCs w:val="20"/>
              </w:rPr>
              <w:t>J</w:t>
            </w:r>
            <w:proofErr w:type="spellEnd"/>
            <w:r w:rsidR="00377C2C">
              <w:rPr>
                <w:color w:val="000000"/>
                <w:sz w:val="20"/>
                <w:szCs w:val="20"/>
              </w:rPr>
              <w:t>.</w:t>
            </w:r>
            <w:r w:rsidRPr="00377C2C">
              <w:rPr>
                <w:color w:val="000000"/>
                <w:sz w:val="20"/>
                <w:szCs w:val="20"/>
              </w:rPr>
              <w:t xml:space="preserve"> de Mipibu</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409,7</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464,4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559,7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606,6</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649,1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693,0</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7º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Nísia Floresta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168,6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186,5</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220,4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268,0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296,0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334,1</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8º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Extremoz</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161,3</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187,9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212,6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247,0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263,2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299,2</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9º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Goianinha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151,6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182,7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203,1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233,8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262,2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296,7</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10º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Arês</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257,7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280,8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295,9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209,7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247,0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223,5</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11º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Monte Alegre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100,9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111,0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129,9</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150,2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162,9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177,4</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color w:val="000000"/>
                <w:sz w:val="20"/>
                <w:szCs w:val="20"/>
              </w:rPr>
            </w:pPr>
            <w:r w:rsidRPr="00377C2C">
              <w:rPr>
                <w:color w:val="000000"/>
                <w:sz w:val="20"/>
                <w:szCs w:val="20"/>
              </w:rPr>
              <w:t>12º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Maxaranguape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55,5</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60,7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67,0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81,3</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87,9</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98,1</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sz w:val="20"/>
                <w:szCs w:val="20"/>
              </w:rPr>
              <w:t>13º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proofErr w:type="spellStart"/>
            <w:r w:rsidRPr="00377C2C">
              <w:rPr>
                <w:color w:val="000000"/>
                <w:sz w:val="20"/>
                <w:szCs w:val="20"/>
              </w:rPr>
              <w:t>Ielmo</w:t>
            </w:r>
            <w:proofErr w:type="spellEnd"/>
            <w:r w:rsidRPr="00377C2C">
              <w:rPr>
                <w:color w:val="000000"/>
                <w:sz w:val="20"/>
                <w:szCs w:val="20"/>
              </w:rPr>
              <w:t xml:space="preserve"> Marinho</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63,8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65,2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74,4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83,1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92,4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96,5</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sz w:val="20"/>
                <w:szCs w:val="20"/>
              </w:rPr>
              <w:t>14º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Vera Cruz</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49,8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57,8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66,4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76,9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83,6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93,0</w:t>
            </w:r>
          </w:p>
        </w:tc>
      </w:tr>
      <w:tr w:rsidR="00DA2DCA" w:rsidTr="00377C2C">
        <w:tc>
          <w:tcPr>
            <w:tcW w:w="879" w:type="dxa"/>
            <w:tcBorders>
              <w:top w:val="nil"/>
              <w:left w:val="nil"/>
              <w:bottom w:val="single" w:sz="4" w:space="0" w:color="auto"/>
              <w:right w:val="nil"/>
            </w:tcBorders>
            <w:shd w:val="clear" w:color="auto" w:fill="FFFFFF" w:themeFill="background1"/>
            <w:vAlign w:val="center"/>
            <w:hideMark/>
          </w:tcPr>
          <w:p w:rsidR="00DA2DCA" w:rsidRPr="00377C2C" w:rsidRDefault="00DA2DCA" w:rsidP="004676C9">
            <w:pPr>
              <w:spacing w:line="276" w:lineRule="auto"/>
              <w:rPr>
                <w:color w:val="000000"/>
                <w:sz w:val="20"/>
                <w:szCs w:val="20"/>
              </w:rPr>
            </w:pPr>
            <w:r w:rsidRPr="00377C2C">
              <w:rPr>
                <w:color w:val="000000"/>
                <w:sz w:val="20"/>
                <w:szCs w:val="20"/>
              </w:rPr>
              <w:t>--</w:t>
            </w:r>
          </w:p>
        </w:tc>
        <w:tc>
          <w:tcPr>
            <w:tcW w:w="1392"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TOTAL</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20.042,7</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22.248,6</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25.130,5</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28.172,3</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29.349,6</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lang w:eastAsia="en-US"/>
              </w:rPr>
            </w:pPr>
            <w:r w:rsidRPr="00377C2C">
              <w:rPr>
                <w:color w:val="000000"/>
                <w:sz w:val="20"/>
                <w:szCs w:val="20"/>
              </w:rPr>
              <w:t>31.510,3</w:t>
            </w:r>
          </w:p>
        </w:tc>
      </w:tr>
    </w:tbl>
    <w:p w:rsidR="00DA2DCA" w:rsidRPr="00377C2C" w:rsidRDefault="00DA2DCA" w:rsidP="00377C2C">
      <w:pPr>
        <w:spacing w:line="240" w:lineRule="auto"/>
        <w:rPr>
          <w:sz w:val="18"/>
          <w:lang w:eastAsia="en-US"/>
        </w:rPr>
      </w:pPr>
      <w:r w:rsidRPr="00377C2C">
        <w:rPr>
          <w:b/>
          <w:sz w:val="20"/>
        </w:rPr>
        <w:t>Fonte:</w:t>
      </w:r>
      <w:r w:rsidRPr="00377C2C">
        <w:rPr>
          <w:sz w:val="20"/>
        </w:rPr>
        <w:t xml:space="preserve"> IBGE (elaboração própria).</w:t>
      </w:r>
    </w:p>
    <w:p w:rsidR="00DA2DCA" w:rsidRPr="00377C2C" w:rsidRDefault="00DA2DCA" w:rsidP="00377C2C">
      <w:pPr>
        <w:spacing w:line="240" w:lineRule="auto"/>
        <w:rPr>
          <w:sz w:val="20"/>
        </w:rPr>
      </w:pPr>
      <w:r w:rsidRPr="00377C2C">
        <w:rPr>
          <w:b/>
          <w:sz w:val="20"/>
        </w:rPr>
        <w:t>Nota:</w:t>
      </w:r>
      <w:r w:rsidRPr="00377C2C">
        <w:rPr>
          <w:sz w:val="20"/>
        </w:rPr>
        <w:t xml:space="preserve"> </w:t>
      </w:r>
      <w:r w:rsidR="00377C2C" w:rsidRPr="00377C2C">
        <w:rPr>
          <w:sz w:val="20"/>
        </w:rPr>
        <w:t xml:space="preserve">PIB </w:t>
      </w:r>
      <w:r w:rsidRPr="00377C2C">
        <w:rPr>
          <w:sz w:val="20"/>
        </w:rPr>
        <w:t>“s</w:t>
      </w:r>
      <w:r w:rsidR="004676C9">
        <w:rPr>
          <w:sz w:val="20"/>
        </w:rPr>
        <w:t>é</w:t>
      </w:r>
      <w:r w:rsidRPr="00377C2C">
        <w:rPr>
          <w:sz w:val="20"/>
        </w:rPr>
        <w:t>rie revisada”.</w:t>
      </w:r>
    </w:p>
    <w:p w:rsidR="00DA2DCA" w:rsidRDefault="00DA2DCA" w:rsidP="001D1A3C"/>
    <w:p w:rsidR="00DA2DCA" w:rsidRDefault="00DA2DCA" w:rsidP="001D1A3C">
      <w:r>
        <w:tab/>
        <w:t xml:space="preserve">As únicas alterações no período referem-se às cidades de Arês, na 7ª colocação em 2010 para a 10ª em 2015, e de </w:t>
      </w:r>
      <w:proofErr w:type="spellStart"/>
      <w:r>
        <w:t>Ielmo</w:t>
      </w:r>
      <w:proofErr w:type="spellEnd"/>
      <w:r>
        <w:t xml:space="preserve"> Marinho, que perdeu uma posição em 2015 em relação à 12ª colocação em 2010. Em Arês um dos relevantes aspectos da queda na participação do </w:t>
      </w:r>
      <w:r w:rsidR="00377C2C">
        <w:t xml:space="preserve">PIB </w:t>
      </w:r>
      <w:r>
        <w:t xml:space="preserve">foi o crescimento das atividades da </w:t>
      </w:r>
      <w:proofErr w:type="spellStart"/>
      <w:r>
        <w:t>Biosev</w:t>
      </w:r>
      <w:proofErr w:type="spellEnd"/>
      <w:r>
        <w:t xml:space="preserve"> (antiga Usina Estivas) que desconcentrou parcela de suas atividades administrativas para a vizinha Goianinha. Já a superação de </w:t>
      </w:r>
      <w:proofErr w:type="spellStart"/>
      <w:r>
        <w:t>Ielmo</w:t>
      </w:r>
      <w:proofErr w:type="spellEnd"/>
      <w:r>
        <w:t xml:space="preserve"> Marinho por Maxaranguape pode ser, eventualmente, associada ao crescimento do turismo no município litorâneo e à redução do desempenho econômico na produção de abacaxi.</w:t>
      </w:r>
    </w:p>
    <w:p w:rsidR="00DA2DCA" w:rsidRDefault="00DA2DCA" w:rsidP="001D1A3C">
      <w:r>
        <w:tab/>
        <w:t xml:space="preserve">Percebe-se, também, que a crise econômica nacional iniciada em 2014 e acentuada em 2015 não modificou substancialmente a evolução da série histórica, a única redução no </w:t>
      </w:r>
      <w:r w:rsidR="00377C2C">
        <w:t xml:space="preserve">PIB </w:t>
      </w:r>
      <w:r>
        <w:t>foi em São Gonçalo do Amarante decorrente</w:t>
      </w:r>
      <w:proofErr w:type="gramStart"/>
      <w:r>
        <w:t xml:space="preserve"> sobretudo</w:t>
      </w:r>
      <w:proofErr w:type="gramEnd"/>
      <w:r>
        <w:t xml:space="preserve"> da conclusão das obras do novo aeroporto em que os investimentos maciços em obras e a contratação de mão de obra foram diminuídos já em 2014 (o aeroporto foi concluído antes do início da Copa do mundo de futebol).</w:t>
      </w:r>
    </w:p>
    <w:p w:rsidR="00DA2DCA" w:rsidRDefault="00DA2DCA" w:rsidP="001D1A3C">
      <w:r>
        <w:lastRenderedPageBreak/>
        <w:tab/>
      </w:r>
      <w:r w:rsidR="00377C2C">
        <w:t>Outro</w:t>
      </w:r>
      <w:r>
        <w:t xml:space="preserve"> formato de avaliação utilizando o </w:t>
      </w:r>
      <w:r w:rsidR="00377C2C">
        <w:t xml:space="preserve">PIB </w:t>
      </w:r>
      <w:r>
        <w:t>como parâmetro é considerá-lo a partir da hipótese de uma repartição igualitária entre a população de determinada localidade. O “</w:t>
      </w:r>
      <w:r w:rsidR="00377C2C">
        <w:t xml:space="preserve">PIB </w:t>
      </w:r>
      <w:r>
        <w:rPr>
          <w:i/>
        </w:rPr>
        <w:t>per capita”</w:t>
      </w:r>
      <w:r>
        <w:t xml:space="preserve"> é, então, a divisão do </w:t>
      </w:r>
      <w:r w:rsidR="00377C2C">
        <w:t xml:space="preserve">PIB </w:t>
      </w:r>
      <w:r>
        <w:t xml:space="preserve">pela população. Para a </w:t>
      </w:r>
      <w:proofErr w:type="spellStart"/>
      <w:r>
        <w:t>RMN</w:t>
      </w:r>
      <w:proofErr w:type="spellEnd"/>
      <w:r>
        <w:t xml:space="preserve">, como indicado na Tabela 2 a seguir, ao avaliarmos o </w:t>
      </w:r>
      <w:proofErr w:type="spellStart"/>
      <w:proofErr w:type="gramStart"/>
      <w:r>
        <w:t>Pib</w:t>
      </w:r>
      <w:proofErr w:type="spellEnd"/>
      <w:proofErr w:type="gramEnd"/>
      <w:r>
        <w:t xml:space="preserve"> </w:t>
      </w:r>
      <w:r>
        <w:rPr>
          <w:i/>
        </w:rPr>
        <w:t>per capita</w:t>
      </w:r>
      <w:r>
        <w:t xml:space="preserve"> há uma hierarquização diferente se comparada apenas com o </w:t>
      </w:r>
      <w:proofErr w:type="spellStart"/>
      <w:r>
        <w:t>Pib</w:t>
      </w:r>
      <w:proofErr w:type="spellEnd"/>
      <w:r>
        <w:t>:</w:t>
      </w:r>
    </w:p>
    <w:p w:rsidR="00DA2DCA" w:rsidRPr="004676C9" w:rsidRDefault="00DA2DCA" w:rsidP="001D1A3C">
      <w:pPr>
        <w:rPr>
          <w:sz w:val="16"/>
        </w:rPr>
      </w:pPr>
    </w:p>
    <w:p w:rsidR="00DA2DCA" w:rsidRDefault="00DA2DCA" w:rsidP="00377C2C">
      <w:pPr>
        <w:spacing w:line="240" w:lineRule="auto"/>
        <w:jc w:val="center"/>
        <w:rPr>
          <w:sz w:val="22"/>
        </w:rPr>
      </w:pPr>
      <w:r w:rsidRPr="00377C2C">
        <w:rPr>
          <w:b/>
          <w:sz w:val="22"/>
        </w:rPr>
        <w:t>TABELA 2</w:t>
      </w:r>
      <w:r w:rsidRPr="00377C2C">
        <w:rPr>
          <w:sz w:val="22"/>
        </w:rPr>
        <w:t xml:space="preserve"> – Classificação do </w:t>
      </w:r>
      <w:r w:rsidR="004676C9" w:rsidRPr="00377C2C">
        <w:rPr>
          <w:sz w:val="22"/>
        </w:rPr>
        <w:t xml:space="preserve">PIB </w:t>
      </w:r>
      <w:r w:rsidRPr="00377C2C">
        <w:rPr>
          <w:i/>
          <w:sz w:val="22"/>
        </w:rPr>
        <w:t>per capita</w:t>
      </w:r>
      <w:r w:rsidRPr="00377C2C">
        <w:rPr>
          <w:sz w:val="22"/>
        </w:rPr>
        <w:t xml:space="preserve"> na Região Metropolitana de Natal, 2010 a 2015 (em R$ 1,0 milhão).</w:t>
      </w:r>
    </w:p>
    <w:p w:rsidR="004676C9" w:rsidRPr="00377C2C" w:rsidRDefault="004676C9" w:rsidP="00377C2C">
      <w:pPr>
        <w:spacing w:line="240" w:lineRule="auto"/>
        <w:jc w:val="center"/>
        <w:rPr>
          <w:sz w:val="22"/>
        </w:rPr>
      </w:pPr>
    </w:p>
    <w:tbl>
      <w:tblPr>
        <w:tblW w:w="9075" w:type="dxa"/>
        <w:shd w:val="clear" w:color="auto" w:fill="FFFFFF" w:themeFill="background1"/>
        <w:tblLayout w:type="fixed"/>
        <w:tblCellMar>
          <w:left w:w="28" w:type="dxa"/>
          <w:right w:w="28" w:type="dxa"/>
        </w:tblCellMar>
        <w:tblLook w:val="04A0" w:firstRow="1" w:lastRow="0" w:firstColumn="1" w:lastColumn="0" w:noHBand="0" w:noVBand="1"/>
      </w:tblPr>
      <w:tblGrid>
        <w:gridCol w:w="879"/>
        <w:gridCol w:w="1392"/>
        <w:gridCol w:w="1134"/>
        <w:gridCol w:w="1134"/>
        <w:gridCol w:w="1134"/>
        <w:gridCol w:w="1134"/>
        <w:gridCol w:w="1134"/>
        <w:gridCol w:w="1134"/>
      </w:tblGrid>
      <w:tr w:rsidR="00DA2DCA" w:rsidTr="00377C2C">
        <w:tc>
          <w:tcPr>
            <w:tcW w:w="879" w:type="dxa"/>
            <w:tcBorders>
              <w:top w:val="single" w:sz="4" w:space="0" w:color="auto"/>
              <w:left w:val="nil"/>
              <w:bottom w:val="single" w:sz="4" w:space="0" w:color="auto"/>
              <w:right w:val="nil"/>
            </w:tcBorders>
            <w:shd w:val="clear" w:color="auto" w:fill="FFFFFF" w:themeFill="background1"/>
            <w:vAlign w:val="center"/>
            <w:hideMark/>
          </w:tcPr>
          <w:p w:rsidR="00DA2DCA" w:rsidRPr="00377C2C" w:rsidRDefault="00377C2C" w:rsidP="00377C2C">
            <w:pPr>
              <w:spacing w:line="240" w:lineRule="auto"/>
              <w:rPr>
                <w:sz w:val="20"/>
                <w:szCs w:val="20"/>
              </w:rPr>
            </w:pPr>
            <w:r>
              <w:rPr>
                <w:sz w:val="20"/>
                <w:szCs w:val="20"/>
              </w:rPr>
              <w:t>OR</w:t>
            </w:r>
            <w:r w:rsidR="00DA2DCA" w:rsidRPr="00377C2C">
              <w:rPr>
                <w:sz w:val="20"/>
                <w:szCs w:val="20"/>
              </w:rPr>
              <w:t>DEM</w:t>
            </w:r>
          </w:p>
        </w:tc>
        <w:tc>
          <w:tcPr>
            <w:tcW w:w="1392"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sz w:val="20"/>
                <w:szCs w:val="20"/>
              </w:rPr>
            </w:pPr>
            <w:r w:rsidRPr="00377C2C">
              <w:rPr>
                <w:sz w:val="20"/>
                <w:szCs w:val="20"/>
              </w:rPr>
              <w:t>CIDADE</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2010</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2011</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2012</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2013</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 xml:space="preserve"> 2014</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377C2C" w:rsidRDefault="00DA2DCA" w:rsidP="00377C2C">
            <w:pPr>
              <w:spacing w:line="240" w:lineRule="auto"/>
              <w:rPr>
                <w:color w:val="000000"/>
                <w:sz w:val="20"/>
                <w:szCs w:val="20"/>
              </w:rPr>
            </w:pPr>
            <w:r w:rsidRPr="00377C2C">
              <w:rPr>
                <w:color w:val="000000"/>
                <w:sz w:val="20"/>
                <w:szCs w:val="20"/>
              </w:rPr>
              <w:t>2015</w:t>
            </w:r>
          </w:p>
        </w:tc>
      </w:tr>
      <w:tr w:rsidR="00DA2DCA" w:rsidTr="00377C2C">
        <w:tc>
          <w:tcPr>
            <w:tcW w:w="879"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color w:val="000000"/>
                <w:sz w:val="20"/>
                <w:szCs w:val="20"/>
              </w:rPr>
            </w:pPr>
            <w:r w:rsidRPr="00377C2C">
              <w:rPr>
                <w:color w:val="000000"/>
                <w:sz w:val="20"/>
                <w:szCs w:val="20"/>
              </w:rPr>
              <w:t>1º</w:t>
            </w:r>
          </w:p>
        </w:tc>
        <w:tc>
          <w:tcPr>
            <w:tcW w:w="1392"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Natal</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16.072,2</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18.133,1</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16.256,5</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21.623,7</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22.157,3</w:t>
            </w:r>
          </w:p>
        </w:tc>
        <w:tc>
          <w:tcPr>
            <w:tcW w:w="1134" w:type="dxa"/>
            <w:tcBorders>
              <w:top w:val="single" w:sz="4" w:space="0" w:color="auto"/>
              <w:left w:val="nil"/>
              <w:bottom w:val="nil"/>
              <w:right w:val="nil"/>
            </w:tcBorders>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24.029,2</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2º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Parnamirim</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13.804,9</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14.232,6</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16.415,3</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18.032,6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18.574,3</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lang w:eastAsia="en-US"/>
              </w:rPr>
            </w:pPr>
            <w:r w:rsidRPr="00377C2C">
              <w:rPr>
                <w:bCs/>
                <w:color w:val="000000"/>
                <w:sz w:val="20"/>
                <w:szCs w:val="20"/>
              </w:rPr>
              <w:t>18.966,9</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3º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Macaíba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15.206,2</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15.298,1</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13.908,0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18.387,4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17.654,0</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18.110,5</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4º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proofErr w:type="spellStart"/>
            <w:r w:rsidRPr="00377C2C">
              <w:rPr>
                <w:color w:val="000000"/>
                <w:sz w:val="20"/>
                <w:szCs w:val="20"/>
              </w:rPr>
              <w:t>S</w:t>
            </w:r>
            <w:r w:rsidR="00377C2C">
              <w:rPr>
                <w:color w:val="000000"/>
                <w:sz w:val="20"/>
                <w:szCs w:val="20"/>
              </w:rPr>
              <w:t>.</w:t>
            </w:r>
            <w:r w:rsidRPr="00377C2C">
              <w:rPr>
                <w:color w:val="000000"/>
                <w:sz w:val="20"/>
                <w:szCs w:val="20"/>
              </w:rPr>
              <w:t>J</w:t>
            </w:r>
            <w:proofErr w:type="spellEnd"/>
            <w:r w:rsidR="00377C2C">
              <w:rPr>
                <w:color w:val="000000"/>
                <w:sz w:val="20"/>
                <w:szCs w:val="20"/>
              </w:rPr>
              <w:t>.</w:t>
            </w:r>
            <w:r w:rsidRPr="00377C2C">
              <w:rPr>
                <w:color w:val="000000"/>
                <w:sz w:val="20"/>
                <w:szCs w:val="20"/>
              </w:rPr>
              <w:t xml:space="preserve"> </w:t>
            </w:r>
            <w:proofErr w:type="gramStart"/>
            <w:r w:rsidRPr="00377C2C">
              <w:rPr>
                <w:color w:val="000000"/>
                <w:sz w:val="20"/>
                <w:szCs w:val="20"/>
              </w:rPr>
              <w:t>de</w:t>
            </w:r>
            <w:proofErr w:type="gramEnd"/>
            <w:r w:rsidRPr="00377C2C">
              <w:rPr>
                <w:color w:val="000000"/>
                <w:sz w:val="20"/>
                <w:szCs w:val="20"/>
              </w:rPr>
              <w:t xml:space="preserve"> Mipibu</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10.301,4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11.567,2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13.816,6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14.325,6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15.174,2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16.044,1</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5º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Arês</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19.925,7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21.521,5</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22.471,9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15.236,1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17.764,4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15.916,8</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6º</w:t>
            </w:r>
          </w:p>
        </w:tc>
        <w:tc>
          <w:tcPr>
            <w:tcW w:w="1392" w:type="dxa"/>
            <w:shd w:val="clear" w:color="auto" w:fill="FFFFFF" w:themeFill="background1"/>
            <w:noWrap/>
            <w:vAlign w:val="center"/>
            <w:hideMark/>
          </w:tcPr>
          <w:p w:rsidR="00DA2DCA" w:rsidRPr="00377C2C" w:rsidRDefault="00DA2DCA" w:rsidP="004676C9">
            <w:pPr>
              <w:spacing w:line="276" w:lineRule="auto"/>
              <w:jc w:val="left"/>
              <w:rPr>
                <w:color w:val="000000"/>
                <w:sz w:val="20"/>
                <w:szCs w:val="20"/>
              </w:rPr>
            </w:pPr>
            <w:r w:rsidRPr="00377C2C">
              <w:rPr>
                <w:color w:val="000000"/>
                <w:sz w:val="20"/>
                <w:szCs w:val="20"/>
              </w:rPr>
              <w:t>S</w:t>
            </w:r>
            <w:r w:rsidR="00377C2C">
              <w:rPr>
                <w:color w:val="000000"/>
                <w:sz w:val="20"/>
                <w:szCs w:val="20"/>
              </w:rPr>
              <w:t>.</w:t>
            </w:r>
            <w:r w:rsidRPr="00377C2C">
              <w:rPr>
                <w:color w:val="000000"/>
                <w:sz w:val="20"/>
                <w:szCs w:val="20"/>
              </w:rPr>
              <w:t>G</w:t>
            </w:r>
            <w:r w:rsidR="00377C2C">
              <w:rPr>
                <w:color w:val="000000"/>
                <w:sz w:val="20"/>
                <w:szCs w:val="20"/>
              </w:rPr>
              <w:t>.</w:t>
            </w:r>
            <w:r w:rsidRPr="00377C2C">
              <w:rPr>
                <w:color w:val="000000"/>
                <w:sz w:val="20"/>
                <w:szCs w:val="20"/>
              </w:rPr>
              <w:t xml:space="preserve"> do Amarante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15.735,5</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15.925,9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14.285,9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16.389,4</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17.197,6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15.833,3</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7º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Nísia Floresta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7.080,4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7.721,2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8.994,8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10.388,9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11.293,3</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12.557,9</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8º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Goianinha</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6.748,3</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7.997,6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8.750,0</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9.550,7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10.534,2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11.731,2</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9º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Extremoz</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6.570,1</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7.528,4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8.396,9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9.259,4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9.711,2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10.872,0</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10º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Ceará-Mirim</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6.973,9</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7.075,6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8.390,2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9.240,6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9.694,6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9.994,8</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11º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Maxaranguape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5.311,2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5.712,8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6.202,6</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7.117,7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7.562,7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8.294,6</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12º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Monte Alegre</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4.880,5</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5.329,8</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6.197,3</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6.881,0</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7.404,5</w:t>
            </w:r>
          </w:p>
        </w:tc>
        <w:tc>
          <w:tcPr>
            <w:tcW w:w="1134" w:type="dxa"/>
            <w:shd w:val="clear" w:color="auto" w:fill="FFFFFF" w:themeFill="background1"/>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8.005,4</w:t>
            </w:r>
          </w:p>
        </w:tc>
      </w:tr>
      <w:tr w:rsidR="00DA2DCA" w:rsidTr="00377C2C">
        <w:tc>
          <w:tcPr>
            <w:tcW w:w="879" w:type="dxa"/>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color w:val="000000"/>
                <w:sz w:val="20"/>
                <w:szCs w:val="20"/>
              </w:rPr>
              <w:t>13º</w:t>
            </w:r>
          </w:p>
        </w:tc>
        <w:tc>
          <w:tcPr>
            <w:tcW w:w="1392"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Vera Cruz</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4.645,7</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5.312,6</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6.007,6</w:t>
            </w:r>
          </w:p>
        </w:tc>
        <w:tc>
          <w:tcPr>
            <w:tcW w:w="1134" w:type="dxa"/>
            <w:shd w:val="clear" w:color="auto" w:fill="FFFFFF" w:themeFill="background1"/>
            <w:noWrap/>
            <w:vAlign w:val="center"/>
            <w:hideMark/>
          </w:tcPr>
          <w:p w:rsidR="00DA2DCA" w:rsidRPr="00377C2C" w:rsidRDefault="00DA2DCA" w:rsidP="004676C9">
            <w:pPr>
              <w:spacing w:line="276" w:lineRule="auto"/>
              <w:rPr>
                <w:color w:val="000000"/>
                <w:sz w:val="20"/>
                <w:szCs w:val="20"/>
              </w:rPr>
            </w:pPr>
            <w:r w:rsidRPr="00377C2C">
              <w:rPr>
                <w:color w:val="000000"/>
                <w:sz w:val="20"/>
                <w:szCs w:val="20"/>
              </w:rPr>
              <w:t>6.599,2</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7.065,4</w:t>
            </w:r>
          </w:p>
        </w:tc>
        <w:tc>
          <w:tcPr>
            <w:tcW w:w="1134" w:type="dxa"/>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7.738,5</w:t>
            </w:r>
          </w:p>
        </w:tc>
      </w:tr>
      <w:tr w:rsidR="00DA2DCA" w:rsidTr="00377C2C">
        <w:tc>
          <w:tcPr>
            <w:tcW w:w="879" w:type="dxa"/>
            <w:tcBorders>
              <w:top w:val="nil"/>
              <w:left w:val="nil"/>
              <w:bottom w:val="single" w:sz="4" w:space="0" w:color="auto"/>
              <w:right w:val="nil"/>
            </w:tcBorders>
            <w:shd w:val="clear" w:color="auto" w:fill="FFFFFF" w:themeFill="background1"/>
            <w:vAlign w:val="center"/>
            <w:hideMark/>
          </w:tcPr>
          <w:p w:rsidR="00DA2DCA" w:rsidRPr="00377C2C" w:rsidRDefault="00DA2DCA" w:rsidP="004676C9">
            <w:pPr>
              <w:spacing w:line="276" w:lineRule="auto"/>
              <w:rPr>
                <w:sz w:val="20"/>
                <w:szCs w:val="20"/>
                <w:lang w:eastAsia="en-US"/>
              </w:rPr>
            </w:pPr>
            <w:r w:rsidRPr="00377C2C">
              <w:rPr>
                <w:sz w:val="20"/>
                <w:szCs w:val="20"/>
              </w:rPr>
              <w:t>14º</w:t>
            </w:r>
          </w:p>
        </w:tc>
        <w:tc>
          <w:tcPr>
            <w:tcW w:w="1392"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color w:val="000000"/>
                <w:sz w:val="20"/>
                <w:szCs w:val="20"/>
              </w:rPr>
            </w:pPr>
            <w:proofErr w:type="spellStart"/>
            <w:r w:rsidRPr="00377C2C">
              <w:rPr>
                <w:color w:val="000000"/>
                <w:sz w:val="20"/>
                <w:szCs w:val="20"/>
              </w:rPr>
              <w:t>Ielmo</w:t>
            </w:r>
            <w:proofErr w:type="spellEnd"/>
            <w:r w:rsidRPr="00377C2C">
              <w:rPr>
                <w:color w:val="000000"/>
                <w:sz w:val="20"/>
                <w:szCs w:val="20"/>
              </w:rPr>
              <w:t xml:space="preserve"> Marinho</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5.233,5</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5.291,2</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5.971,3</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6.356,2</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6.981,3</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377C2C" w:rsidRDefault="00DA2DCA" w:rsidP="004676C9">
            <w:pPr>
              <w:spacing w:line="276" w:lineRule="auto"/>
              <w:rPr>
                <w:bCs/>
                <w:color w:val="000000"/>
                <w:sz w:val="20"/>
                <w:szCs w:val="20"/>
              </w:rPr>
            </w:pPr>
            <w:r w:rsidRPr="00377C2C">
              <w:rPr>
                <w:bCs/>
                <w:color w:val="000000"/>
                <w:sz w:val="20"/>
                <w:szCs w:val="20"/>
              </w:rPr>
              <w:t>7.204,2</w:t>
            </w:r>
          </w:p>
        </w:tc>
      </w:tr>
    </w:tbl>
    <w:p w:rsidR="00DA2DCA" w:rsidRPr="00377C2C" w:rsidRDefault="00DA2DCA" w:rsidP="00377C2C">
      <w:pPr>
        <w:spacing w:line="240" w:lineRule="auto"/>
        <w:rPr>
          <w:b/>
          <w:sz w:val="20"/>
        </w:rPr>
      </w:pPr>
      <w:r w:rsidRPr="00377C2C">
        <w:rPr>
          <w:b/>
          <w:sz w:val="20"/>
        </w:rPr>
        <w:t xml:space="preserve">Fonte: </w:t>
      </w:r>
      <w:r w:rsidRPr="00377C2C">
        <w:rPr>
          <w:sz w:val="20"/>
        </w:rPr>
        <w:t>IBGE (elaboração própria).</w:t>
      </w:r>
    </w:p>
    <w:p w:rsidR="00DA2DCA" w:rsidRPr="00377C2C" w:rsidRDefault="00DA2DCA" w:rsidP="00377C2C">
      <w:pPr>
        <w:spacing w:line="240" w:lineRule="auto"/>
        <w:rPr>
          <w:b/>
          <w:sz w:val="20"/>
        </w:rPr>
      </w:pPr>
      <w:r w:rsidRPr="00377C2C">
        <w:rPr>
          <w:b/>
          <w:sz w:val="20"/>
        </w:rPr>
        <w:t xml:space="preserve">Nota: </w:t>
      </w:r>
      <w:r w:rsidR="00377C2C" w:rsidRPr="00377C2C">
        <w:rPr>
          <w:sz w:val="20"/>
        </w:rPr>
        <w:t xml:space="preserve">PIB </w:t>
      </w:r>
      <w:r w:rsidR="004676C9">
        <w:rPr>
          <w:sz w:val="20"/>
        </w:rPr>
        <w:t>“sé</w:t>
      </w:r>
      <w:r w:rsidRPr="00377C2C">
        <w:rPr>
          <w:sz w:val="20"/>
        </w:rPr>
        <w:t>rie revisada”.</w:t>
      </w:r>
    </w:p>
    <w:p w:rsidR="00DA2DCA" w:rsidRDefault="00DA2DCA" w:rsidP="001D1A3C">
      <w:pPr>
        <w:rPr>
          <w:sz w:val="28"/>
        </w:rPr>
      </w:pPr>
    </w:p>
    <w:p w:rsidR="00DA2DCA" w:rsidRDefault="00DA2DCA" w:rsidP="001D1A3C">
      <w:pPr>
        <w:rPr>
          <w:bCs/>
          <w:color w:val="000000"/>
        </w:rPr>
      </w:pPr>
      <w:r>
        <w:t xml:space="preserve"> </w:t>
      </w:r>
      <w:r>
        <w:tab/>
        <w:t xml:space="preserve">A liderança continua a estar representada por Natal, com R$ </w:t>
      </w:r>
      <w:r>
        <w:rPr>
          <w:bCs/>
          <w:color w:val="000000"/>
        </w:rPr>
        <w:t xml:space="preserve">24.029,17 de renda média mensal, enquanto na outra extremidade, aparece </w:t>
      </w:r>
      <w:proofErr w:type="spellStart"/>
      <w:r>
        <w:rPr>
          <w:bCs/>
          <w:color w:val="000000"/>
        </w:rPr>
        <w:t>Ielmo</w:t>
      </w:r>
      <w:proofErr w:type="spellEnd"/>
      <w:r>
        <w:rPr>
          <w:bCs/>
          <w:color w:val="000000"/>
        </w:rPr>
        <w:t xml:space="preserve"> Marinho, com R$ 7.204,24: uma diferença 3,3 vezes maior em favor da Capital.</w:t>
      </w:r>
    </w:p>
    <w:p w:rsidR="00DA2DCA" w:rsidRDefault="00DA2DCA" w:rsidP="001D1A3C">
      <w:pPr>
        <w:rPr>
          <w:bCs/>
          <w:color w:val="000000"/>
        </w:rPr>
      </w:pPr>
      <w:r>
        <w:rPr>
          <w:bCs/>
          <w:color w:val="000000"/>
        </w:rPr>
        <w:tab/>
        <w:t xml:space="preserve">Uma comparação mais dinâmica do impacto do PIB na população das cidades é a percepção do resultado econômico no dia a dia pode ser obtida a partir da comparação da renda </w:t>
      </w:r>
      <w:r>
        <w:rPr>
          <w:bCs/>
          <w:i/>
          <w:color w:val="000000"/>
        </w:rPr>
        <w:t>per capita</w:t>
      </w:r>
      <w:r>
        <w:rPr>
          <w:bCs/>
          <w:color w:val="000000"/>
        </w:rPr>
        <w:t xml:space="preserve"> com o salário-mínimo. </w:t>
      </w:r>
    </w:p>
    <w:p w:rsidR="00DA2DCA" w:rsidRDefault="00DA2DCA" w:rsidP="001D1A3C">
      <w:pPr>
        <w:rPr>
          <w:bCs/>
          <w:color w:val="000000"/>
        </w:rPr>
      </w:pPr>
      <w:r>
        <w:rPr>
          <w:bCs/>
          <w:color w:val="000000"/>
        </w:rPr>
        <w:t xml:space="preserve"> </w:t>
      </w:r>
      <w:r>
        <w:rPr>
          <w:bCs/>
          <w:color w:val="000000"/>
        </w:rPr>
        <w:tab/>
        <w:t>Os resultados comparativos estão na Tabela a seguir:</w:t>
      </w:r>
    </w:p>
    <w:p w:rsidR="004676C9" w:rsidRDefault="004676C9" w:rsidP="001D1A3C">
      <w:pPr>
        <w:rPr>
          <w:bCs/>
          <w:color w:val="000000"/>
        </w:rPr>
      </w:pPr>
    </w:p>
    <w:p w:rsidR="004676C9" w:rsidRDefault="004676C9" w:rsidP="001D1A3C">
      <w:pPr>
        <w:rPr>
          <w:bCs/>
          <w:color w:val="000000"/>
        </w:rPr>
      </w:pPr>
    </w:p>
    <w:p w:rsidR="004676C9" w:rsidRDefault="004676C9" w:rsidP="001D1A3C">
      <w:pPr>
        <w:rPr>
          <w:bCs/>
          <w:color w:val="000000"/>
        </w:rPr>
      </w:pPr>
    </w:p>
    <w:p w:rsidR="00DA2DCA" w:rsidRDefault="00DA2DCA" w:rsidP="004676C9">
      <w:pPr>
        <w:spacing w:line="240" w:lineRule="auto"/>
        <w:jc w:val="center"/>
        <w:rPr>
          <w:sz w:val="22"/>
        </w:rPr>
      </w:pPr>
      <w:r w:rsidRPr="004676C9">
        <w:rPr>
          <w:b/>
          <w:sz w:val="22"/>
        </w:rPr>
        <w:lastRenderedPageBreak/>
        <w:t>TABELA 3</w:t>
      </w:r>
      <w:r w:rsidRPr="004676C9">
        <w:rPr>
          <w:sz w:val="22"/>
        </w:rPr>
        <w:t xml:space="preserve"> – Variação do </w:t>
      </w:r>
      <w:r w:rsidR="004676C9" w:rsidRPr="004676C9">
        <w:rPr>
          <w:sz w:val="22"/>
        </w:rPr>
        <w:t xml:space="preserve">PIB </w:t>
      </w:r>
      <w:r w:rsidRPr="004676C9">
        <w:rPr>
          <w:i/>
          <w:sz w:val="22"/>
        </w:rPr>
        <w:t>per capita</w:t>
      </w:r>
      <w:r w:rsidRPr="004676C9">
        <w:rPr>
          <w:sz w:val="22"/>
        </w:rPr>
        <w:t xml:space="preserve"> em Reais e em salários-mínimos na Região Metropolitana de Natal, 2010 a 2015.</w:t>
      </w:r>
    </w:p>
    <w:p w:rsidR="004676C9" w:rsidRPr="004676C9" w:rsidRDefault="004676C9" w:rsidP="004676C9">
      <w:pPr>
        <w:spacing w:line="240" w:lineRule="auto"/>
        <w:jc w:val="center"/>
        <w:rPr>
          <w:sz w:val="22"/>
        </w:rPr>
      </w:pPr>
    </w:p>
    <w:tbl>
      <w:tblPr>
        <w:tblW w:w="8790" w:type="dxa"/>
        <w:shd w:val="clear" w:color="auto" w:fill="FFFFFF" w:themeFill="background1"/>
        <w:tblLayout w:type="fixed"/>
        <w:tblCellMar>
          <w:left w:w="28" w:type="dxa"/>
          <w:right w:w="28" w:type="dxa"/>
        </w:tblCellMar>
        <w:tblLook w:val="04A0" w:firstRow="1" w:lastRow="0" w:firstColumn="1" w:lastColumn="0" w:noHBand="0" w:noVBand="1"/>
      </w:tblPr>
      <w:tblGrid>
        <w:gridCol w:w="879"/>
        <w:gridCol w:w="1390"/>
        <w:gridCol w:w="1361"/>
        <w:gridCol w:w="1361"/>
        <w:gridCol w:w="1134"/>
        <w:gridCol w:w="1134"/>
        <w:gridCol w:w="1531"/>
      </w:tblGrid>
      <w:tr w:rsidR="00DA2DCA" w:rsidTr="004676C9">
        <w:tc>
          <w:tcPr>
            <w:tcW w:w="879" w:type="dxa"/>
            <w:vMerge w:val="restart"/>
            <w:tcBorders>
              <w:top w:val="single" w:sz="4" w:space="0" w:color="auto"/>
              <w:left w:val="nil"/>
              <w:bottom w:val="single" w:sz="4" w:space="0" w:color="auto"/>
              <w:right w:val="nil"/>
            </w:tcBorders>
            <w:shd w:val="clear" w:color="auto" w:fill="FFFFFF" w:themeFill="background1"/>
            <w:vAlign w:val="center"/>
            <w:hideMark/>
          </w:tcPr>
          <w:p w:rsidR="00DA2DCA" w:rsidRPr="004676C9" w:rsidRDefault="004676C9" w:rsidP="004676C9">
            <w:pPr>
              <w:spacing w:line="240" w:lineRule="auto"/>
              <w:rPr>
                <w:sz w:val="20"/>
                <w:szCs w:val="20"/>
              </w:rPr>
            </w:pPr>
            <w:r>
              <w:rPr>
                <w:sz w:val="20"/>
                <w:szCs w:val="20"/>
              </w:rPr>
              <w:t>OR</w:t>
            </w:r>
            <w:r w:rsidR="00DA2DCA" w:rsidRPr="004676C9">
              <w:rPr>
                <w:sz w:val="20"/>
                <w:szCs w:val="20"/>
              </w:rPr>
              <w:t>DEM</w:t>
            </w:r>
          </w:p>
        </w:tc>
        <w:tc>
          <w:tcPr>
            <w:tcW w:w="1390" w:type="dxa"/>
            <w:vMerge w:val="restart"/>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sz w:val="20"/>
                <w:szCs w:val="20"/>
              </w:rPr>
            </w:pPr>
            <w:r w:rsidRPr="004676C9">
              <w:rPr>
                <w:sz w:val="20"/>
                <w:szCs w:val="20"/>
              </w:rPr>
              <w:t>CIDADE</w:t>
            </w:r>
          </w:p>
        </w:tc>
        <w:tc>
          <w:tcPr>
            <w:tcW w:w="2722" w:type="dxa"/>
            <w:gridSpan w:val="2"/>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color w:val="000000"/>
                <w:sz w:val="20"/>
                <w:szCs w:val="20"/>
              </w:rPr>
            </w:pPr>
            <w:r w:rsidRPr="004676C9">
              <w:rPr>
                <w:color w:val="000000"/>
                <w:sz w:val="20"/>
                <w:szCs w:val="20"/>
              </w:rPr>
              <w:t>VARIAÇÃO % DO PIB</w:t>
            </w:r>
            <w:proofErr w:type="gramStart"/>
            <w:r w:rsidRPr="004676C9">
              <w:rPr>
                <w:color w:val="000000"/>
                <w:sz w:val="20"/>
                <w:szCs w:val="20"/>
              </w:rPr>
              <w:t xml:space="preserve">  </w:t>
            </w:r>
            <w:proofErr w:type="gramEnd"/>
            <w:r w:rsidRPr="004676C9">
              <w:rPr>
                <w:color w:val="000000"/>
                <w:sz w:val="20"/>
                <w:szCs w:val="20"/>
              </w:rPr>
              <w:t>2010/2015</w:t>
            </w:r>
          </w:p>
        </w:tc>
        <w:tc>
          <w:tcPr>
            <w:tcW w:w="3799" w:type="dxa"/>
            <w:gridSpan w:val="3"/>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color w:val="000000"/>
                <w:sz w:val="20"/>
                <w:szCs w:val="20"/>
              </w:rPr>
            </w:pPr>
            <w:r w:rsidRPr="004676C9">
              <w:rPr>
                <w:color w:val="000000"/>
                <w:sz w:val="20"/>
                <w:szCs w:val="20"/>
              </w:rPr>
              <w:t>PIB PER CAPITA</w:t>
            </w:r>
          </w:p>
          <w:p w:rsidR="00DA2DCA" w:rsidRPr="004676C9" w:rsidRDefault="00DA2DCA" w:rsidP="004676C9">
            <w:pPr>
              <w:spacing w:line="240" w:lineRule="auto"/>
              <w:rPr>
                <w:color w:val="000000"/>
                <w:sz w:val="20"/>
                <w:szCs w:val="20"/>
              </w:rPr>
            </w:pPr>
            <w:r w:rsidRPr="004676C9">
              <w:rPr>
                <w:color w:val="000000"/>
                <w:sz w:val="20"/>
                <w:szCs w:val="20"/>
              </w:rPr>
              <w:t>EM SALÁRIOS-MÍNIMOS</w:t>
            </w:r>
          </w:p>
        </w:tc>
      </w:tr>
      <w:tr w:rsidR="00DA2DCA" w:rsidTr="004676C9">
        <w:tc>
          <w:tcPr>
            <w:tcW w:w="879" w:type="dxa"/>
            <w:vMerge/>
            <w:tcBorders>
              <w:top w:val="single" w:sz="4" w:space="0" w:color="auto"/>
              <w:left w:val="nil"/>
              <w:bottom w:val="single" w:sz="4" w:space="0" w:color="auto"/>
              <w:right w:val="nil"/>
            </w:tcBorders>
            <w:shd w:val="clear" w:color="auto" w:fill="FFFFFF" w:themeFill="background1"/>
            <w:vAlign w:val="center"/>
            <w:hideMark/>
          </w:tcPr>
          <w:p w:rsidR="00DA2DCA" w:rsidRPr="004676C9" w:rsidRDefault="00DA2DCA" w:rsidP="004676C9">
            <w:pPr>
              <w:spacing w:line="240" w:lineRule="auto"/>
              <w:rPr>
                <w:sz w:val="20"/>
                <w:szCs w:val="20"/>
              </w:rPr>
            </w:pPr>
          </w:p>
        </w:tc>
        <w:tc>
          <w:tcPr>
            <w:tcW w:w="1390" w:type="dxa"/>
            <w:vMerge/>
            <w:tcBorders>
              <w:top w:val="single" w:sz="4" w:space="0" w:color="auto"/>
              <w:left w:val="nil"/>
              <w:bottom w:val="single" w:sz="4" w:space="0" w:color="auto"/>
              <w:right w:val="nil"/>
            </w:tcBorders>
            <w:shd w:val="clear" w:color="auto" w:fill="FFFFFF" w:themeFill="background1"/>
            <w:vAlign w:val="center"/>
            <w:hideMark/>
          </w:tcPr>
          <w:p w:rsidR="00DA2DCA" w:rsidRPr="004676C9" w:rsidRDefault="00DA2DCA" w:rsidP="004676C9">
            <w:pPr>
              <w:spacing w:line="240" w:lineRule="auto"/>
              <w:rPr>
                <w:sz w:val="20"/>
                <w:szCs w:val="20"/>
              </w:rPr>
            </w:pPr>
          </w:p>
        </w:tc>
        <w:tc>
          <w:tcPr>
            <w:tcW w:w="1361" w:type="dxa"/>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i/>
                <w:color w:val="000000"/>
                <w:sz w:val="20"/>
                <w:szCs w:val="20"/>
              </w:rPr>
            </w:pPr>
            <w:r w:rsidRPr="004676C9">
              <w:rPr>
                <w:i/>
                <w:color w:val="000000"/>
                <w:sz w:val="20"/>
                <w:szCs w:val="20"/>
              </w:rPr>
              <w:t>PER CAPITA</w:t>
            </w:r>
          </w:p>
        </w:tc>
        <w:tc>
          <w:tcPr>
            <w:tcW w:w="1361" w:type="dxa"/>
            <w:tcBorders>
              <w:top w:val="single" w:sz="4" w:space="0" w:color="auto"/>
              <w:left w:val="nil"/>
              <w:bottom w:val="single" w:sz="4" w:space="0" w:color="auto"/>
              <w:right w:val="nil"/>
            </w:tcBorders>
            <w:shd w:val="clear" w:color="auto" w:fill="FFFFFF" w:themeFill="background1"/>
            <w:vAlign w:val="center"/>
            <w:hideMark/>
          </w:tcPr>
          <w:p w:rsidR="00DA2DCA" w:rsidRPr="004676C9" w:rsidRDefault="00DA2DCA" w:rsidP="004676C9">
            <w:pPr>
              <w:spacing w:line="240" w:lineRule="auto"/>
              <w:rPr>
                <w:color w:val="000000"/>
                <w:sz w:val="20"/>
                <w:szCs w:val="20"/>
              </w:rPr>
            </w:pPr>
            <w:r w:rsidRPr="004676C9">
              <w:rPr>
                <w:color w:val="000000"/>
                <w:sz w:val="20"/>
                <w:szCs w:val="20"/>
              </w:rPr>
              <w:t>TOTAL</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color w:val="000000"/>
                <w:sz w:val="20"/>
                <w:szCs w:val="20"/>
              </w:rPr>
            </w:pPr>
            <w:r w:rsidRPr="004676C9">
              <w:rPr>
                <w:color w:val="000000"/>
                <w:sz w:val="20"/>
                <w:szCs w:val="20"/>
              </w:rPr>
              <w:t>2010</w:t>
            </w:r>
          </w:p>
        </w:tc>
        <w:tc>
          <w:tcPr>
            <w:tcW w:w="1134" w:type="dxa"/>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color w:val="000000"/>
                <w:sz w:val="20"/>
                <w:szCs w:val="20"/>
              </w:rPr>
            </w:pPr>
            <w:r w:rsidRPr="004676C9">
              <w:rPr>
                <w:color w:val="000000"/>
                <w:sz w:val="20"/>
                <w:szCs w:val="20"/>
              </w:rPr>
              <w:t>2015</w:t>
            </w:r>
          </w:p>
        </w:tc>
        <w:tc>
          <w:tcPr>
            <w:tcW w:w="1531" w:type="dxa"/>
            <w:tcBorders>
              <w:top w:val="single" w:sz="4" w:space="0" w:color="auto"/>
              <w:left w:val="nil"/>
              <w:bottom w:val="single" w:sz="4" w:space="0" w:color="auto"/>
              <w:right w:val="nil"/>
            </w:tcBorders>
            <w:shd w:val="clear" w:color="auto" w:fill="FFFFFF" w:themeFill="background1"/>
            <w:noWrap/>
            <w:vAlign w:val="center"/>
            <w:hideMark/>
          </w:tcPr>
          <w:p w:rsidR="00DA2DCA" w:rsidRPr="004676C9" w:rsidRDefault="00DA2DCA" w:rsidP="004676C9">
            <w:pPr>
              <w:spacing w:line="240" w:lineRule="auto"/>
              <w:rPr>
                <w:color w:val="000000"/>
                <w:sz w:val="20"/>
                <w:szCs w:val="20"/>
              </w:rPr>
            </w:pPr>
            <w:r w:rsidRPr="004676C9">
              <w:rPr>
                <w:color w:val="000000"/>
                <w:sz w:val="20"/>
                <w:szCs w:val="20"/>
              </w:rPr>
              <w:t>VARIAÇÃO 2010/2015</w:t>
            </w:r>
          </w:p>
        </w:tc>
      </w:tr>
      <w:tr w:rsidR="00DA2DCA" w:rsidTr="004676C9">
        <w:tc>
          <w:tcPr>
            <w:tcW w:w="879" w:type="dxa"/>
            <w:tcBorders>
              <w:top w:val="single" w:sz="4" w:space="0" w:color="auto"/>
              <w:left w:val="nil"/>
              <w:bottom w:val="nil"/>
              <w:right w:val="nil"/>
            </w:tcBorders>
            <w:shd w:val="clear" w:color="auto" w:fill="FFFFFF" w:themeFill="background1"/>
            <w:vAlign w:val="center"/>
            <w:hideMark/>
          </w:tcPr>
          <w:p w:rsidR="00DA2DCA" w:rsidRPr="004676C9" w:rsidRDefault="00DA2DCA" w:rsidP="004676C9">
            <w:pPr>
              <w:spacing w:line="276" w:lineRule="auto"/>
              <w:rPr>
                <w:color w:val="000000"/>
                <w:sz w:val="20"/>
                <w:szCs w:val="20"/>
              </w:rPr>
            </w:pPr>
            <w:r w:rsidRPr="004676C9">
              <w:rPr>
                <w:color w:val="000000"/>
                <w:sz w:val="20"/>
                <w:szCs w:val="20"/>
              </w:rPr>
              <w:t>1º</w:t>
            </w:r>
          </w:p>
        </w:tc>
        <w:tc>
          <w:tcPr>
            <w:tcW w:w="1390" w:type="dxa"/>
            <w:tcBorders>
              <w:top w:val="single" w:sz="4" w:space="0" w:color="auto"/>
              <w:left w:val="nil"/>
              <w:bottom w:val="nil"/>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Nísia Floresta</w:t>
            </w:r>
          </w:p>
        </w:tc>
        <w:tc>
          <w:tcPr>
            <w:tcW w:w="1361" w:type="dxa"/>
            <w:tcBorders>
              <w:top w:val="single" w:sz="4" w:space="0" w:color="auto"/>
              <w:left w:val="nil"/>
              <w:bottom w:val="nil"/>
              <w:right w:val="nil"/>
            </w:tcBorders>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77,4</w:t>
            </w:r>
          </w:p>
        </w:tc>
        <w:tc>
          <w:tcPr>
            <w:tcW w:w="1361" w:type="dxa"/>
            <w:tcBorders>
              <w:top w:val="single" w:sz="4" w:space="0" w:color="auto"/>
              <w:left w:val="nil"/>
              <w:bottom w:val="nil"/>
              <w:right w:val="nil"/>
            </w:tcBorders>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98,1</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1,1</w:t>
            </w:r>
          </w:p>
        </w:tc>
        <w:tc>
          <w:tcPr>
            <w:tcW w:w="1134" w:type="dxa"/>
            <w:tcBorders>
              <w:top w:val="single" w:sz="4" w:space="0" w:color="auto"/>
              <w:left w:val="nil"/>
              <w:bottom w:val="nil"/>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1,2</w:t>
            </w:r>
          </w:p>
        </w:tc>
        <w:tc>
          <w:tcPr>
            <w:tcW w:w="1531" w:type="dxa"/>
            <w:tcBorders>
              <w:top w:val="single" w:sz="4" w:space="0" w:color="auto"/>
              <w:left w:val="nil"/>
              <w:bottom w:val="nil"/>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14,8 %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color w:val="000000"/>
                <w:sz w:val="20"/>
                <w:szCs w:val="20"/>
              </w:rPr>
            </w:pPr>
            <w:r w:rsidRPr="004676C9">
              <w:rPr>
                <w:color w:val="000000"/>
                <w:sz w:val="20"/>
                <w:szCs w:val="20"/>
              </w:rPr>
              <w:t>2º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Goianinha</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73,8</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95,7</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1,0</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1,1</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12,5 %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3º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Vera Cruz</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66,6</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86,6</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0,7</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0,8</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7,8 %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4º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Extremoz</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65,5</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85,5</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1,0</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1,1</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7,1 %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5º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Monte Alegre</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64,0</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75,8</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0,7</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0,8</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6,2 %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6º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Maxaranguape</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56,2</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76,9</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0,8</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0,8</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1,1 %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7º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proofErr w:type="spellStart"/>
            <w:r w:rsidRPr="004676C9">
              <w:rPr>
                <w:color w:val="000000"/>
                <w:sz w:val="20"/>
                <w:szCs w:val="20"/>
              </w:rPr>
              <w:t>S</w:t>
            </w:r>
            <w:r w:rsidR="004676C9">
              <w:rPr>
                <w:color w:val="000000"/>
                <w:sz w:val="20"/>
                <w:szCs w:val="20"/>
              </w:rPr>
              <w:t>.</w:t>
            </w:r>
            <w:r w:rsidRPr="004676C9">
              <w:rPr>
                <w:color w:val="000000"/>
                <w:sz w:val="20"/>
                <w:szCs w:val="20"/>
              </w:rPr>
              <w:t>J</w:t>
            </w:r>
            <w:proofErr w:type="spellEnd"/>
            <w:r w:rsidR="004676C9">
              <w:rPr>
                <w:color w:val="000000"/>
                <w:sz w:val="20"/>
                <w:szCs w:val="20"/>
              </w:rPr>
              <w:t>.</w:t>
            </w:r>
            <w:r w:rsidRPr="004676C9">
              <w:rPr>
                <w:color w:val="000000"/>
                <w:sz w:val="20"/>
                <w:szCs w:val="20"/>
              </w:rPr>
              <w:t xml:space="preserve"> de Mipibu</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55,7</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69,1</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1,6</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1,6</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0,8 %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8º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Natal</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49,5</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61,8</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2,4</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2,3</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w:t>
            </w:r>
            <w:proofErr w:type="gramStart"/>
            <w:r w:rsidRPr="004676C9">
              <w:rPr>
                <w:color w:val="000000"/>
                <w:sz w:val="20"/>
                <w:szCs w:val="20"/>
              </w:rPr>
              <w:t xml:space="preserve">   </w:t>
            </w:r>
            <w:proofErr w:type="gramEnd"/>
            <w:r w:rsidRPr="004676C9">
              <w:rPr>
                <w:color w:val="000000"/>
                <w:sz w:val="20"/>
                <w:szCs w:val="20"/>
              </w:rPr>
              <w:t>3,2 %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9º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Ceará-Mirim</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43,3</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53,9</w:t>
            </w:r>
          </w:p>
        </w:tc>
        <w:tc>
          <w:tcPr>
            <w:tcW w:w="1134"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1,1</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1,0</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w:t>
            </w:r>
            <w:proofErr w:type="gramStart"/>
            <w:r w:rsidRPr="004676C9">
              <w:rPr>
                <w:color w:val="000000"/>
                <w:sz w:val="20"/>
                <w:szCs w:val="20"/>
              </w:rPr>
              <w:t xml:space="preserve">   </w:t>
            </w:r>
            <w:proofErr w:type="gramEnd"/>
            <w:r w:rsidRPr="004676C9">
              <w:rPr>
                <w:color w:val="000000"/>
                <w:sz w:val="20"/>
                <w:szCs w:val="20"/>
              </w:rPr>
              <w:t>7,2 %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10º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proofErr w:type="spellStart"/>
            <w:r w:rsidRPr="004676C9">
              <w:rPr>
                <w:color w:val="000000"/>
                <w:sz w:val="20"/>
                <w:szCs w:val="20"/>
              </w:rPr>
              <w:t>Ielmo</w:t>
            </w:r>
            <w:proofErr w:type="spellEnd"/>
            <w:r w:rsidRPr="004676C9">
              <w:rPr>
                <w:color w:val="000000"/>
                <w:sz w:val="20"/>
                <w:szCs w:val="20"/>
              </w:rPr>
              <w:t xml:space="preserve"> Marinho</w:t>
            </w:r>
          </w:p>
        </w:tc>
        <w:tc>
          <w:tcPr>
            <w:tcW w:w="136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37,7</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51,3</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0,8</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0,7</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- 10,9 %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11º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Parnamirim</w:t>
            </w:r>
          </w:p>
        </w:tc>
        <w:tc>
          <w:tcPr>
            <w:tcW w:w="136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37,4</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64,5</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2,1</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1,9</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- 11,1 %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sz w:val="20"/>
                <w:szCs w:val="20"/>
                <w:lang w:eastAsia="en-US"/>
              </w:rPr>
            </w:pPr>
            <w:r w:rsidRPr="004676C9">
              <w:rPr>
                <w:color w:val="000000"/>
                <w:sz w:val="20"/>
                <w:szCs w:val="20"/>
              </w:rPr>
              <w:t>12º</w:t>
            </w:r>
          </w:p>
        </w:tc>
        <w:tc>
          <w:tcPr>
            <w:tcW w:w="1390" w:type="dxa"/>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Macaíba</w:t>
            </w:r>
          </w:p>
        </w:tc>
        <w:tc>
          <w:tcPr>
            <w:tcW w:w="136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19,1</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33,6</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2,3</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1,8</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- 22,9 %</w:t>
            </w:r>
          </w:p>
        </w:tc>
      </w:tr>
      <w:tr w:rsidR="00DA2DCA" w:rsidTr="004676C9">
        <w:tc>
          <w:tcPr>
            <w:tcW w:w="879" w:type="dxa"/>
            <w:shd w:val="clear" w:color="auto" w:fill="FFFFFF" w:themeFill="background1"/>
            <w:vAlign w:val="center"/>
            <w:hideMark/>
          </w:tcPr>
          <w:p w:rsidR="00DA2DCA" w:rsidRPr="004676C9" w:rsidRDefault="00DA2DCA" w:rsidP="004676C9">
            <w:pPr>
              <w:spacing w:line="276" w:lineRule="auto"/>
              <w:rPr>
                <w:color w:val="000000"/>
                <w:sz w:val="20"/>
                <w:szCs w:val="20"/>
              </w:rPr>
            </w:pPr>
            <w:r w:rsidRPr="004676C9">
              <w:rPr>
                <w:color w:val="000000"/>
                <w:sz w:val="20"/>
                <w:szCs w:val="20"/>
              </w:rPr>
              <w:t>13º</w:t>
            </w:r>
          </w:p>
        </w:tc>
        <w:tc>
          <w:tcPr>
            <w:tcW w:w="1390" w:type="dxa"/>
            <w:shd w:val="clear" w:color="auto" w:fill="FFFFFF" w:themeFill="background1"/>
            <w:noWrap/>
            <w:vAlign w:val="center"/>
            <w:hideMark/>
          </w:tcPr>
          <w:p w:rsidR="00DA2DCA" w:rsidRPr="004676C9" w:rsidRDefault="00DA2DCA" w:rsidP="004676C9">
            <w:pPr>
              <w:spacing w:line="276" w:lineRule="auto"/>
              <w:jc w:val="left"/>
              <w:rPr>
                <w:color w:val="000000"/>
                <w:sz w:val="20"/>
                <w:szCs w:val="20"/>
              </w:rPr>
            </w:pPr>
            <w:r w:rsidRPr="004676C9">
              <w:rPr>
                <w:color w:val="000000"/>
                <w:sz w:val="20"/>
                <w:szCs w:val="20"/>
              </w:rPr>
              <w:t>S</w:t>
            </w:r>
            <w:r w:rsidR="004676C9">
              <w:rPr>
                <w:color w:val="000000"/>
                <w:sz w:val="20"/>
                <w:szCs w:val="20"/>
              </w:rPr>
              <w:t>.</w:t>
            </w:r>
            <w:r w:rsidRPr="004676C9">
              <w:rPr>
                <w:color w:val="000000"/>
                <w:sz w:val="20"/>
                <w:szCs w:val="20"/>
              </w:rPr>
              <w:t>G</w:t>
            </w:r>
            <w:r w:rsidR="004676C9">
              <w:rPr>
                <w:color w:val="000000"/>
                <w:sz w:val="20"/>
                <w:szCs w:val="20"/>
              </w:rPr>
              <w:t>.</w:t>
            </w:r>
            <w:r w:rsidRPr="004676C9">
              <w:rPr>
                <w:color w:val="000000"/>
                <w:sz w:val="20"/>
                <w:szCs w:val="20"/>
              </w:rPr>
              <w:t xml:space="preserve"> do Amarante</w:t>
            </w:r>
          </w:p>
        </w:tc>
        <w:tc>
          <w:tcPr>
            <w:tcW w:w="136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0,6</w:t>
            </w:r>
          </w:p>
        </w:tc>
        <w:tc>
          <w:tcPr>
            <w:tcW w:w="1361" w:type="dxa"/>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xml:space="preserve">  12,7</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2,4</w:t>
            </w:r>
          </w:p>
        </w:tc>
        <w:tc>
          <w:tcPr>
            <w:tcW w:w="1134"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1,5</w:t>
            </w:r>
          </w:p>
        </w:tc>
        <w:tc>
          <w:tcPr>
            <w:tcW w:w="1531" w:type="dxa"/>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- 34,9 %</w:t>
            </w:r>
          </w:p>
        </w:tc>
      </w:tr>
      <w:tr w:rsidR="00DA2DCA" w:rsidTr="004676C9">
        <w:tc>
          <w:tcPr>
            <w:tcW w:w="879" w:type="dxa"/>
            <w:tcBorders>
              <w:top w:val="nil"/>
              <w:left w:val="nil"/>
              <w:bottom w:val="single" w:sz="4" w:space="0" w:color="auto"/>
              <w:right w:val="nil"/>
            </w:tcBorders>
            <w:shd w:val="clear" w:color="auto" w:fill="FFFFFF" w:themeFill="background1"/>
            <w:vAlign w:val="center"/>
            <w:hideMark/>
          </w:tcPr>
          <w:p w:rsidR="00DA2DCA" w:rsidRPr="004676C9" w:rsidRDefault="00DA2DCA" w:rsidP="004676C9">
            <w:pPr>
              <w:spacing w:line="276" w:lineRule="auto"/>
              <w:rPr>
                <w:color w:val="000000"/>
                <w:sz w:val="20"/>
                <w:szCs w:val="20"/>
              </w:rPr>
            </w:pPr>
            <w:r w:rsidRPr="004676C9">
              <w:rPr>
                <w:color w:val="000000"/>
                <w:sz w:val="20"/>
                <w:szCs w:val="20"/>
              </w:rPr>
              <w:t>14º</w:t>
            </w:r>
          </w:p>
        </w:tc>
        <w:tc>
          <w:tcPr>
            <w:tcW w:w="1390" w:type="dxa"/>
            <w:tcBorders>
              <w:top w:val="nil"/>
              <w:left w:val="nil"/>
              <w:bottom w:val="single" w:sz="4" w:space="0" w:color="auto"/>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rPr>
            </w:pPr>
            <w:r w:rsidRPr="004676C9">
              <w:rPr>
                <w:color w:val="000000"/>
                <w:sz w:val="20"/>
                <w:szCs w:val="20"/>
              </w:rPr>
              <w:t>Arês</w:t>
            </w:r>
          </w:p>
        </w:tc>
        <w:tc>
          <w:tcPr>
            <w:tcW w:w="1361" w:type="dxa"/>
            <w:tcBorders>
              <w:top w:val="nil"/>
              <w:left w:val="nil"/>
              <w:bottom w:val="single" w:sz="4" w:space="0" w:color="auto"/>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- 20,1</w:t>
            </w:r>
          </w:p>
        </w:tc>
        <w:tc>
          <w:tcPr>
            <w:tcW w:w="1361" w:type="dxa"/>
            <w:tcBorders>
              <w:top w:val="nil"/>
              <w:left w:val="nil"/>
              <w:bottom w:val="single" w:sz="4" w:space="0" w:color="auto"/>
              <w:right w:val="nil"/>
            </w:tcBorders>
            <w:shd w:val="clear" w:color="auto" w:fill="FFFFFF" w:themeFill="background1"/>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- 13,3</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3,0</w:t>
            </w:r>
          </w:p>
        </w:tc>
        <w:tc>
          <w:tcPr>
            <w:tcW w:w="1134" w:type="dxa"/>
            <w:tcBorders>
              <w:top w:val="nil"/>
              <w:left w:val="nil"/>
              <w:bottom w:val="single" w:sz="4" w:space="0" w:color="auto"/>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1,6</w:t>
            </w:r>
          </w:p>
        </w:tc>
        <w:tc>
          <w:tcPr>
            <w:tcW w:w="1531" w:type="dxa"/>
            <w:tcBorders>
              <w:top w:val="nil"/>
              <w:left w:val="nil"/>
              <w:bottom w:val="single" w:sz="4" w:space="0" w:color="auto"/>
              <w:right w:val="nil"/>
            </w:tcBorders>
            <w:shd w:val="clear" w:color="auto" w:fill="FFFFFF" w:themeFill="background1"/>
            <w:noWrap/>
            <w:vAlign w:val="center"/>
            <w:hideMark/>
          </w:tcPr>
          <w:p w:rsidR="00DA2DCA" w:rsidRPr="004676C9" w:rsidRDefault="00DA2DCA" w:rsidP="004676C9">
            <w:pPr>
              <w:spacing w:line="276" w:lineRule="auto"/>
              <w:rPr>
                <w:color w:val="000000"/>
                <w:sz w:val="20"/>
                <w:szCs w:val="20"/>
                <w:lang w:eastAsia="en-US"/>
              </w:rPr>
            </w:pPr>
            <w:r w:rsidRPr="004676C9">
              <w:rPr>
                <w:color w:val="000000"/>
                <w:sz w:val="20"/>
                <w:szCs w:val="20"/>
              </w:rPr>
              <w:t>- 48,3 %</w:t>
            </w:r>
          </w:p>
        </w:tc>
      </w:tr>
    </w:tbl>
    <w:p w:rsidR="00DA2DCA" w:rsidRPr="004676C9" w:rsidRDefault="00DA2DCA" w:rsidP="004676C9">
      <w:pPr>
        <w:spacing w:line="240" w:lineRule="auto"/>
        <w:rPr>
          <w:sz w:val="18"/>
          <w:lang w:eastAsia="en-US"/>
        </w:rPr>
      </w:pPr>
      <w:r w:rsidRPr="004676C9">
        <w:rPr>
          <w:b/>
          <w:sz w:val="20"/>
        </w:rPr>
        <w:t>Fonte:</w:t>
      </w:r>
      <w:r w:rsidRPr="004676C9">
        <w:rPr>
          <w:sz w:val="20"/>
        </w:rPr>
        <w:t xml:space="preserve"> IBGE (elaboração própria).</w:t>
      </w:r>
    </w:p>
    <w:p w:rsidR="00DA2DCA" w:rsidRPr="004676C9" w:rsidRDefault="00DA2DCA" w:rsidP="004676C9">
      <w:pPr>
        <w:spacing w:line="240" w:lineRule="auto"/>
        <w:ind w:left="567" w:hanging="567"/>
        <w:rPr>
          <w:sz w:val="20"/>
        </w:rPr>
      </w:pPr>
      <w:r w:rsidRPr="004676C9">
        <w:rPr>
          <w:b/>
          <w:sz w:val="20"/>
        </w:rPr>
        <w:t>Nota:</w:t>
      </w:r>
      <w:r w:rsidRPr="004676C9">
        <w:rPr>
          <w:sz w:val="20"/>
        </w:rPr>
        <w:t xml:space="preserve"> </w:t>
      </w:r>
      <w:r w:rsidR="004676C9" w:rsidRPr="004676C9">
        <w:rPr>
          <w:sz w:val="20"/>
        </w:rPr>
        <w:t xml:space="preserve">PIB </w:t>
      </w:r>
      <w:r w:rsidR="004676C9">
        <w:rPr>
          <w:sz w:val="20"/>
        </w:rPr>
        <w:t>“</w:t>
      </w:r>
      <w:r w:rsidRPr="004676C9">
        <w:rPr>
          <w:sz w:val="20"/>
        </w:rPr>
        <w:t xml:space="preserve">série revisada”. A média mensal, em salário-mínimo, foi obtida a partir do </w:t>
      </w:r>
      <w:proofErr w:type="spellStart"/>
      <w:proofErr w:type="gramStart"/>
      <w:r w:rsidRPr="004676C9">
        <w:rPr>
          <w:sz w:val="20"/>
        </w:rPr>
        <w:t>Pib</w:t>
      </w:r>
      <w:proofErr w:type="spellEnd"/>
      <w:proofErr w:type="gramEnd"/>
      <w:r w:rsidRPr="004676C9">
        <w:rPr>
          <w:sz w:val="20"/>
        </w:rPr>
        <w:t xml:space="preserve"> </w:t>
      </w:r>
      <w:r w:rsidRPr="004676C9">
        <w:rPr>
          <w:i/>
          <w:sz w:val="20"/>
        </w:rPr>
        <w:t>per capita</w:t>
      </w:r>
      <w:r w:rsidRPr="004676C9">
        <w:rPr>
          <w:sz w:val="20"/>
        </w:rPr>
        <w:t xml:space="preserve"> dividido por 13 (considerando 12 salários mensais e o 13º)</w:t>
      </w:r>
    </w:p>
    <w:p w:rsidR="00DA2DCA" w:rsidRDefault="00DA2DCA" w:rsidP="001D1A3C"/>
    <w:p w:rsidR="00DA2DCA" w:rsidRDefault="00DA2DCA" w:rsidP="001D1A3C">
      <w:r>
        <w:t xml:space="preserve">  </w:t>
      </w:r>
      <w:r>
        <w:tab/>
        <w:t>Inicialmente observa-se que os principais crescimentos do PIB total ocorrem em municípios com menor importância econômica (Nísia Floresta, Goianinha, Vera Cruz, Extremoz e Monte Alegre) se comparada com os maiores PIB (Natal, Parnamirim, São Gonçalo do Amarante, Macaíba e Ceará-Mirim). Há uma aparente inversão hierárquica em que as pequenas economias parecem ter alcançado uma dinâmica</w:t>
      </w:r>
      <w:r w:rsidR="004676C9">
        <w:t xml:space="preserve"> </w:t>
      </w:r>
      <w:r>
        <w:t>melhor de crescimento econômico aliado também ao fato natural de que o crescimento em economias mais expressivas tende a ser mais lenta do que em economias menos impactantes. Isto não significa, no entanto, que as cidades mais ricas economicamente estejam em ritmo decrescente:</w:t>
      </w:r>
      <w:r w:rsidR="004676C9">
        <w:t xml:space="preserve"> </w:t>
      </w:r>
      <w:r>
        <w:t>uma variação positiva de um ponto percentual em uma economia sólida produz muito mais impacto para todos do que o mesmo índice em uma economia mais fraca.</w:t>
      </w:r>
    </w:p>
    <w:p w:rsidR="00DA2DCA" w:rsidRDefault="00DA2DCA" w:rsidP="001D1A3C">
      <w:r>
        <w:tab/>
        <w:t xml:space="preserve">O crescimento populacional de Parnamirim no período analisado alterou a relação entre o aumento do PIB e o PIB </w:t>
      </w:r>
      <w:r>
        <w:rPr>
          <w:i/>
        </w:rPr>
        <w:t>per capita</w:t>
      </w:r>
      <w:r>
        <w:t xml:space="preserve">: enquanto o primeiro foi positivo em </w:t>
      </w:r>
      <w:r>
        <w:lastRenderedPageBreak/>
        <w:t xml:space="preserve">64,5%, o segundo ficou em 37,4%; o aumento da população foi “mais rápido” do que o econômico, por isto Parnamirim apresenta esta maior discrepância na </w:t>
      </w:r>
      <w:proofErr w:type="spellStart"/>
      <w:r>
        <w:t>RMN</w:t>
      </w:r>
      <w:proofErr w:type="spellEnd"/>
      <w:r>
        <w:t>.</w:t>
      </w:r>
    </w:p>
    <w:p w:rsidR="00DA2DCA" w:rsidRDefault="00DA2DCA" w:rsidP="001D1A3C">
      <w:r>
        <w:tab/>
        <w:t xml:space="preserve">Duas cidades amargaram índices insatisfatórios quanto ao crescimento do PIB e, </w:t>
      </w:r>
      <w:proofErr w:type="gramStart"/>
      <w:r>
        <w:t>com efeito</w:t>
      </w:r>
      <w:proofErr w:type="gramEnd"/>
      <w:r>
        <w:t xml:space="preserve"> mais sentido pela população, o PIB </w:t>
      </w:r>
      <w:r>
        <w:rPr>
          <w:i/>
        </w:rPr>
        <w:t>per capita</w:t>
      </w:r>
      <w:r>
        <w:t xml:space="preserve">: São Gonçalo do Amarante e Arês. As duas cidades sofreram com as situações de uma empresa, em casa cidade, respectivamente, o fim da construção do novo aeroporto e a transferência de parcela das atividades administrativas. </w:t>
      </w:r>
      <w:proofErr w:type="gramStart"/>
      <w:r>
        <w:t>Enquanto São Gonçalo do Amarante poderá</w:t>
      </w:r>
      <w:r w:rsidR="00F82997">
        <w:t>/</w:t>
      </w:r>
      <w:r>
        <w:t xml:space="preserve">tenderá a recuperar o crescimento </w:t>
      </w:r>
      <w:r w:rsidR="00F82997">
        <w:t>em médio prazo</w:t>
      </w:r>
      <w:r>
        <w:t xml:space="preserve"> com o funcionamento efetivo do novo aeroporto (mas também a depender dos investimentos atraídos em função deste equipamento urbano), Arês continuará com sua atividade econômica principal dependente da cana de açúcar</w:t>
      </w:r>
      <w:r w:rsidR="00F82997">
        <w:t>, mas</w:t>
      </w:r>
      <w:r>
        <w:t xml:space="preserve"> não parecer apresentar, a curto-médio prazos, outra empresa que “substitua” a arrecadação gerada pela </w:t>
      </w:r>
      <w:proofErr w:type="spellStart"/>
      <w:r>
        <w:t>Biosev</w:t>
      </w:r>
      <w:proofErr w:type="spellEnd"/>
      <w:r>
        <w:t>.</w:t>
      </w:r>
      <w:proofErr w:type="gramEnd"/>
    </w:p>
    <w:p w:rsidR="00DA2DCA" w:rsidRDefault="00DA2DCA" w:rsidP="001D1A3C">
      <w:r>
        <w:tab/>
        <w:t xml:space="preserve">Os melhores resultados do PIB na </w:t>
      </w:r>
      <w:proofErr w:type="spellStart"/>
      <w:r>
        <w:t>RMN</w:t>
      </w:r>
      <w:proofErr w:type="spellEnd"/>
      <w:r>
        <w:t xml:space="preserve"> estão representados nas Figuras 1 e 2, abaixo:</w:t>
      </w:r>
    </w:p>
    <w:p w:rsidR="00F15817" w:rsidRPr="00F15817" w:rsidRDefault="00F15817" w:rsidP="00F15817">
      <w:pPr>
        <w:spacing w:line="240" w:lineRule="auto"/>
        <w:jc w:val="center"/>
        <w:rPr>
          <w:sz w:val="22"/>
        </w:rPr>
      </w:pPr>
      <w:r w:rsidRPr="00F15817">
        <w:rPr>
          <w:b/>
          <w:sz w:val="22"/>
        </w:rPr>
        <w:t>FIGURA 2</w:t>
      </w:r>
      <w:r w:rsidRPr="00F15817">
        <w:rPr>
          <w:sz w:val="22"/>
        </w:rPr>
        <w:t xml:space="preserve"> – Municípios da Região Metropolitana de Natal com maiores variações percentuais do </w:t>
      </w:r>
      <w:r w:rsidR="00B436B7" w:rsidRPr="00F15817">
        <w:rPr>
          <w:sz w:val="22"/>
        </w:rPr>
        <w:t xml:space="preserve">PIB </w:t>
      </w:r>
      <w:r w:rsidRPr="00F15817">
        <w:rPr>
          <w:sz w:val="22"/>
        </w:rPr>
        <w:t xml:space="preserve">e do </w:t>
      </w:r>
      <w:r w:rsidR="00B436B7" w:rsidRPr="00F15817">
        <w:rPr>
          <w:sz w:val="22"/>
        </w:rPr>
        <w:t xml:space="preserve">PIB </w:t>
      </w:r>
      <w:r w:rsidRPr="00F15817">
        <w:rPr>
          <w:i/>
          <w:sz w:val="22"/>
        </w:rPr>
        <w:t>per capita</w:t>
      </w:r>
      <w:r w:rsidRPr="00F15817">
        <w:rPr>
          <w:sz w:val="22"/>
        </w:rPr>
        <w:t xml:space="preserve"> entre 2010 e 2015</w:t>
      </w:r>
    </w:p>
    <w:p w:rsidR="00DA2DCA" w:rsidRDefault="00DA2DCA" w:rsidP="001D1A3C"/>
    <w:p w:rsidR="00DA2DCA" w:rsidRDefault="00B436B7" w:rsidP="001D1A3C">
      <w:pPr>
        <w:rPr>
          <w:noProof/>
        </w:rPr>
      </w:pPr>
      <w:r w:rsidRPr="008B7825">
        <w:rPr>
          <w:rFonts w:ascii="Arial" w:hAnsi="Arial" w:cs="Arial"/>
          <w:noProof/>
          <w:szCs w:val="24"/>
        </w:rPr>
        <w:drawing>
          <wp:anchor distT="0" distB="0" distL="114300" distR="114300" simplePos="0" relativeHeight="251659264" behindDoc="1" locked="0" layoutInCell="1" allowOverlap="1" wp14:anchorId="1FA2F53E" wp14:editId="49A71447">
            <wp:simplePos x="0" y="0"/>
            <wp:positionH relativeFrom="column">
              <wp:posOffset>300990</wp:posOffset>
            </wp:positionH>
            <wp:positionV relativeFrom="paragraph">
              <wp:posOffset>23495</wp:posOffset>
            </wp:positionV>
            <wp:extent cx="4679950" cy="2699385"/>
            <wp:effectExtent l="0" t="0" r="0" b="5715"/>
            <wp:wrapThrough wrapText="bothSides">
              <wp:wrapPolygon edited="0">
                <wp:start x="352" y="0"/>
                <wp:lineTo x="352" y="21493"/>
                <wp:lineTo x="10375" y="21493"/>
                <wp:lineTo x="10375" y="19512"/>
                <wp:lineTo x="13452" y="19054"/>
                <wp:lineTo x="18552" y="17530"/>
                <wp:lineTo x="18728" y="17073"/>
                <wp:lineTo x="18376" y="16311"/>
                <wp:lineTo x="17409" y="14634"/>
                <wp:lineTo x="17585" y="12195"/>
                <wp:lineTo x="17936" y="9756"/>
                <wp:lineTo x="18816" y="6860"/>
                <wp:lineTo x="17233" y="6402"/>
                <wp:lineTo x="10375" y="4878"/>
                <wp:lineTo x="10375" y="0"/>
                <wp:lineTo x="352" y="0"/>
              </wp:wrapPolygon>
            </wp:wrapThrough>
            <wp:docPr id="8" name="Espaço Reservado para Conteúdo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rotWithShape="1">
                    <a:blip r:embed="rId10" cstate="print">
                      <a:extLst>
                        <a:ext uri="{28A0092B-C50C-407E-A947-70E740481C1C}">
                          <a14:useLocalDpi xmlns:a14="http://schemas.microsoft.com/office/drawing/2010/main" val="0"/>
                        </a:ext>
                      </a:extLst>
                    </a:blip>
                    <a:srcRect l="7522" r="22653" b="14882"/>
                    <a:stretch/>
                  </pic:blipFill>
                  <pic:spPr bwMode="auto">
                    <a:xfrm>
                      <a:off x="0" y="0"/>
                      <a:ext cx="4679950" cy="2699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737B" w:rsidRDefault="0001737B" w:rsidP="001D1A3C">
      <w:pPr>
        <w:rPr>
          <w:noProof/>
        </w:rPr>
      </w:pPr>
    </w:p>
    <w:p w:rsidR="0001737B" w:rsidRDefault="0001737B" w:rsidP="001D1A3C">
      <w:pPr>
        <w:rPr>
          <w:noProof/>
        </w:rPr>
      </w:pPr>
    </w:p>
    <w:p w:rsidR="0001737B" w:rsidRDefault="0001737B" w:rsidP="001D1A3C">
      <w:pPr>
        <w:rPr>
          <w:noProof/>
        </w:rPr>
      </w:pPr>
    </w:p>
    <w:p w:rsidR="0001737B" w:rsidRDefault="0001737B" w:rsidP="001D1A3C">
      <w:pPr>
        <w:rPr>
          <w:noProof/>
        </w:rPr>
      </w:pPr>
    </w:p>
    <w:p w:rsidR="0001737B" w:rsidRDefault="0001737B" w:rsidP="001D1A3C">
      <w:pPr>
        <w:rPr>
          <w:noProof/>
        </w:rPr>
      </w:pPr>
    </w:p>
    <w:p w:rsidR="0001737B" w:rsidRDefault="0001737B" w:rsidP="001D1A3C">
      <w:pPr>
        <w:rPr>
          <w:noProof/>
        </w:rPr>
      </w:pPr>
    </w:p>
    <w:p w:rsidR="0001737B" w:rsidRDefault="0001737B" w:rsidP="001D1A3C">
      <w:pPr>
        <w:rPr>
          <w:noProof/>
        </w:rPr>
      </w:pPr>
    </w:p>
    <w:p w:rsidR="0001737B" w:rsidRDefault="0001737B" w:rsidP="001D1A3C"/>
    <w:p w:rsidR="00F15817" w:rsidRDefault="00DA2DCA" w:rsidP="001D1A3C">
      <w:r>
        <w:t xml:space="preserve">                  </w:t>
      </w:r>
    </w:p>
    <w:p w:rsidR="00DA2DCA" w:rsidRPr="00F15817" w:rsidRDefault="00DA2DCA" w:rsidP="00F15817">
      <w:pPr>
        <w:jc w:val="center"/>
        <w:rPr>
          <w:sz w:val="18"/>
        </w:rPr>
      </w:pPr>
      <w:r w:rsidRPr="00F15817">
        <w:rPr>
          <w:b/>
          <w:sz w:val="20"/>
        </w:rPr>
        <w:t>Fonte:</w:t>
      </w:r>
      <w:r w:rsidRPr="00F15817">
        <w:rPr>
          <w:sz w:val="20"/>
        </w:rPr>
        <w:t xml:space="preserve"> IBGE (elaboração própria).</w:t>
      </w:r>
    </w:p>
    <w:p w:rsidR="00DA2DCA" w:rsidRDefault="00DA2DCA" w:rsidP="001D1A3C">
      <w:pPr>
        <w:rPr>
          <w:sz w:val="20"/>
        </w:rPr>
      </w:pPr>
    </w:p>
    <w:p w:rsidR="00DA2DCA" w:rsidRDefault="00DA2DCA" w:rsidP="001D1A3C"/>
    <w:p w:rsidR="00DA2DCA" w:rsidRDefault="00DA2DCA" w:rsidP="001D1A3C"/>
    <w:p w:rsidR="00DA2DCA" w:rsidRPr="00B436B7" w:rsidRDefault="00B436B7" w:rsidP="00B436B7">
      <w:pPr>
        <w:spacing w:line="240" w:lineRule="auto"/>
        <w:jc w:val="center"/>
        <w:rPr>
          <w:sz w:val="22"/>
        </w:rPr>
      </w:pPr>
      <w:r w:rsidRPr="00B436B7">
        <w:rPr>
          <w:rFonts w:ascii="Arial" w:hAnsi="Arial" w:cs="Arial"/>
          <w:b/>
          <w:noProof/>
          <w:szCs w:val="24"/>
        </w:rPr>
        <w:drawing>
          <wp:anchor distT="0" distB="0" distL="114300" distR="114300" simplePos="0" relativeHeight="251660288" behindDoc="1" locked="0" layoutInCell="1" allowOverlap="1" wp14:anchorId="3DF0FD60" wp14:editId="61352BEE">
            <wp:simplePos x="0" y="0"/>
            <wp:positionH relativeFrom="column">
              <wp:posOffset>-635</wp:posOffset>
            </wp:positionH>
            <wp:positionV relativeFrom="paragraph">
              <wp:posOffset>483235</wp:posOffset>
            </wp:positionV>
            <wp:extent cx="4679950" cy="2699385"/>
            <wp:effectExtent l="0" t="0" r="0" b="5715"/>
            <wp:wrapThrough wrapText="bothSides">
              <wp:wrapPolygon edited="0">
                <wp:start x="352" y="0"/>
                <wp:lineTo x="352" y="21493"/>
                <wp:lineTo x="10375" y="21493"/>
                <wp:lineTo x="19431" y="19664"/>
                <wp:lineTo x="20662" y="19207"/>
                <wp:lineTo x="20486" y="18445"/>
                <wp:lineTo x="18552" y="17073"/>
                <wp:lineTo x="19080" y="16920"/>
                <wp:lineTo x="18992" y="16158"/>
                <wp:lineTo x="18200" y="14634"/>
                <wp:lineTo x="18992" y="14329"/>
                <wp:lineTo x="18640" y="13567"/>
                <wp:lineTo x="10375" y="12195"/>
                <wp:lineTo x="17497" y="12042"/>
                <wp:lineTo x="17497" y="11128"/>
                <wp:lineTo x="10375" y="9756"/>
                <wp:lineTo x="17673" y="9603"/>
                <wp:lineTo x="17673" y="8689"/>
                <wp:lineTo x="10375" y="7317"/>
                <wp:lineTo x="18024" y="7012"/>
                <wp:lineTo x="18024" y="5945"/>
                <wp:lineTo x="10375" y="4878"/>
                <wp:lineTo x="18816" y="4573"/>
                <wp:lineTo x="18816" y="3658"/>
                <wp:lineTo x="10375" y="2439"/>
                <wp:lineTo x="10375" y="0"/>
                <wp:lineTo x="352" y="0"/>
              </wp:wrapPolygon>
            </wp:wrapThrough>
            <wp:docPr id="6" name="Espaço Reservado para Conteúdo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Espaço Reservado para Conteúdo 4"/>
                    <pic:cNvPicPr>
                      <a:picLocks noGrp="1" noChangeAspect="1"/>
                    </pic:cNvPicPr>
                  </pic:nvPicPr>
                  <pic:blipFill rotWithShape="1">
                    <a:blip r:embed="rId11" cstate="print">
                      <a:extLst>
                        <a:ext uri="{28A0092B-C50C-407E-A947-70E740481C1C}">
                          <a14:useLocalDpi xmlns:a14="http://schemas.microsoft.com/office/drawing/2010/main" val="0"/>
                        </a:ext>
                      </a:extLst>
                    </a:blip>
                    <a:srcRect l="7622" r="23276" b="16924"/>
                    <a:stretch/>
                  </pic:blipFill>
                  <pic:spPr bwMode="auto">
                    <a:xfrm>
                      <a:off x="0" y="0"/>
                      <a:ext cx="4679950" cy="2699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DCA" w:rsidRPr="00B436B7">
        <w:rPr>
          <w:b/>
          <w:sz w:val="22"/>
        </w:rPr>
        <w:t>FIGURA 3</w:t>
      </w:r>
      <w:r w:rsidR="00DA2DCA" w:rsidRPr="00B436B7">
        <w:rPr>
          <w:sz w:val="22"/>
        </w:rPr>
        <w:t xml:space="preserve"> – Municípios da Região Metropolitana de Natal com variação positiva do </w:t>
      </w:r>
      <w:r w:rsidRPr="00B436B7">
        <w:rPr>
          <w:sz w:val="22"/>
        </w:rPr>
        <w:t xml:space="preserve">PIB </w:t>
      </w:r>
      <w:r w:rsidR="00DA2DCA" w:rsidRPr="00B436B7">
        <w:rPr>
          <w:i/>
          <w:sz w:val="22"/>
        </w:rPr>
        <w:t>per capita</w:t>
      </w:r>
      <w:r w:rsidR="00DA2DCA" w:rsidRPr="00B436B7">
        <w:rPr>
          <w:sz w:val="22"/>
        </w:rPr>
        <w:t xml:space="preserve"> calculado em salários-mínimos entre 2010 e 2015</w:t>
      </w:r>
    </w:p>
    <w:p w:rsidR="00B436B7" w:rsidRDefault="00B436B7" w:rsidP="001D1A3C"/>
    <w:p w:rsidR="00B436B7" w:rsidRDefault="00B436B7" w:rsidP="001D1A3C"/>
    <w:p w:rsidR="00B436B7" w:rsidRDefault="00B436B7" w:rsidP="001D1A3C"/>
    <w:p w:rsidR="00B436B7" w:rsidRDefault="00B436B7" w:rsidP="001D1A3C"/>
    <w:p w:rsidR="00B436B7" w:rsidRDefault="00B436B7" w:rsidP="001D1A3C"/>
    <w:p w:rsidR="00B436B7" w:rsidRDefault="00B436B7" w:rsidP="001D1A3C"/>
    <w:p w:rsidR="00B436B7" w:rsidRDefault="00B436B7" w:rsidP="001D1A3C"/>
    <w:p w:rsidR="00B436B7" w:rsidRDefault="00B436B7" w:rsidP="001D1A3C"/>
    <w:p w:rsidR="00B436B7" w:rsidRDefault="00B436B7" w:rsidP="001D1A3C"/>
    <w:p w:rsidR="00B436B7" w:rsidRDefault="00DA2DCA" w:rsidP="001D1A3C">
      <w:r>
        <w:t xml:space="preserve">                  </w:t>
      </w:r>
    </w:p>
    <w:p w:rsidR="00B436B7" w:rsidRDefault="00B436B7" w:rsidP="001D1A3C"/>
    <w:p w:rsidR="00DA2DCA" w:rsidRPr="00B436B7" w:rsidRDefault="00DA2DCA" w:rsidP="00B436B7">
      <w:pPr>
        <w:jc w:val="center"/>
        <w:rPr>
          <w:sz w:val="18"/>
        </w:rPr>
      </w:pPr>
      <w:r w:rsidRPr="00B436B7">
        <w:rPr>
          <w:b/>
          <w:sz w:val="20"/>
        </w:rPr>
        <w:t>Fonte:</w:t>
      </w:r>
      <w:r w:rsidRPr="00B436B7">
        <w:rPr>
          <w:sz w:val="20"/>
        </w:rPr>
        <w:t xml:space="preserve"> IBGE (elaboração própria).</w:t>
      </w:r>
    </w:p>
    <w:p w:rsidR="00DA2DCA" w:rsidRDefault="00DA2DCA" w:rsidP="001D1A3C">
      <w:pPr>
        <w:rPr>
          <w:sz w:val="20"/>
        </w:rPr>
      </w:pPr>
    </w:p>
    <w:p w:rsidR="00DA2DCA" w:rsidRDefault="00DA2DCA" w:rsidP="001D1A3C">
      <w:r>
        <w:tab/>
        <w:t xml:space="preserve">Ao avaliar os únicos resultados positivos de aumento da renda per capita calculada pelo PIB e tendo como base o salário-mínimo, </w:t>
      </w:r>
      <w:r w:rsidR="00B436B7">
        <w:t xml:space="preserve">metade dos municípios da </w:t>
      </w:r>
      <w:proofErr w:type="spellStart"/>
      <w:r w:rsidR="00B436B7">
        <w:t>RMN</w:t>
      </w:r>
      <w:proofErr w:type="spellEnd"/>
      <w:r w:rsidR="00B436B7">
        <w:t xml:space="preserve"> teve</w:t>
      </w:r>
      <w:r>
        <w:t xml:space="preserve"> desempenho negativo. Importa ressaltar que o salário-mínimo tem seguido uma política diferenciada de reajuste, com base na inflação anual, uma prática pouco alcançada pela classe trabalhadora em geral que tem obtido aumentos poucos expressivos nos últimos anos. Se considerarmos o setor público, bastante presente na economia estadual, principalmente na Capital, os aumentos dos servidores públicos municipais, estaduais ou federais também não seguem a variação do salário-mínimo: entre 2010, quando era R$ 510,00, e 2015, quando era R$ 788,00, o aumento foi de 54,5%!</w:t>
      </w:r>
    </w:p>
    <w:p w:rsidR="00DA2DCA" w:rsidRDefault="00DA2DCA" w:rsidP="001D1A3C">
      <w:r>
        <w:tab/>
        <w:t xml:space="preserve">Os municípios menores, em população e em população economia atividade e no mercado de trabalho formal, tendem a aumentar sua participação no PIB através de repasses do Governo Federal, sejam via programas tais o Bolsa-Família </w:t>
      </w:r>
      <w:proofErr w:type="gramStart"/>
      <w:r>
        <w:t>sejam</w:t>
      </w:r>
      <w:proofErr w:type="gramEnd"/>
      <w:r>
        <w:t xml:space="preserve"> com os benefícios das aposentadorias e pensões da Previdência Social. Desta forma, como esta “massa salarial” é acompanhada substancialmente dos aumentos do </w:t>
      </w:r>
      <w:r>
        <w:lastRenderedPageBreak/>
        <w:t xml:space="preserve">salário-mínimo, pode-se imaginar mais plausível a melhor distribuição do PIB </w:t>
      </w:r>
      <w:r>
        <w:rPr>
          <w:i/>
        </w:rPr>
        <w:t>per</w:t>
      </w:r>
      <w:r>
        <w:t xml:space="preserve"> </w:t>
      </w:r>
      <w:r>
        <w:rPr>
          <w:i/>
        </w:rPr>
        <w:t>capita</w:t>
      </w:r>
      <w:r>
        <w:t xml:space="preserve"> nestes municípios.</w:t>
      </w:r>
    </w:p>
    <w:p w:rsidR="00DA2DCA" w:rsidRDefault="00DA2DCA" w:rsidP="001D1A3C">
      <w:r>
        <w:tab/>
        <w:t xml:space="preserve">A Lei Complemento 152/1997 também criou o Conselho de Desenvolvimento Metropolitano de Natal (art. 2º, I e </w:t>
      </w:r>
      <w:proofErr w:type="spellStart"/>
      <w:r>
        <w:t>III</w:t>
      </w:r>
      <w:proofErr w:type="spellEnd"/>
      <w:r>
        <w:t>) que tinha entre suas atribuições “promover a integração e uniformização dos serviços comuns e de interesse da Região Metropolitana” e “estimular entre os municípios da Região Metropolitana, a celebração de consórcios para resolução de problemas comuns” (Rio Grande do Norte). A intenção</w:t>
      </w:r>
      <w:r w:rsidR="00B436B7">
        <w:t xml:space="preserve"> percebe-se</w:t>
      </w:r>
      <w:r>
        <w:t xml:space="preserve">, parte do pressuposto da existência de integração territorial em municípios limítrofes que têm desafios similares e que poderão, em conjunto, encontrar soluções mais eficazes e/ou eficientes. Apesar da alteração da composição da </w:t>
      </w:r>
      <w:proofErr w:type="spellStart"/>
      <w:r>
        <w:t>RMN</w:t>
      </w:r>
      <w:proofErr w:type="spellEnd"/>
      <w:r>
        <w:t>, observa-se que, do ponto de vista da capacidade econômica (o PIB) e de seus reflexos locais (o PIB per capita), a existência de uma disparidade que a integração regional não amenizou.</w:t>
      </w:r>
    </w:p>
    <w:p w:rsidR="00DA2DCA" w:rsidRDefault="00DA2DCA" w:rsidP="00B436B7">
      <w:pPr>
        <w:pStyle w:val="Ttulo1"/>
        <w:rPr>
          <w:rFonts w:eastAsia="Arial"/>
        </w:rPr>
      </w:pPr>
      <w:r>
        <w:rPr>
          <w:rFonts w:eastAsia="Arial"/>
        </w:rPr>
        <w:t xml:space="preserve">3 </w:t>
      </w:r>
      <w:r w:rsidR="00B436B7">
        <w:rPr>
          <w:rFonts w:eastAsia="Arial"/>
        </w:rPr>
        <w:t>CONSIDERAÇÕES FINAIS</w:t>
      </w:r>
    </w:p>
    <w:p w:rsidR="00DA2DCA" w:rsidRDefault="00DA2DCA" w:rsidP="001D1A3C">
      <w:pPr>
        <w:rPr>
          <w:rFonts w:eastAsiaTheme="minorHAnsi"/>
        </w:rPr>
      </w:pPr>
      <w:r>
        <w:tab/>
        <w:t xml:space="preserve">A idealização da </w:t>
      </w:r>
      <w:proofErr w:type="spellStart"/>
      <w:r>
        <w:t>RMN</w:t>
      </w:r>
      <w:proofErr w:type="spellEnd"/>
      <w:r>
        <w:t xml:space="preserve">, com o “processo de metropolização” está </w:t>
      </w:r>
      <w:r w:rsidR="00B436B7">
        <w:t>datada</w:t>
      </w:r>
      <w:r>
        <w:t xml:space="preserve"> “já nos anos 70. Nessa década, Natal foi reconhecida como </w:t>
      </w:r>
      <w:r>
        <w:rPr>
          <w:i/>
        </w:rPr>
        <w:t>Aglomeração Urbana Não Metropolitana pelo governo estadual</w:t>
      </w:r>
      <w:r>
        <w:t xml:space="preserve">" (OBSERVATÓRIO DAS METRÓPOLES, destaque no original) e surgiu de uma demanda estruturada que </w:t>
      </w:r>
      <w:proofErr w:type="gramStart"/>
      <w:r>
        <w:t>trazia,</w:t>
      </w:r>
      <w:proofErr w:type="gramEnd"/>
      <w:r>
        <w:t xml:space="preserve"> já na proposta legislativa a finalidade de “institucionalizar a Grande Natal” vinculada à “expectativa de que, dessa forma, os problemas da região pudessem ser enfrentados de uma forma mais adequada.” (CLEMENTINO, 2018, p. 374). A “trajetória sinuosa ao longo dos anos que se seguiram à formalização” (RIO GRANDE DO NORTE, p. 31) contrapõe-se, ainda na atualidade, ao propósito inicial embora medidas espacejadas (e cíclicas) sejam programadas principalmente quando da edição de novas leis complementares que alteraram a configuração espacial da </w:t>
      </w:r>
      <w:proofErr w:type="spellStart"/>
      <w:r>
        <w:t>RMN</w:t>
      </w:r>
      <w:proofErr w:type="spellEnd"/>
      <w:r>
        <w:t>. Os ciclos políticos-administrativos, em todas as esferas, ainda não confirmaram, na prática, a perspectiva do necessário avanço de políticas públicas mais eficientes e eficazes instrumentalizadas por meio de ações coordenadas nas regiões metropolitanas:</w:t>
      </w:r>
    </w:p>
    <w:p w:rsidR="00DA2DCA" w:rsidRDefault="00DA2DCA" w:rsidP="001D1A3C">
      <w:pPr>
        <w:rPr>
          <w:sz w:val="22"/>
        </w:rPr>
      </w:pPr>
    </w:p>
    <w:p w:rsidR="00DA2DCA" w:rsidRDefault="00DA2DCA" w:rsidP="001D1A3C">
      <w:r>
        <w:lastRenderedPageBreak/>
        <w:t>O novo arcabouço institucional não emergiu do vácuo. Iniciativas no âmbito do planejamento local e regional, experiência de cooperação intermunicipal precederam sua formalização ou contribuíram, e ainda contribuem de alguma maneira, para a formação de embrionária ‘consciência metropolitana’, processo lento que avança com dificuldades não apenas no Rio Grande do Norte, como de resto Brasil afora, em maior ou menor grau. (RIO GRANDE DO NORTE, p. 29)</w:t>
      </w:r>
      <w:r w:rsidR="00B436B7">
        <w:t>.</w:t>
      </w:r>
    </w:p>
    <w:p w:rsidR="00DA2DCA" w:rsidRDefault="00DA2DCA" w:rsidP="001D1A3C">
      <w:r>
        <w:t xml:space="preserve"> </w:t>
      </w:r>
      <w:r>
        <w:tab/>
        <w:t xml:space="preserve">A proposta da </w:t>
      </w:r>
      <w:proofErr w:type="spellStart"/>
      <w:r>
        <w:t>RMN</w:t>
      </w:r>
      <w:proofErr w:type="spellEnd"/>
      <w:r>
        <w:t xml:space="preserve"> continua válida e, juridicamente validada, desde 1997 (quando de sua criação) até mais recentemente, em 2015 (quando das últimas inclusões). Permanece, no entanto, uma dimensão geográfica espacial-econômica bastante desigual; e sem expectativa de mudança.</w:t>
      </w:r>
    </w:p>
    <w:p w:rsidR="00DA2DCA" w:rsidRDefault="00DA2DCA" w:rsidP="00B436B7">
      <w:pPr>
        <w:pStyle w:val="Ttulo1"/>
      </w:pPr>
      <w:r>
        <w:t>REFERÊNCIAS</w:t>
      </w:r>
    </w:p>
    <w:p w:rsidR="00DA2DCA" w:rsidRDefault="00DA2DCA" w:rsidP="00B436B7">
      <w:pPr>
        <w:spacing w:line="240" w:lineRule="auto"/>
        <w:jc w:val="left"/>
      </w:pPr>
      <w:proofErr w:type="spellStart"/>
      <w:r w:rsidRPr="00B436B7">
        <w:t>CELEMENTINO</w:t>
      </w:r>
      <w:proofErr w:type="spellEnd"/>
      <w:r w:rsidRPr="00B436B7">
        <w:t xml:space="preserve">. M. do L. M. A (não) implementação do Estatuto da Metrópole na Região Metropolitana de Natal. </w:t>
      </w:r>
      <w:r w:rsidRPr="00B436B7">
        <w:rPr>
          <w:i/>
        </w:rPr>
        <w:t>In</w:t>
      </w:r>
      <w:r w:rsidRPr="00B436B7">
        <w:t xml:space="preserve">: </w:t>
      </w:r>
      <w:proofErr w:type="spellStart"/>
      <w:r w:rsidRPr="00B436B7">
        <w:t>MARGUTI</w:t>
      </w:r>
      <w:proofErr w:type="spellEnd"/>
      <w:r w:rsidRPr="00B436B7">
        <w:t>, B. O. AURÉLIO COSTA, M. FAVARÃO, C. B. (</w:t>
      </w:r>
      <w:proofErr w:type="spellStart"/>
      <w:r w:rsidRPr="00B436B7">
        <w:t>orgs</w:t>
      </w:r>
      <w:proofErr w:type="spellEnd"/>
      <w:r w:rsidRPr="00B436B7">
        <w:t>.) Brasil metropolitano em foco: desafios à implementação do Estatuto da Metrópole. IPEA, 2018. Disponível em: &lt;</w:t>
      </w:r>
      <w:hyperlink r:id="rId12" w:history="1">
        <w:r w:rsidRPr="00B436B7">
          <w:rPr>
            <w:rStyle w:val="Hyperlink"/>
            <w:rFonts w:ascii="Arial" w:hAnsi="Arial" w:cs="Arial"/>
            <w:color w:val="auto"/>
            <w:szCs w:val="24"/>
            <w:u w:val="none"/>
          </w:rPr>
          <w:t>http://www.ipea.gov.br/portal/images/stories/PDFs/livros/livros/180410_brasil_metropolitano_em_foco_cap13.pdf</w:t>
        </w:r>
      </w:hyperlink>
      <w:r w:rsidRPr="00B436B7">
        <w:t>&gt;. Acesso em: 20 dez. 2018.</w:t>
      </w:r>
    </w:p>
    <w:p w:rsidR="00B436B7" w:rsidRPr="00B436B7" w:rsidRDefault="00B436B7" w:rsidP="00B436B7">
      <w:pPr>
        <w:spacing w:line="240" w:lineRule="auto"/>
        <w:jc w:val="left"/>
      </w:pPr>
    </w:p>
    <w:p w:rsidR="00DA2DCA" w:rsidRDefault="00DA2DCA" w:rsidP="00B436B7">
      <w:pPr>
        <w:spacing w:line="240" w:lineRule="auto"/>
        <w:jc w:val="left"/>
      </w:pPr>
      <w:r w:rsidRPr="00B436B7">
        <w:t>FÓRUM NACIONAL DE ENTIDADES METROPOLITANAS-</w:t>
      </w:r>
      <w:proofErr w:type="spellStart"/>
      <w:r w:rsidRPr="00B436B7">
        <w:t>FNEM</w:t>
      </w:r>
      <w:proofErr w:type="spellEnd"/>
      <w:r w:rsidRPr="00B436B7">
        <w:t>. Região Metropolitana de Natal (RN). Disponível em: &lt;</w:t>
      </w:r>
      <w:hyperlink r:id="rId13" w:history="1">
        <w:r w:rsidRPr="00B436B7">
          <w:rPr>
            <w:rStyle w:val="Hyperlink"/>
            <w:rFonts w:ascii="Arial" w:hAnsi="Arial" w:cs="Arial"/>
            <w:color w:val="auto"/>
            <w:szCs w:val="24"/>
            <w:u w:val="none"/>
          </w:rPr>
          <w:t>http://fnembrasil.org/regiao-metropolitana-de-natal-rn/</w:t>
        </w:r>
      </w:hyperlink>
      <w:r w:rsidRPr="00B436B7">
        <w:t>&gt;. Acesso em: 9 set. 2018.</w:t>
      </w:r>
    </w:p>
    <w:p w:rsidR="00B436B7" w:rsidRPr="00B436B7" w:rsidRDefault="00B436B7" w:rsidP="00B436B7">
      <w:pPr>
        <w:spacing w:line="240" w:lineRule="auto"/>
        <w:jc w:val="left"/>
      </w:pPr>
    </w:p>
    <w:p w:rsidR="00DA2DCA" w:rsidRDefault="00DA2DCA" w:rsidP="00B436B7">
      <w:pPr>
        <w:spacing w:line="240" w:lineRule="auto"/>
        <w:jc w:val="left"/>
      </w:pPr>
      <w:r w:rsidRPr="00B436B7">
        <w:t>IBGE. Cidades. Disponível em: &lt;</w:t>
      </w:r>
      <w:hyperlink r:id="rId14" w:history="1">
        <w:r w:rsidRPr="00B436B7">
          <w:rPr>
            <w:rStyle w:val="Hyperlink"/>
            <w:rFonts w:ascii="Arial" w:hAnsi="Arial" w:cs="Arial"/>
            <w:color w:val="auto"/>
            <w:szCs w:val="24"/>
            <w:u w:val="none"/>
          </w:rPr>
          <w:t>https://cidades.ibge.gov.br</w:t>
        </w:r>
      </w:hyperlink>
      <w:r w:rsidRPr="00B436B7">
        <w:t>&gt;. Acesso em: 9 set. 2018.</w:t>
      </w:r>
    </w:p>
    <w:p w:rsidR="00B436B7" w:rsidRPr="00B436B7" w:rsidRDefault="00B436B7" w:rsidP="00B436B7">
      <w:pPr>
        <w:spacing w:line="240" w:lineRule="auto"/>
        <w:jc w:val="left"/>
      </w:pPr>
    </w:p>
    <w:p w:rsidR="00DA2DCA" w:rsidRDefault="00DA2DCA" w:rsidP="00B436B7">
      <w:pPr>
        <w:spacing w:line="240" w:lineRule="auto"/>
        <w:jc w:val="left"/>
      </w:pPr>
      <w:r w:rsidRPr="00B436B7">
        <w:t>NATAL SECRETARIA MUNICIPAL DE MEIO AMBIENTE E URBANISMO-</w:t>
      </w:r>
      <w:proofErr w:type="spellStart"/>
      <w:r w:rsidRPr="00B436B7">
        <w:t>SEMURB</w:t>
      </w:r>
      <w:proofErr w:type="spellEnd"/>
      <w:r w:rsidRPr="00B436B7">
        <w:t>. Conheça melhor Natal e Região Metropolitana. Disponível em: &lt;</w:t>
      </w:r>
      <w:hyperlink r:id="rId15" w:history="1">
        <w:r w:rsidRPr="00B436B7">
          <w:rPr>
            <w:rStyle w:val="Hyperlink"/>
            <w:rFonts w:ascii="Arial" w:hAnsi="Arial" w:cs="Arial"/>
            <w:color w:val="auto"/>
            <w:szCs w:val="24"/>
            <w:u w:val="none"/>
          </w:rPr>
          <w:t>https://natal.rn.gov.br/semurb/planodiretor/anexos/cartilhas/Regi%C3%A3o%20Metropolitana%20PDF.pdf</w:t>
        </w:r>
      </w:hyperlink>
      <w:r w:rsidRPr="00B436B7">
        <w:t>&gt;. Acesso em: 9 set. 2018.</w:t>
      </w:r>
    </w:p>
    <w:p w:rsidR="00B436B7" w:rsidRPr="00B436B7" w:rsidRDefault="00B436B7" w:rsidP="00B436B7">
      <w:pPr>
        <w:spacing w:line="240" w:lineRule="auto"/>
        <w:jc w:val="left"/>
      </w:pPr>
    </w:p>
    <w:p w:rsidR="00DA2DCA" w:rsidRDefault="00DA2DCA" w:rsidP="00B436B7">
      <w:pPr>
        <w:spacing w:line="240" w:lineRule="auto"/>
        <w:jc w:val="left"/>
      </w:pPr>
      <w:r w:rsidRPr="00B436B7">
        <w:t>OBSERVATÓRIO DAS METRÓPOLES. Como anda a Região Metropolitana de Natal. Disponível em: &lt;</w:t>
      </w:r>
      <w:hyperlink r:id="rId16" w:history="1">
        <w:r w:rsidRPr="00B436B7">
          <w:rPr>
            <w:rStyle w:val="Hyperlink"/>
            <w:rFonts w:ascii="Arial" w:hAnsi="Arial" w:cs="Arial"/>
            <w:color w:val="auto"/>
            <w:szCs w:val="24"/>
          </w:rPr>
          <w:t>http://www.observatoriodasmetropoles.ufrj.br/como_anda/como_anda_RM_natal.pdf</w:t>
        </w:r>
      </w:hyperlink>
      <w:r w:rsidRPr="00B436B7">
        <w:t>&gt;. Acesso em: 20 dez. 2018.</w:t>
      </w:r>
    </w:p>
    <w:p w:rsidR="00B436B7" w:rsidRPr="00B436B7" w:rsidRDefault="00B436B7" w:rsidP="00B436B7">
      <w:pPr>
        <w:spacing w:line="240" w:lineRule="auto"/>
        <w:jc w:val="left"/>
      </w:pPr>
    </w:p>
    <w:p w:rsidR="00DA2DCA" w:rsidRPr="00B436B7" w:rsidRDefault="00DA2DCA" w:rsidP="00B436B7">
      <w:pPr>
        <w:spacing w:line="240" w:lineRule="auto"/>
        <w:jc w:val="left"/>
      </w:pPr>
      <w:r w:rsidRPr="00B436B7">
        <w:t>PORTAL BRASIL. Salário-mínimo. Disponível em: &lt;</w:t>
      </w:r>
      <w:hyperlink r:id="rId17" w:history="1">
        <w:r w:rsidRPr="00B436B7">
          <w:rPr>
            <w:rStyle w:val="Hyperlink"/>
            <w:rFonts w:ascii="Arial" w:hAnsi="Arial" w:cs="Arial"/>
            <w:color w:val="auto"/>
            <w:szCs w:val="24"/>
          </w:rPr>
          <w:t>http://www.portalbrasil.net/salariominimo.htm</w:t>
        </w:r>
      </w:hyperlink>
      <w:r w:rsidRPr="00B436B7">
        <w:t>&gt;. Acesso em: 9 set. 2018.</w:t>
      </w:r>
    </w:p>
    <w:p w:rsidR="00DA2DCA" w:rsidRDefault="00DA2DCA" w:rsidP="00B436B7">
      <w:pPr>
        <w:spacing w:line="240" w:lineRule="auto"/>
        <w:jc w:val="left"/>
      </w:pPr>
      <w:proofErr w:type="spellStart"/>
      <w:r w:rsidRPr="00B436B7">
        <w:t>RIPSA</w:t>
      </w:r>
      <w:proofErr w:type="spellEnd"/>
      <w:r w:rsidRPr="00B436B7">
        <w:t xml:space="preserve">. Produto Interno Bruto (PIB) </w:t>
      </w:r>
      <w:r w:rsidRPr="00B436B7">
        <w:rPr>
          <w:i/>
        </w:rPr>
        <w:t>per capita</w:t>
      </w:r>
      <w:r w:rsidRPr="00B436B7">
        <w:t>. Disponível em: &lt;</w:t>
      </w:r>
      <w:hyperlink r:id="rId18" w:history="1">
        <w:r w:rsidRPr="00B436B7">
          <w:rPr>
            <w:rStyle w:val="Hyperlink"/>
            <w:rFonts w:ascii="Arial" w:hAnsi="Arial" w:cs="Arial"/>
            <w:color w:val="auto"/>
            <w:szCs w:val="24"/>
            <w:u w:val="none"/>
          </w:rPr>
          <w:t>http://www.ripsa.org.br/fichasIDB/pdf/ficha_B.3.pdf</w:t>
        </w:r>
      </w:hyperlink>
      <w:r w:rsidRPr="00B436B7">
        <w:t>&gt;. Acesso em: 9 set. 2018.</w:t>
      </w:r>
    </w:p>
    <w:p w:rsidR="00B436B7" w:rsidRPr="00B436B7" w:rsidRDefault="00B436B7" w:rsidP="00B436B7">
      <w:pPr>
        <w:spacing w:line="240" w:lineRule="auto"/>
        <w:jc w:val="left"/>
      </w:pPr>
    </w:p>
    <w:p w:rsidR="00DA2DCA" w:rsidRDefault="00DA2DCA" w:rsidP="00B436B7">
      <w:pPr>
        <w:spacing w:line="240" w:lineRule="auto"/>
        <w:jc w:val="left"/>
      </w:pPr>
      <w:r w:rsidRPr="00B436B7">
        <w:t>RIO GRANDE DO NORTE. LEI COMPLEMENTAR 152. Institui a Região Metropolitana de Natal e dá outras providências. Natal, RN, 16 jan. 1997. Disponível em: &lt;</w:t>
      </w:r>
      <w:hyperlink r:id="rId19" w:history="1">
        <w:r w:rsidRPr="00B436B7">
          <w:rPr>
            <w:rStyle w:val="Hyperlink"/>
            <w:rFonts w:ascii="Arial" w:hAnsi="Arial" w:cs="Arial"/>
            <w:color w:val="auto"/>
            <w:szCs w:val="24"/>
            <w:u w:val="none"/>
          </w:rPr>
          <w:t>http://adcon.rn.gov.br/ACERVO/gac/DOC/DOC000000000067473.PDF</w:t>
        </w:r>
      </w:hyperlink>
      <w:r w:rsidRPr="00B436B7">
        <w:t>&gt;. Acesso em: 9 set. 2018.</w:t>
      </w:r>
    </w:p>
    <w:p w:rsidR="00B436B7" w:rsidRPr="00B436B7" w:rsidRDefault="00B436B7" w:rsidP="00B436B7">
      <w:pPr>
        <w:spacing w:line="240" w:lineRule="auto"/>
        <w:jc w:val="left"/>
      </w:pPr>
    </w:p>
    <w:p w:rsidR="00DA2DCA" w:rsidRDefault="00DA2DCA" w:rsidP="00B436B7">
      <w:pPr>
        <w:spacing w:line="240" w:lineRule="auto"/>
        <w:jc w:val="left"/>
      </w:pPr>
      <w:r w:rsidRPr="00B436B7">
        <w:t>RIO GRANDE DO NORTE. Plano estratégico de desenvolvimento sustentável para a Região Metropolitana de Natal. Natal Metrópole 2020. Disponível em: &lt;</w:t>
      </w:r>
      <w:hyperlink r:id="rId20" w:history="1">
        <w:r w:rsidRPr="00B436B7">
          <w:rPr>
            <w:rStyle w:val="Hyperlink"/>
            <w:rFonts w:ascii="Arial" w:hAnsi="Arial" w:cs="Arial"/>
            <w:color w:val="auto"/>
            <w:szCs w:val="24"/>
            <w:u w:val="none"/>
          </w:rPr>
          <w:t>https://www.natal.rn.gov.br/sempla/paginas/File/Produto_8.pdf</w:t>
        </w:r>
      </w:hyperlink>
      <w:r w:rsidRPr="00B436B7">
        <w:t>&gt;. Acesso em: 20 dez. 2018.</w:t>
      </w:r>
    </w:p>
    <w:p w:rsidR="00B436B7" w:rsidRPr="00B436B7" w:rsidRDefault="00B436B7" w:rsidP="00B436B7">
      <w:pPr>
        <w:spacing w:line="240" w:lineRule="auto"/>
        <w:jc w:val="left"/>
      </w:pPr>
    </w:p>
    <w:p w:rsidR="00DA2DCA" w:rsidRPr="00B436B7" w:rsidRDefault="00DA2DCA" w:rsidP="00B436B7">
      <w:pPr>
        <w:spacing w:line="240" w:lineRule="auto"/>
        <w:jc w:val="left"/>
      </w:pPr>
      <w:r w:rsidRPr="00B436B7">
        <w:t xml:space="preserve">SOUZA, F. S. P. M. de. Economia e mio ambiente: um debate teórico. Santa Catarina. UFSC, 2018. </w:t>
      </w:r>
      <w:r w:rsidRPr="00B436B7">
        <w:rPr>
          <w:b/>
        </w:rPr>
        <w:t>Monografia</w:t>
      </w:r>
      <w:r w:rsidRPr="00B436B7">
        <w:t xml:space="preserve"> (Graduação em Ciências Econômicas). UFSC, Florianópolis, 2017. Disponível em: &lt;</w:t>
      </w:r>
      <w:hyperlink r:id="rId21" w:history="1">
        <w:r w:rsidRPr="00B436B7">
          <w:rPr>
            <w:rStyle w:val="Hyperlink"/>
            <w:rFonts w:ascii="Arial" w:hAnsi="Arial" w:cs="Arial"/>
            <w:color w:val="auto"/>
            <w:szCs w:val="24"/>
            <w:u w:val="none"/>
          </w:rPr>
          <w:t>https://repositorio.ufsc.br/bitstream/handle/123456789/188562/Monografia%20Felipe%20Pessoa.pdf?sequence=1&amp;isAllowed=y</w:t>
        </w:r>
      </w:hyperlink>
      <w:r w:rsidRPr="00B436B7">
        <w:t>&gt;. Acesso em: 9 set. 2018.</w:t>
      </w:r>
    </w:p>
    <w:p w:rsidR="00DA2DCA" w:rsidRDefault="00DA2DCA" w:rsidP="001D1A3C"/>
    <w:p w:rsidR="00B2667A" w:rsidRDefault="00B2667A" w:rsidP="001D1A3C"/>
    <w:sectPr w:rsidR="00B2667A" w:rsidSect="00186DC9">
      <w:headerReference w:type="default" r:id="rId22"/>
      <w:footerReference w:type="default" r:id="rId23"/>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29" w:rsidRDefault="008B7D29" w:rsidP="00C22554">
      <w:pPr>
        <w:spacing w:line="240" w:lineRule="auto"/>
      </w:pPr>
      <w:r>
        <w:separator/>
      </w:r>
    </w:p>
  </w:endnote>
  <w:endnote w:type="continuationSeparator" w:id="0">
    <w:p w:rsidR="008B7D29" w:rsidRDefault="008B7D2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F73DA">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29" w:rsidRDefault="008B7D29" w:rsidP="00C22554">
      <w:pPr>
        <w:spacing w:line="240" w:lineRule="auto"/>
      </w:pPr>
      <w:r>
        <w:separator/>
      </w:r>
    </w:p>
  </w:footnote>
  <w:footnote w:type="continuationSeparator" w:id="0">
    <w:p w:rsidR="008B7D29" w:rsidRDefault="008B7D29"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72E5F0E" wp14:editId="19015BC7">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86DC9"/>
    <w:rsid w:val="001D1A3C"/>
    <w:rsid w:val="0022104C"/>
    <w:rsid w:val="0028391D"/>
    <w:rsid w:val="002C1415"/>
    <w:rsid w:val="00377C2C"/>
    <w:rsid w:val="00381DC2"/>
    <w:rsid w:val="003900F8"/>
    <w:rsid w:val="003A4A40"/>
    <w:rsid w:val="004676C9"/>
    <w:rsid w:val="00492955"/>
    <w:rsid w:val="004C148B"/>
    <w:rsid w:val="004D3830"/>
    <w:rsid w:val="004F3D85"/>
    <w:rsid w:val="00563179"/>
    <w:rsid w:val="005A4474"/>
    <w:rsid w:val="005D7D6F"/>
    <w:rsid w:val="006C14C9"/>
    <w:rsid w:val="006E054C"/>
    <w:rsid w:val="006E7AA1"/>
    <w:rsid w:val="00751F98"/>
    <w:rsid w:val="00773DEA"/>
    <w:rsid w:val="007F67E5"/>
    <w:rsid w:val="00803ECA"/>
    <w:rsid w:val="00825334"/>
    <w:rsid w:val="00874AA5"/>
    <w:rsid w:val="008B44B3"/>
    <w:rsid w:val="008B7D29"/>
    <w:rsid w:val="008C492B"/>
    <w:rsid w:val="009A7514"/>
    <w:rsid w:val="009B0264"/>
    <w:rsid w:val="00A22EE2"/>
    <w:rsid w:val="00A51265"/>
    <w:rsid w:val="00A5554A"/>
    <w:rsid w:val="00A62CB2"/>
    <w:rsid w:val="00AF1488"/>
    <w:rsid w:val="00AF4C5A"/>
    <w:rsid w:val="00B2667A"/>
    <w:rsid w:val="00B436B7"/>
    <w:rsid w:val="00B45CFF"/>
    <w:rsid w:val="00B53DB4"/>
    <w:rsid w:val="00B949D5"/>
    <w:rsid w:val="00C22554"/>
    <w:rsid w:val="00C46E16"/>
    <w:rsid w:val="00CC268F"/>
    <w:rsid w:val="00D47471"/>
    <w:rsid w:val="00DA2DCA"/>
    <w:rsid w:val="00DD36FE"/>
    <w:rsid w:val="00DF745F"/>
    <w:rsid w:val="00E2119C"/>
    <w:rsid w:val="00E4330B"/>
    <w:rsid w:val="00EB7A2A"/>
    <w:rsid w:val="00F15817"/>
    <w:rsid w:val="00F37CC3"/>
    <w:rsid w:val="00F82997"/>
    <w:rsid w:val="00FF7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nembrasil.org/regiao-metropolitana-de-natal-rn/" TargetMode="External"/><Relationship Id="rId18" Type="http://schemas.openxmlformats.org/officeDocument/2006/relationships/hyperlink" Target="http://www.ripsa.org.br/fichasIDB/pdf/ficha_B.3.pdf" TargetMode="External"/><Relationship Id="rId3" Type="http://schemas.openxmlformats.org/officeDocument/2006/relationships/styles" Target="styles.xml"/><Relationship Id="rId21" Type="http://schemas.openxmlformats.org/officeDocument/2006/relationships/hyperlink" Target="https://repositorio.ufsc.br/bitstream/handle/123456789/188562/Monografia%20Felipe%20Pessoa.pdf?sequence=1&amp;isAllowed=y" TargetMode="External"/><Relationship Id="rId7" Type="http://schemas.openxmlformats.org/officeDocument/2006/relationships/footnotes" Target="footnotes.xml"/><Relationship Id="rId12" Type="http://schemas.openxmlformats.org/officeDocument/2006/relationships/hyperlink" Target="http://www.ipea.gov.br/portal/images/stories/PDFs/livros/livros/180410_brasil_metropolitano_em_foco_cap13.pdf" TargetMode="External"/><Relationship Id="rId17" Type="http://schemas.openxmlformats.org/officeDocument/2006/relationships/hyperlink" Target="http://www.portalbrasil.net/salariominimo.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bservatoriodasmetropoles.ufrj.br/como_anda/como_anda_RM_natal.pdf" TargetMode="External"/><Relationship Id="rId20" Type="http://schemas.openxmlformats.org/officeDocument/2006/relationships/hyperlink" Target="https://www.natal.rn.gov.br/sempla/paginas/File/Produto_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atal.rn.gov.br/semurb/planodiretor/anexos/cartilhas/Regi%C3%A3o%20Metropolitana%20PDF.pdf"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adcon.rn.gov.br/ACERVO/gac/DOC/DOC000000000067473.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idades.ibge.gov.br"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1122B-027C-464B-BA85-DE1049F6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3364</Words>
  <Characters>18166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9</cp:revision>
  <cp:lastPrinted>2019-08-14T17:01:00Z</cp:lastPrinted>
  <dcterms:created xsi:type="dcterms:W3CDTF">2019-08-14T17:03:00Z</dcterms:created>
  <dcterms:modified xsi:type="dcterms:W3CDTF">2019-08-15T16:47:00Z</dcterms:modified>
</cp:coreProperties>
</file>