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E4" w:rsidRPr="00025950" w:rsidRDefault="00F058E4" w:rsidP="00F058E4">
      <w:pPr>
        <w:spacing w:line="240" w:lineRule="auto"/>
        <w:contextualSpacing/>
        <w:jc w:val="center"/>
        <w:rPr>
          <w:rFonts w:eastAsia="Arial" w:cs="Arial"/>
          <w:b/>
          <w:szCs w:val="24"/>
        </w:rPr>
      </w:pPr>
      <w:proofErr w:type="spellStart"/>
      <w:r>
        <w:rPr>
          <w:rFonts w:eastAsia="Arial" w:cs="Arial"/>
          <w:b/>
          <w:szCs w:val="24"/>
        </w:rPr>
        <w:t>GT</w:t>
      </w:r>
      <w:proofErr w:type="spellEnd"/>
      <w:r>
        <w:rPr>
          <w:rFonts w:eastAsia="Arial" w:cs="Arial"/>
          <w:b/>
          <w:szCs w:val="24"/>
        </w:rPr>
        <w:t xml:space="preserve"> </w:t>
      </w:r>
      <w:r w:rsidRPr="00025950">
        <w:rPr>
          <w:rFonts w:eastAsia="Arial" w:cs="Arial"/>
          <w:b/>
          <w:szCs w:val="24"/>
        </w:rPr>
        <w:t xml:space="preserve">– GRUPO DE ESTUDOS E PESQUISAS EM ESPAÇO, TRABALHO, INOVAÇÃO E SUSTENTABILIDADE </w:t>
      </w:r>
      <w:r>
        <w:rPr>
          <w:rFonts w:eastAsia="Arial" w:cs="Arial"/>
          <w:b/>
          <w:szCs w:val="24"/>
        </w:rPr>
        <w:t xml:space="preserve">- </w:t>
      </w:r>
      <w:proofErr w:type="spellStart"/>
      <w:proofErr w:type="gramStart"/>
      <w:r w:rsidRPr="00025950">
        <w:rPr>
          <w:rFonts w:eastAsia="Arial" w:cs="Arial"/>
          <w:b/>
          <w:szCs w:val="24"/>
        </w:rPr>
        <w:t>GEPETIS</w:t>
      </w:r>
      <w:proofErr w:type="spellEnd"/>
      <w:proofErr w:type="gramEnd"/>
    </w:p>
    <w:p w:rsidR="00F058E4" w:rsidRPr="00025950" w:rsidRDefault="00F058E4" w:rsidP="00F058E4">
      <w:pPr>
        <w:spacing w:line="240" w:lineRule="auto"/>
        <w:contextualSpacing/>
        <w:jc w:val="center"/>
        <w:rPr>
          <w:rFonts w:eastAsia="Arial" w:cs="Arial"/>
          <w:szCs w:val="24"/>
        </w:rPr>
      </w:pPr>
      <w:r w:rsidRPr="00F058E4">
        <w:rPr>
          <w:rFonts w:eastAsia="Arial" w:cs="Arial"/>
          <w:szCs w:val="24"/>
        </w:rPr>
        <w:t>Modalidade da apresentação:</w:t>
      </w:r>
      <w:r w:rsidRPr="00025950">
        <w:rPr>
          <w:rFonts w:eastAsia="Arial" w:cs="Arial"/>
          <w:szCs w:val="24"/>
        </w:rPr>
        <w:t xml:space="preserve"> Comunicação oral</w:t>
      </w:r>
    </w:p>
    <w:p w:rsidR="00F058E4" w:rsidRPr="00025950" w:rsidRDefault="00F058E4" w:rsidP="00F058E4">
      <w:pPr>
        <w:spacing w:line="240" w:lineRule="auto"/>
        <w:contextualSpacing/>
        <w:jc w:val="center"/>
        <w:rPr>
          <w:rFonts w:eastAsia="Arial" w:cs="Arial"/>
          <w:b/>
          <w:szCs w:val="24"/>
        </w:rPr>
      </w:pPr>
    </w:p>
    <w:p w:rsidR="00F058E4" w:rsidRPr="00025950" w:rsidRDefault="00F058E4" w:rsidP="00F058E4">
      <w:pPr>
        <w:pStyle w:val="Ttulo"/>
        <w:rPr>
          <w:rFonts w:eastAsia="Arial"/>
        </w:rPr>
      </w:pPr>
      <w:r w:rsidRPr="00025950">
        <w:rPr>
          <w:rFonts w:eastAsia="Arial"/>
        </w:rPr>
        <w:t>A IMPORTÂNCIA DO USO DA ENERGIA FOTOVOLTAICA NO MUNDO MODERNO:</w:t>
      </w:r>
      <w:r w:rsidRPr="00025950">
        <w:rPr>
          <w:rFonts w:eastAsia="Arial"/>
        </w:rPr>
        <w:t xml:space="preserve"> uma breve discussão</w:t>
      </w:r>
    </w:p>
    <w:p w:rsidR="00F058E4" w:rsidRPr="00025950" w:rsidRDefault="00F058E4" w:rsidP="00F058E4">
      <w:pPr>
        <w:spacing w:line="240" w:lineRule="auto"/>
        <w:jc w:val="right"/>
        <w:rPr>
          <w:rFonts w:eastAsia="Arial" w:cs="Arial"/>
          <w:szCs w:val="24"/>
        </w:rPr>
      </w:pPr>
      <w:r w:rsidRPr="00025950">
        <w:rPr>
          <w:rFonts w:eastAsia="Arial" w:cs="Arial"/>
          <w:szCs w:val="24"/>
        </w:rPr>
        <w:t>Ruth Albuquerque de Lima</w:t>
      </w:r>
      <w:r w:rsidRPr="00025950">
        <w:rPr>
          <w:rStyle w:val="Refdenotaderodap"/>
          <w:rFonts w:eastAsia="Arial" w:cs="Arial"/>
        </w:rPr>
        <w:footnoteReference w:id="1"/>
      </w:r>
    </w:p>
    <w:p w:rsidR="00F058E4" w:rsidRPr="00025950" w:rsidRDefault="00F058E4" w:rsidP="00F058E4">
      <w:pPr>
        <w:spacing w:line="240" w:lineRule="auto"/>
        <w:jc w:val="right"/>
        <w:rPr>
          <w:rFonts w:eastAsia="Arial" w:cs="Arial"/>
          <w:szCs w:val="24"/>
        </w:rPr>
      </w:pPr>
      <w:r w:rsidRPr="00025950">
        <w:rPr>
          <w:rFonts w:eastAsia="Arial" w:cs="Arial"/>
          <w:szCs w:val="24"/>
        </w:rPr>
        <w:t xml:space="preserve">Profa. </w:t>
      </w:r>
      <w:proofErr w:type="spellStart"/>
      <w:r w:rsidRPr="00025950">
        <w:rPr>
          <w:rFonts w:eastAsia="Arial" w:cs="Arial"/>
          <w:szCs w:val="24"/>
        </w:rPr>
        <w:t>Luziene</w:t>
      </w:r>
      <w:proofErr w:type="spellEnd"/>
      <w:r w:rsidRPr="00025950">
        <w:rPr>
          <w:rFonts w:eastAsia="Arial" w:cs="Arial"/>
          <w:szCs w:val="24"/>
        </w:rPr>
        <w:t xml:space="preserve"> Dantas de Macedo</w:t>
      </w:r>
      <w:r w:rsidRPr="00025950">
        <w:rPr>
          <w:rStyle w:val="Refdenotaderodap"/>
          <w:rFonts w:eastAsia="Arial" w:cs="Arial"/>
        </w:rPr>
        <w:footnoteReference w:id="2"/>
      </w:r>
    </w:p>
    <w:p w:rsidR="00F058E4" w:rsidRPr="00025950" w:rsidRDefault="00F058E4" w:rsidP="00F058E4">
      <w:pPr>
        <w:rPr>
          <w:rFonts w:eastAsia="Arial" w:cs="Times New Roman"/>
          <w:szCs w:val="24"/>
        </w:rPr>
      </w:pPr>
    </w:p>
    <w:p w:rsidR="00F058E4" w:rsidRPr="00F058E4" w:rsidRDefault="00F058E4" w:rsidP="00F058E4">
      <w:pPr>
        <w:spacing w:line="240" w:lineRule="auto"/>
        <w:jc w:val="center"/>
        <w:rPr>
          <w:rFonts w:eastAsia="Arial" w:cs="Arial"/>
          <w:b/>
          <w:caps/>
          <w:color w:val="C00000"/>
          <w:szCs w:val="24"/>
        </w:rPr>
      </w:pPr>
      <w:r w:rsidRPr="00F058E4">
        <w:rPr>
          <w:rFonts w:eastAsia="Arial" w:cs="Arial"/>
          <w:b/>
          <w:caps/>
          <w:color w:val="C00000"/>
          <w:szCs w:val="24"/>
        </w:rPr>
        <w:t>Resumo</w:t>
      </w:r>
    </w:p>
    <w:p w:rsidR="00F058E4" w:rsidRPr="00F058E4" w:rsidRDefault="00F058E4" w:rsidP="00F058E4">
      <w:pPr>
        <w:spacing w:line="240" w:lineRule="auto"/>
        <w:rPr>
          <w:rFonts w:eastAsia="Arial" w:cs="Arial"/>
          <w:b/>
          <w:caps/>
          <w:sz w:val="10"/>
          <w:szCs w:val="24"/>
        </w:rPr>
      </w:pPr>
    </w:p>
    <w:p w:rsidR="00F058E4" w:rsidRPr="00F058E4" w:rsidRDefault="00F058E4" w:rsidP="00F058E4">
      <w:pPr>
        <w:spacing w:line="240" w:lineRule="auto"/>
        <w:rPr>
          <w:rFonts w:cs="Arial"/>
          <w:sz w:val="22"/>
          <w:szCs w:val="24"/>
        </w:rPr>
      </w:pPr>
      <w:r w:rsidRPr="00F058E4">
        <w:rPr>
          <w:rFonts w:cs="Arial"/>
          <w:sz w:val="22"/>
          <w:szCs w:val="24"/>
        </w:rPr>
        <w:t>Com as mudanças ambientais atuais, emissões excessivas de carbono na atmosfera ocorrendo de maneira acelerada, derivadas das atuais práticas de produção e consumo intensivas em combustíveis fósseis, tornou-se emergencial a necessidade de substituir a atual matriz energética mundial em favor do uso das fontes renováveis de energia, a saber: biomassa, eólica, fotovoltaica, entre outras.</w:t>
      </w:r>
      <w:r w:rsidRPr="00F058E4">
        <w:rPr>
          <w:rFonts w:eastAsia="Arial" w:cs="Arial"/>
          <w:caps/>
          <w:sz w:val="22"/>
          <w:szCs w:val="24"/>
        </w:rPr>
        <w:t xml:space="preserve"> </w:t>
      </w:r>
      <w:r w:rsidRPr="00F058E4">
        <w:rPr>
          <w:rFonts w:eastAsia="Arial" w:cs="Arial"/>
          <w:sz w:val="22"/>
          <w:szCs w:val="24"/>
        </w:rPr>
        <w:t xml:space="preserve">Com relação à energia solar, constata-se que desde os primórdios da civilização, os raios solares já eram utilizados de maneira a facilitar e melhorar a vida da população. </w:t>
      </w:r>
      <w:r w:rsidRPr="00F058E4">
        <w:rPr>
          <w:rFonts w:cs="Arial"/>
          <w:sz w:val="22"/>
          <w:szCs w:val="24"/>
        </w:rPr>
        <w:t xml:space="preserve">Assim, com os avanços tecnológicos e estudos acerca da expansão da demanda energética ao longo dos anos, é possível dizer que os raios solares são uma boa fonte de energia, e, além do mais, funciona como minimizadora de impactos ambientais, quando comparada a outras fontes mais consolidadas no mundo. Várias nações, ao perceberem essa capacidade produtiva, iniciaram um processo de mudança em suas trajetórias energéticas, estimulando a diversificação da utilização e uso da energia renovável, especialmente para a geração de eletricidade, o que permite se beneficiar de algumas vantagens, não apenas ambientais, mas também produtivas. Porém, como toda fonte energética, existem desvantagens e obstáculos no processo de desenvolvimento relacionado à instalação e consolidação no sentido do avanço para atingir a sustentabilidade do sistema energético. Com isso, os avanços ao redor do mundo e no Brasil sobre a importância da energia solar vêm sendo evidenciados a cada ano, sendo seu crescimento e </w:t>
      </w:r>
      <w:proofErr w:type="gramStart"/>
      <w:r w:rsidRPr="00F058E4">
        <w:rPr>
          <w:rFonts w:cs="Arial"/>
          <w:sz w:val="22"/>
          <w:szCs w:val="24"/>
        </w:rPr>
        <w:t>potencialidade consubstanciado na criação de expectativas positivas em favor da mudança da trajetória brasileira</w:t>
      </w:r>
      <w:proofErr w:type="gramEnd"/>
      <w:r w:rsidRPr="00F058E4">
        <w:rPr>
          <w:rFonts w:cs="Arial"/>
          <w:sz w:val="22"/>
          <w:szCs w:val="24"/>
        </w:rPr>
        <w:t xml:space="preserve"> rumo a um melhor desenvolvimento com bases inovadoras e sustentáveis.</w:t>
      </w:r>
    </w:p>
    <w:p w:rsidR="00F058E4" w:rsidRPr="00F058E4" w:rsidRDefault="00F058E4" w:rsidP="00F058E4">
      <w:pPr>
        <w:spacing w:line="240" w:lineRule="auto"/>
        <w:rPr>
          <w:rFonts w:eastAsia="Arial" w:cs="Arial"/>
          <w:b/>
          <w:caps/>
          <w:sz w:val="22"/>
          <w:szCs w:val="24"/>
        </w:rPr>
      </w:pPr>
    </w:p>
    <w:p w:rsidR="00F058E4" w:rsidRPr="00F058E4" w:rsidRDefault="00F058E4" w:rsidP="00F058E4">
      <w:pPr>
        <w:spacing w:line="240" w:lineRule="auto"/>
        <w:rPr>
          <w:rFonts w:eastAsia="Arial" w:cs="Arial"/>
          <w:sz w:val="22"/>
          <w:szCs w:val="24"/>
        </w:rPr>
      </w:pPr>
      <w:r w:rsidRPr="00517D32">
        <w:rPr>
          <w:rFonts w:eastAsia="Arial" w:cs="Arial"/>
          <w:b/>
          <w:color w:val="C00000"/>
          <w:sz w:val="22"/>
          <w:szCs w:val="24"/>
        </w:rPr>
        <w:t>Palavras-chave:</w:t>
      </w:r>
      <w:r w:rsidRPr="00517D32">
        <w:rPr>
          <w:rFonts w:eastAsia="Arial" w:cs="Arial"/>
          <w:color w:val="C00000"/>
          <w:sz w:val="22"/>
          <w:szCs w:val="24"/>
        </w:rPr>
        <w:t xml:space="preserve"> </w:t>
      </w:r>
      <w:r w:rsidRPr="00F058E4">
        <w:rPr>
          <w:rFonts w:eastAsia="Arial" w:cs="Arial"/>
          <w:sz w:val="22"/>
          <w:szCs w:val="24"/>
        </w:rPr>
        <w:t>Energia solar. Sustentabilidade. Brasil.</w:t>
      </w:r>
    </w:p>
    <w:p w:rsidR="00F058E4" w:rsidRPr="00025950" w:rsidRDefault="00F058E4" w:rsidP="00F058E4">
      <w:pPr>
        <w:pStyle w:val="Ttulo1"/>
        <w:rPr>
          <w:rFonts w:eastAsia="Arial"/>
        </w:rPr>
      </w:pPr>
      <w:r w:rsidRPr="00025950">
        <w:rPr>
          <w:rFonts w:eastAsia="Arial"/>
        </w:rPr>
        <w:t>1 INTRODUÇÃO</w:t>
      </w:r>
    </w:p>
    <w:p w:rsidR="00F058E4" w:rsidRPr="00025950" w:rsidRDefault="00F058E4" w:rsidP="00F058E4">
      <w:pPr>
        <w:ind w:firstLine="709"/>
        <w:rPr>
          <w:rFonts w:cs="Arial"/>
          <w:szCs w:val="24"/>
        </w:rPr>
      </w:pPr>
      <w:r w:rsidRPr="00025950">
        <w:rPr>
          <w:rFonts w:cs="Arial"/>
          <w:szCs w:val="24"/>
        </w:rPr>
        <w:t xml:space="preserve">Os impactos climáticos trazidos pelas antigas práticas energéticas são claramente visíveis mundialmente. De acordo com a </w:t>
      </w:r>
      <w:proofErr w:type="spellStart"/>
      <w:r w:rsidRPr="00025950">
        <w:rPr>
          <w:rFonts w:cs="Arial"/>
          <w:i/>
          <w:szCs w:val="24"/>
        </w:rPr>
        <w:t>International</w:t>
      </w:r>
      <w:proofErr w:type="spellEnd"/>
      <w:r w:rsidRPr="00025950">
        <w:rPr>
          <w:rFonts w:cs="Arial"/>
          <w:i/>
          <w:szCs w:val="24"/>
        </w:rPr>
        <w:t xml:space="preserve"> Energy </w:t>
      </w:r>
      <w:proofErr w:type="spellStart"/>
      <w:r w:rsidRPr="00025950">
        <w:rPr>
          <w:rFonts w:cs="Arial"/>
          <w:i/>
          <w:szCs w:val="24"/>
        </w:rPr>
        <w:t>Agency</w:t>
      </w:r>
      <w:proofErr w:type="spellEnd"/>
      <w:r w:rsidRPr="00025950">
        <w:rPr>
          <w:rFonts w:cs="Arial"/>
          <w:szCs w:val="24"/>
        </w:rPr>
        <w:t xml:space="preserve"> (</w:t>
      </w:r>
      <w:proofErr w:type="spellStart"/>
      <w:r w:rsidRPr="00025950">
        <w:rPr>
          <w:rFonts w:cs="Arial"/>
          <w:szCs w:val="24"/>
        </w:rPr>
        <w:t>IEA</w:t>
      </w:r>
      <w:proofErr w:type="spellEnd"/>
      <w:r w:rsidRPr="00025950">
        <w:rPr>
          <w:rFonts w:cs="Arial"/>
          <w:szCs w:val="24"/>
        </w:rPr>
        <w:t>, 2012, p. 45), as emissões de dióxido de carbono (</w:t>
      </w:r>
      <w:proofErr w:type="spellStart"/>
      <w:r w:rsidRPr="00025950">
        <w:rPr>
          <w:rFonts w:cs="Arial"/>
          <w:szCs w:val="24"/>
        </w:rPr>
        <w:t>CO2</w:t>
      </w:r>
      <w:proofErr w:type="spellEnd"/>
      <w:r w:rsidRPr="00025950">
        <w:rPr>
          <w:rFonts w:cs="Arial"/>
          <w:szCs w:val="24"/>
        </w:rPr>
        <w:t xml:space="preserve">) dobraram entre 1973 e 2009. </w:t>
      </w:r>
      <w:r w:rsidRPr="00025950">
        <w:rPr>
          <w:rFonts w:cs="Arial"/>
          <w:szCs w:val="24"/>
        </w:rPr>
        <w:lastRenderedPageBreak/>
        <w:t>Os países-membros da Organização para a Cooperação e Desenvolvimento Económico (OCDE) são responsáveis por 65% dessa emissão, principalmente a China que representa 37% da população mundial (</w:t>
      </w:r>
      <w:proofErr w:type="spellStart"/>
      <w:r w:rsidRPr="00025950">
        <w:rPr>
          <w:rFonts w:cs="Arial"/>
          <w:szCs w:val="24"/>
        </w:rPr>
        <w:t>MADDISON</w:t>
      </w:r>
      <w:proofErr w:type="spellEnd"/>
      <w:r w:rsidRPr="00025950">
        <w:rPr>
          <w:rFonts w:cs="Arial"/>
          <w:szCs w:val="24"/>
        </w:rPr>
        <w:t xml:space="preserve"> 2010), (</w:t>
      </w:r>
      <w:r w:rsidRPr="00025950">
        <w:rPr>
          <w:rFonts w:eastAsia="Arial" w:cs="Arial"/>
          <w:szCs w:val="24"/>
        </w:rPr>
        <w:t xml:space="preserve">HOPKINS </w:t>
      </w:r>
      <w:proofErr w:type="gramStart"/>
      <w:r w:rsidRPr="00025950">
        <w:rPr>
          <w:rFonts w:eastAsia="Arial" w:cs="Arial"/>
          <w:szCs w:val="24"/>
        </w:rPr>
        <w:t>et</w:t>
      </w:r>
      <w:proofErr w:type="gramEnd"/>
      <w:r w:rsidRPr="00025950">
        <w:rPr>
          <w:rFonts w:eastAsia="Arial" w:cs="Arial"/>
          <w:szCs w:val="24"/>
        </w:rPr>
        <w:t xml:space="preserve"> al,</w:t>
      </w:r>
      <w:r w:rsidRPr="00025950">
        <w:rPr>
          <w:rFonts w:cs="Arial"/>
          <w:szCs w:val="24"/>
        </w:rPr>
        <w:t xml:space="preserve"> 2012).</w:t>
      </w:r>
    </w:p>
    <w:p w:rsidR="00F058E4" w:rsidRPr="00025950" w:rsidRDefault="00F058E4" w:rsidP="00F058E4">
      <w:pPr>
        <w:ind w:firstLine="709"/>
        <w:rPr>
          <w:rFonts w:cs="Arial"/>
          <w:szCs w:val="24"/>
        </w:rPr>
      </w:pPr>
      <w:r w:rsidRPr="00025950">
        <w:rPr>
          <w:rFonts w:cs="Arial"/>
          <w:szCs w:val="24"/>
        </w:rPr>
        <w:t>O crescimento econômico e a emissão de carbono e</w:t>
      </w:r>
      <w:r w:rsidR="00D513D7">
        <w:rPr>
          <w:rFonts w:cs="Arial"/>
          <w:szCs w:val="24"/>
        </w:rPr>
        <w:t>s</w:t>
      </w:r>
      <w:r w:rsidRPr="00025950">
        <w:rPr>
          <w:rFonts w:cs="Arial"/>
          <w:szCs w:val="24"/>
        </w:rPr>
        <w:t>tão intimamente ligados, conforme mostram as informações da Figura 1, tendo em vista que</w:t>
      </w:r>
      <w:r w:rsidR="00D513D7">
        <w:rPr>
          <w:rFonts w:cs="Arial"/>
          <w:szCs w:val="24"/>
        </w:rPr>
        <w:t>,</w:t>
      </w:r>
      <w:r w:rsidRPr="00025950">
        <w:rPr>
          <w:rFonts w:cs="Arial"/>
          <w:szCs w:val="24"/>
        </w:rPr>
        <w:t xml:space="preserve"> para que haja um avanço econômico, se faz necessári</w:t>
      </w:r>
      <w:r w:rsidR="00D513D7">
        <w:rPr>
          <w:rFonts w:cs="Arial"/>
          <w:szCs w:val="24"/>
        </w:rPr>
        <w:t>a</w:t>
      </w:r>
      <w:r w:rsidRPr="00025950">
        <w:rPr>
          <w:rFonts w:cs="Arial"/>
          <w:szCs w:val="24"/>
        </w:rPr>
        <w:t xml:space="preserve"> uma maior utilização da capacidade produtiva, que, por sua vez, é significativamente dependente de energia. Infelizmente, como a matriz energética é regida por fontes fósseis, a liberação de poluição é quase eminente, bem como também </w:t>
      </w:r>
      <w:r w:rsidR="00D513D7" w:rsidRPr="00025950">
        <w:rPr>
          <w:rFonts w:cs="Arial"/>
          <w:szCs w:val="24"/>
        </w:rPr>
        <w:t>se destaca</w:t>
      </w:r>
      <w:r w:rsidRPr="00025950">
        <w:rPr>
          <w:rFonts w:cs="Arial"/>
          <w:szCs w:val="24"/>
        </w:rPr>
        <w:t xml:space="preserve"> o fato de essas fontes não serem renováveis, necessitando de um longo período de tempo para serem regeneradas pela natureza, seu esgotamento é imprescindível, não ha</w:t>
      </w:r>
      <w:bookmarkStart w:id="0" w:name="_GoBack"/>
      <w:bookmarkEnd w:id="0"/>
      <w:r w:rsidRPr="00025950">
        <w:rPr>
          <w:rFonts w:cs="Arial"/>
          <w:szCs w:val="24"/>
        </w:rPr>
        <w:t>vendo uma escala capaz de sustentar a demanda crescente, pela própria dinâmica de produção e consumo que se estabeleceu na sociedade, cujo cerne está localizado na capacidade de privilegiar uma cultura que estabelece a necessidade de ter a posse imediata de todos os bens e serviços do mundo moderno adquiridos no mercado.</w:t>
      </w:r>
    </w:p>
    <w:p w:rsidR="00F058E4" w:rsidRPr="00F058E4" w:rsidRDefault="00F058E4" w:rsidP="00F058E4">
      <w:pPr>
        <w:jc w:val="center"/>
        <w:rPr>
          <w:rFonts w:cs="Arial"/>
          <w:sz w:val="22"/>
          <w:szCs w:val="24"/>
        </w:rPr>
      </w:pPr>
      <w:r w:rsidRPr="00F058E4">
        <w:rPr>
          <w:rFonts w:cs="Arial"/>
          <w:b/>
          <w:sz w:val="22"/>
          <w:szCs w:val="24"/>
        </w:rPr>
        <w:t>FIGURA 1 –</w:t>
      </w:r>
      <w:r w:rsidRPr="00F058E4">
        <w:rPr>
          <w:rFonts w:cs="Arial"/>
          <w:sz w:val="22"/>
          <w:szCs w:val="24"/>
        </w:rPr>
        <w:t xml:space="preserve"> Emissão global de carbono e o crescimento econômico</w:t>
      </w:r>
    </w:p>
    <w:p w:rsidR="00F058E4" w:rsidRPr="00025950" w:rsidRDefault="00F058E4" w:rsidP="00F058E4">
      <w:pPr>
        <w:rPr>
          <w:rFonts w:eastAsia="Arial" w:cs="Arial"/>
          <w:szCs w:val="24"/>
        </w:rPr>
      </w:pPr>
      <w:r w:rsidRPr="00025950">
        <w:rPr>
          <w:rFonts w:eastAsia="Arial" w:cs="Arial"/>
          <w:noProof/>
          <w:szCs w:val="24"/>
        </w:rPr>
        <w:drawing>
          <wp:inline distT="0" distB="0" distL="0" distR="0" wp14:anchorId="5F4EB1D3" wp14:editId="6908CD95">
            <wp:extent cx="5788660" cy="2677795"/>
            <wp:effectExtent l="0" t="0" r="2540" b="8255"/>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issão de carbono.png"/>
                    <pic:cNvPicPr/>
                  </pic:nvPicPr>
                  <pic:blipFill rotWithShape="1">
                    <a:blip r:embed="rId9" cstate="print">
                      <a:extLst>
                        <a:ext uri="{28A0092B-C50C-407E-A947-70E740481C1C}">
                          <a14:useLocalDpi xmlns:a14="http://schemas.microsoft.com/office/drawing/2010/main" val="0"/>
                        </a:ext>
                      </a:extLst>
                    </a:blip>
                    <a:srcRect l="-496" t="17346"/>
                    <a:stretch/>
                  </pic:blipFill>
                  <pic:spPr bwMode="auto">
                    <a:xfrm>
                      <a:off x="0" y="0"/>
                      <a:ext cx="5788660" cy="2677795"/>
                    </a:xfrm>
                    <a:prstGeom prst="rect">
                      <a:avLst/>
                    </a:prstGeom>
                    <a:ln>
                      <a:noFill/>
                    </a:ln>
                    <a:extLst>
                      <a:ext uri="{53640926-AAD7-44D8-BBD7-CCE9431645EC}">
                        <a14:shadowObscured xmlns:a14="http://schemas.microsoft.com/office/drawing/2010/main"/>
                      </a:ext>
                    </a:extLst>
                  </pic:spPr>
                </pic:pic>
              </a:graphicData>
            </a:graphic>
          </wp:inline>
        </w:drawing>
      </w:r>
    </w:p>
    <w:p w:rsidR="00F058E4" w:rsidRDefault="00F058E4" w:rsidP="00F058E4">
      <w:pPr>
        <w:jc w:val="center"/>
        <w:rPr>
          <w:rFonts w:cs="Arial"/>
          <w:sz w:val="20"/>
        </w:rPr>
      </w:pPr>
      <w:r w:rsidRPr="00F058E4">
        <w:rPr>
          <w:rFonts w:cs="Arial"/>
          <w:b/>
          <w:sz w:val="20"/>
        </w:rPr>
        <w:t>Fonte:</w:t>
      </w:r>
      <w:r w:rsidRPr="00F058E4">
        <w:rPr>
          <w:rFonts w:cs="Arial"/>
          <w:sz w:val="20"/>
        </w:rPr>
        <w:t xml:space="preserve"> </w:t>
      </w:r>
      <w:proofErr w:type="spellStart"/>
      <w:r w:rsidRPr="00F058E4">
        <w:rPr>
          <w:rFonts w:cs="Arial"/>
          <w:sz w:val="20"/>
        </w:rPr>
        <w:t>IEA</w:t>
      </w:r>
      <w:proofErr w:type="spellEnd"/>
      <w:r w:rsidRPr="00F058E4">
        <w:rPr>
          <w:rFonts w:cs="Arial"/>
          <w:sz w:val="20"/>
        </w:rPr>
        <w:t>, (2017)</w:t>
      </w:r>
    </w:p>
    <w:p w:rsidR="00F058E4" w:rsidRPr="00F058E4" w:rsidRDefault="00F058E4" w:rsidP="00F058E4">
      <w:pPr>
        <w:jc w:val="center"/>
        <w:rPr>
          <w:rFonts w:cs="Arial"/>
          <w:sz w:val="20"/>
        </w:rPr>
      </w:pPr>
    </w:p>
    <w:p w:rsidR="00F058E4" w:rsidRPr="00025950" w:rsidRDefault="00F058E4" w:rsidP="00F058E4">
      <w:pPr>
        <w:ind w:firstLine="709"/>
        <w:rPr>
          <w:rFonts w:cs="Arial"/>
          <w:szCs w:val="24"/>
        </w:rPr>
      </w:pPr>
      <w:r w:rsidRPr="00025950">
        <w:rPr>
          <w:rFonts w:cs="Arial"/>
          <w:szCs w:val="24"/>
        </w:rPr>
        <w:t xml:space="preserve">Assim, para que o avanço econômico e o planeta não serem afetados intensivamente pelos estilos da vida moderna, faz-se necessário eliminar </w:t>
      </w:r>
      <w:proofErr w:type="gramStart"/>
      <w:r w:rsidRPr="00025950">
        <w:rPr>
          <w:rFonts w:cs="Arial"/>
          <w:szCs w:val="24"/>
        </w:rPr>
        <w:t>as</w:t>
      </w:r>
      <w:proofErr w:type="gramEnd"/>
      <w:r w:rsidRPr="00025950">
        <w:rPr>
          <w:rFonts w:cs="Arial"/>
          <w:szCs w:val="24"/>
        </w:rPr>
        <w:t xml:space="preserve"> </w:t>
      </w:r>
      <w:proofErr w:type="gramStart"/>
      <w:r w:rsidRPr="00025950">
        <w:rPr>
          <w:rFonts w:cs="Arial"/>
          <w:szCs w:val="24"/>
        </w:rPr>
        <w:lastRenderedPageBreak/>
        <w:t>externalidades</w:t>
      </w:r>
      <w:proofErr w:type="gramEnd"/>
      <w:r w:rsidRPr="00025950">
        <w:rPr>
          <w:rFonts w:cs="Arial"/>
          <w:szCs w:val="24"/>
        </w:rPr>
        <w:t xml:space="preserve"> negativas trazidas pelas fontes de energia fósseis, de tal forma que seja possível modificar as bases energéticas de produção na direção da utilização e uso das fontes de energia mais limpas, menos danosas ao meio-ambiente, renováveis e ilimitadas (FREEMAN, 2008).</w:t>
      </w:r>
    </w:p>
    <w:p w:rsidR="00F058E4" w:rsidRPr="00025950" w:rsidRDefault="00F058E4" w:rsidP="00F058E4">
      <w:pPr>
        <w:pStyle w:val="Ttulo1"/>
        <w:rPr>
          <w:rFonts w:eastAsia="Arial"/>
        </w:rPr>
      </w:pPr>
      <w:proofErr w:type="gramStart"/>
      <w:r w:rsidRPr="00025950">
        <w:rPr>
          <w:rFonts w:eastAsia="Arial"/>
        </w:rPr>
        <w:t>2 ENERGIA</w:t>
      </w:r>
      <w:proofErr w:type="gramEnd"/>
      <w:r w:rsidRPr="00025950">
        <w:rPr>
          <w:rFonts w:eastAsia="Arial"/>
        </w:rPr>
        <w:t xml:space="preserve"> SOLAR</w:t>
      </w:r>
    </w:p>
    <w:p w:rsidR="00F058E4" w:rsidRPr="00025950" w:rsidRDefault="00F058E4" w:rsidP="00F058E4">
      <w:pPr>
        <w:rPr>
          <w:rFonts w:cs="Arial"/>
          <w:szCs w:val="24"/>
        </w:rPr>
      </w:pPr>
      <w:r w:rsidRPr="00025950">
        <w:rPr>
          <w:rFonts w:eastAsia="Arial" w:cs="Arial"/>
          <w:szCs w:val="24"/>
        </w:rPr>
        <w:t xml:space="preserve">           Os raios solares liberados na superfície terrestre são provenientes do sol, uma estrela no qual libera aproximadamente a mesma quantidade de calor a milênios. Portanto, não considerada uma fonte renovável, mas sim ilimitada sem expectativas de que se reduza ou acabe. A energia solar é derivada destes raios, com diferentes formas de absolvição e de utilização. Dependendo do objetivo, se escolhe qual a melhor trajetória, assim obtendo uma maior eficiência quando baseada nesta fonte energética.</w:t>
      </w:r>
      <w:r w:rsidRPr="00025950">
        <w:rPr>
          <w:rFonts w:cs="Arial"/>
          <w:szCs w:val="24"/>
        </w:rPr>
        <w:t xml:space="preserve"> A produção de energia solar mundial vem avançando significativamente ao longo de 2008 a 2017 (Figura 2), tendo em vista o melhoramento da produção e a redução dos poluentes na atmosfera.</w:t>
      </w:r>
    </w:p>
    <w:p w:rsidR="00F058E4" w:rsidRPr="00F058E4" w:rsidRDefault="00F058E4" w:rsidP="00F058E4">
      <w:pPr>
        <w:jc w:val="center"/>
        <w:rPr>
          <w:rFonts w:eastAsia="Arial" w:cs="Arial"/>
          <w:sz w:val="22"/>
          <w:szCs w:val="24"/>
        </w:rPr>
      </w:pPr>
      <w:r w:rsidRPr="00F058E4">
        <w:rPr>
          <w:rFonts w:cs="Arial"/>
          <w:b/>
          <w:sz w:val="22"/>
          <w:szCs w:val="24"/>
        </w:rPr>
        <w:t>FIGURA 2 –</w:t>
      </w:r>
      <w:r w:rsidRPr="00F058E4">
        <w:rPr>
          <w:rFonts w:cs="Arial"/>
          <w:sz w:val="22"/>
          <w:szCs w:val="24"/>
        </w:rPr>
        <w:t xml:space="preserve"> Produção de energia solar mundial</w:t>
      </w:r>
    </w:p>
    <w:p w:rsidR="00F058E4" w:rsidRPr="00025950" w:rsidRDefault="00F058E4" w:rsidP="00F058E4">
      <w:pPr>
        <w:jc w:val="center"/>
        <w:rPr>
          <w:rFonts w:eastAsia="Arial" w:cs="Arial"/>
          <w:szCs w:val="24"/>
        </w:rPr>
      </w:pPr>
      <w:r w:rsidRPr="00025950">
        <w:rPr>
          <w:noProof/>
        </w:rPr>
        <w:drawing>
          <wp:inline distT="0" distB="0" distL="0" distR="0" wp14:anchorId="11C3C1F2" wp14:editId="1DF41B36">
            <wp:extent cx="5752465" cy="3020992"/>
            <wp:effectExtent l="0" t="0" r="635" b="8255"/>
            <wp:docPr id="5" name="Gráfico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E96F62E-294B-4565-966F-0AE9831E0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58E4" w:rsidRPr="00F058E4" w:rsidRDefault="00F058E4" w:rsidP="00F058E4">
      <w:pPr>
        <w:jc w:val="center"/>
        <w:rPr>
          <w:rFonts w:cs="Arial"/>
          <w:sz w:val="20"/>
        </w:rPr>
      </w:pPr>
      <w:r w:rsidRPr="00F058E4">
        <w:rPr>
          <w:rFonts w:cs="Arial"/>
          <w:b/>
          <w:sz w:val="20"/>
        </w:rPr>
        <w:t>Fonte:</w:t>
      </w:r>
      <w:r w:rsidRPr="00F058E4">
        <w:rPr>
          <w:rFonts w:cs="Arial"/>
          <w:sz w:val="20"/>
        </w:rPr>
        <w:t xml:space="preserve"> </w:t>
      </w:r>
      <w:proofErr w:type="spellStart"/>
      <w:r w:rsidRPr="00F058E4">
        <w:rPr>
          <w:rFonts w:cs="Arial"/>
          <w:sz w:val="20"/>
        </w:rPr>
        <w:t>IRENA</w:t>
      </w:r>
      <w:proofErr w:type="spellEnd"/>
      <w:r w:rsidRPr="00F058E4">
        <w:rPr>
          <w:rFonts w:cs="Arial"/>
          <w:sz w:val="20"/>
        </w:rPr>
        <w:t xml:space="preserve"> (2018)</w:t>
      </w:r>
    </w:p>
    <w:p w:rsidR="00F058E4" w:rsidRPr="00025950" w:rsidRDefault="00F058E4" w:rsidP="00F058E4">
      <w:pPr>
        <w:spacing w:before="240" w:after="120"/>
        <w:ind w:firstLine="708"/>
        <w:rPr>
          <w:rFonts w:eastAsia="Arial" w:cs="Arial"/>
          <w:szCs w:val="24"/>
        </w:rPr>
      </w:pPr>
      <w:r w:rsidRPr="00025950">
        <w:rPr>
          <w:rFonts w:eastAsia="Arial" w:cs="Arial"/>
          <w:szCs w:val="24"/>
        </w:rPr>
        <w:t xml:space="preserve">A distribuição dos raios solares não é distribuída de maneira uniforme no globo terrestre (Figura 3). Com isso, faz-se necessário um estudo antecipado para se </w:t>
      </w:r>
      <w:r w:rsidRPr="00025950">
        <w:rPr>
          <w:rFonts w:eastAsia="Arial" w:cs="Arial"/>
          <w:szCs w:val="24"/>
        </w:rPr>
        <w:lastRenderedPageBreak/>
        <w:t xml:space="preserve">verificar a viabilidade e a aplicabilidade deste recurso em cada país e região. Logo, “[...] a avaliação do potencial de recursos de energia solar numa região envolve basicamente três componentes: a distribuição espacial, sua viabilidade temporal e as incertezas associadas às duas primeiras [...]” (INPE, 2017, </w:t>
      </w:r>
      <w:proofErr w:type="spellStart"/>
      <w:r w:rsidRPr="00025950">
        <w:rPr>
          <w:rFonts w:eastAsia="Arial" w:cs="Arial"/>
          <w:szCs w:val="24"/>
        </w:rPr>
        <w:t>p.9</w:t>
      </w:r>
      <w:proofErr w:type="spellEnd"/>
      <w:r w:rsidRPr="00025950">
        <w:rPr>
          <w:rFonts w:eastAsia="Arial" w:cs="Arial"/>
          <w:szCs w:val="24"/>
        </w:rPr>
        <w:t xml:space="preserve">). Embora seja preferível a substituição das energias fósseis por fontes renováveis e limpas, os estudos realizados acerca do tema em questão devem contemplar as melhores fontes e trajetórias a serem seguidas, para que haja a obtenção de êxito nos objetivos, sem haver perdas e danos maiores ao capital investido e ao meio ambiente.  </w:t>
      </w:r>
    </w:p>
    <w:p w:rsidR="00F058E4" w:rsidRPr="00025950" w:rsidRDefault="00F058E4" w:rsidP="00F058E4">
      <w:pPr>
        <w:spacing w:before="240" w:after="120"/>
        <w:ind w:firstLine="708"/>
        <w:rPr>
          <w:rFonts w:eastAsia="Arial" w:cs="Arial"/>
          <w:szCs w:val="24"/>
        </w:rPr>
      </w:pPr>
    </w:p>
    <w:p w:rsidR="00F058E4" w:rsidRPr="00025950" w:rsidRDefault="00F058E4" w:rsidP="00F058E4">
      <w:pPr>
        <w:spacing w:before="240" w:after="120"/>
        <w:ind w:firstLine="708"/>
        <w:rPr>
          <w:rFonts w:eastAsia="Arial" w:cs="Arial"/>
          <w:szCs w:val="24"/>
        </w:rPr>
      </w:pPr>
    </w:p>
    <w:p w:rsidR="00F058E4" w:rsidRPr="00F058E4" w:rsidRDefault="00F058E4" w:rsidP="00F058E4">
      <w:pPr>
        <w:spacing w:before="240" w:after="120" w:line="240" w:lineRule="auto"/>
        <w:contextualSpacing/>
        <w:jc w:val="center"/>
        <w:rPr>
          <w:rFonts w:eastAsia="Arial" w:cs="Arial"/>
          <w:sz w:val="22"/>
          <w:szCs w:val="24"/>
        </w:rPr>
      </w:pPr>
      <w:r w:rsidRPr="00F058E4">
        <w:rPr>
          <w:rFonts w:cs="Arial"/>
          <w:b/>
          <w:sz w:val="22"/>
          <w:szCs w:val="24"/>
        </w:rPr>
        <w:t>FIGURA 3 –</w:t>
      </w:r>
      <w:r w:rsidRPr="00F058E4">
        <w:rPr>
          <w:rFonts w:cs="Arial"/>
          <w:sz w:val="22"/>
          <w:szCs w:val="24"/>
        </w:rPr>
        <w:t xml:space="preserve"> Irradiação direta normal solar mundial</w:t>
      </w:r>
    </w:p>
    <w:p w:rsidR="00F058E4" w:rsidRPr="00025950" w:rsidRDefault="00F058E4" w:rsidP="00F058E4">
      <w:pPr>
        <w:spacing w:before="240" w:after="120"/>
        <w:jc w:val="center"/>
        <w:rPr>
          <w:rFonts w:eastAsia="Arial" w:cs="Arial"/>
          <w:szCs w:val="24"/>
        </w:rPr>
      </w:pPr>
      <w:r w:rsidRPr="00025950">
        <w:rPr>
          <w:rFonts w:eastAsia="Arial" w:cs="Arial"/>
          <w:noProof/>
          <w:szCs w:val="24"/>
        </w:rPr>
        <w:drawing>
          <wp:inline distT="0" distB="0" distL="0" distR="0" wp14:anchorId="38C4A63B" wp14:editId="6B2A0770">
            <wp:extent cx="5760085" cy="2998470"/>
            <wp:effectExtent l="0" t="0" r="0" b="0"/>
            <wp:docPr id="13" name="Imagem 1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ndo potencia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998470"/>
                    </a:xfrm>
                    <a:prstGeom prst="rect">
                      <a:avLst/>
                    </a:prstGeom>
                  </pic:spPr>
                </pic:pic>
              </a:graphicData>
            </a:graphic>
          </wp:inline>
        </w:drawing>
      </w:r>
    </w:p>
    <w:p w:rsidR="00F058E4" w:rsidRPr="00F058E4" w:rsidRDefault="00F058E4" w:rsidP="00F058E4">
      <w:pPr>
        <w:jc w:val="center"/>
        <w:rPr>
          <w:rFonts w:cs="Arial"/>
          <w:sz w:val="20"/>
        </w:rPr>
      </w:pPr>
      <w:r w:rsidRPr="00F058E4">
        <w:rPr>
          <w:rFonts w:cs="Arial"/>
          <w:b/>
          <w:sz w:val="20"/>
        </w:rPr>
        <w:t>Fonte:</w:t>
      </w:r>
      <w:r w:rsidRPr="00F058E4">
        <w:rPr>
          <w:rFonts w:cs="Arial"/>
          <w:sz w:val="20"/>
        </w:rPr>
        <w:t xml:space="preserve"> GLOBAL ATLAS SOLAR, (2019</w:t>
      </w:r>
      <w:proofErr w:type="gramStart"/>
      <w:r w:rsidRPr="00F058E4">
        <w:rPr>
          <w:rFonts w:cs="Arial"/>
          <w:sz w:val="20"/>
        </w:rPr>
        <w:t>)</w:t>
      </w:r>
      <w:proofErr w:type="gramEnd"/>
    </w:p>
    <w:p w:rsidR="00F058E4" w:rsidRPr="00025950" w:rsidRDefault="00F058E4" w:rsidP="00F058E4">
      <w:pPr>
        <w:contextualSpacing/>
        <w:rPr>
          <w:rFonts w:cs="Arial"/>
        </w:rPr>
      </w:pPr>
    </w:p>
    <w:p w:rsidR="00F058E4" w:rsidRPr="00025950" w:rsidRDefault="00F058E4" w:rsidP="00F058E4">
      <w:pPr>
        <w:contextualSpacing/>
        <w:rPr>
          <w:rFonts w:cs="Arial"/>
          <w:b/>
        </w:rPr>
      </w:pPr>
      <w:proofErr w:type="gramStart"/>
      <w:r w:rsidRPr="00025950">
        <w:rPr>
          <w:rFonts w:cs="Arial"/>
          <w:b/>
        </w:rPr>
        <w:t>3 POTENCIAL</w:t>
      </w:r>
      <w:proofErr w:type="gramEnd"/>
      <w:r w:rsidRPr="00025950">
        <w:rPr>
          <w:rFonts w:cs="Arial"/>
          <w:b/>
        </w:rPr>
        <w:t xml:space="preserve"> SOLAR BRASILEIRO</w:t>
      </w:r>
    </w:p>
    <w:p w:rsidR="00F058E4" w:rsidRPr="00025950" w:rsidRDefault="00F058E4" w:rsidP="00F058E4">
      <w:pPr>
        <w:ind w:firstLine="708"/>
        <w:contextualSpacing/>
        <w:rPr>
          <w:rFonts w:cs="Arial"/>
        </w:rPr>
      </w:pPr>
      <w:r w:rsidRPr="00025950">
        <w:rPr>
          <w:rFonts w:cs="Arial"/>
        </w:rPr>
        <w:t xml:space="preserve">O Brasil como um país tropical, localizado próximo à linha do equador, recebe maior incidência de raios solares, e, como consequência, atinge maiores temperaturas. Assim, o Brasil possui grande potencial energético solar em todo seu território. Quando analisado áreas mais próximas ao polo terrestre, no qual é natural </w:t>
      </w:r>
      <w:r w:rsidRPr="00025950">
        <w:rPr>
          <w:rFonts w:cs="Arial"/>
        </w:rPr>
        <w:lastRenderedPageBreak/>
        <w:t>que haja um menor recebimento de sol em seu território, o país ainda possui maior potencial energético solar do que outros países líderes em produção de energia solar, como é o caso da Alemanha (Figura 4).</w:t>
      </w:r>
    </w:p>
    <w:p w:rsidR="00F058E4" w:rsidRPr="00025950" w:rsidRDefault="00F058E4" w:rsidP="00F058E4">
      <w:pPr>
        <w:jc w:val="center"/>
        <w:rPr>
          <w:rFonts w:cs="Arial"/>
        </w:rPr>
      </w:pPr>
      <w:r w:rsidRPr="00F058E4">
        <w:rPr>
          <w:rFonts w:cs="Arial"/>
          <w:b/>
          <w:sz w:val="22"/>
        </w:rPr>
        <w:t>FIGURA 4 –</w:t>
      </w:r>
      <w:r w:rsidRPr="00F058E4">
        <w:rPr>
          <w:rFonts w:cs="Arial"/>
          <w:sz w:val="22"/>
        </w:rPr>
        <w:t xml:space="preserve"> Total diário da irradiação direta normal </w:t>
      </w:r>
    </w:p>
    <w:p w:rsidR="00F058E4" w:rsidRPr="00025950" w:rsidRDefault="00F058E4" w:rsidP="00F058E4">
      <w:pPr>
        <w:jc w:val="center"/>
        <w:rPr>
          <w:rFonts w:cs="Arial"/>
        </w:rPr>
      </w:pPr>
      <w:r w:rsidRPr="00025950">
        <w:rPr>
          <w:rFonts w:cs="Arial"/>
          <w:noProof/>
        </w:rPr>
        <w:drawing>
          <wp:inline distT="0" distB="0" distL="0" distR="0" wp14:anchorId="466C4401" wp14:editId="4279BEFE">
            <wp:extent cx="3689656" cy="4030133"/>
            <wp:effectExtent l="0" t="0" r="6350" b="8890"/>
            <wp:docPr id="10" name="Imagem 10" descr="Uma imagem contendo texto, map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png"/>
                    <pic:cNvPicPr/>
                  </pic:nvPicPr>
                  <pic:blipFill>
                    <a:blip r:embed="rId12">
                      <a:extLst>
                        <a:ext uri="{28A0092B-C50C-407E-A947-70E740481C1C}">
                          <a14:useLocalDpi xmlns:a14="http://schemas.microsoft.com/office/drawing/2010/main" val="0"/>
                        </a:ext>
                      </a:extLst>
                    </a:blip>
                    <a:stretch>
                      <a:fillRect/>
                    </a:stretch>
                  </pic:blipFill>
                  <pic:spPr>
                    <a:xfrm>
                      <a:off x="0" y="0"/>
                      <a:ext cx="3700497" cy="4041974"/>
                    </a:xfrm>
                    <a:prstGeom prst="rect">
                      <a:avLst/>
                    </a:prstGeom>
                  </pic:spPr>
                </pic:pic>
              </a:graphicData>
            </a:graphic>
          </wp:inline>
        </w:drawing>
      </w:r>
    </w:p>
    <w:p w:rsidR="00F058E4" w:rsidRPr="00F058E4" w:rsidRDefault="00F058E4" w:rsidP="00F058E4">
      <w:pPr>
        <w:jc w:val="center"/>
        <w:rPr>
          <w:rFonts w:cs="Arial"/>
          <w:sz w:val="20"/>
        </w:rPr>
      </w:pPr>
      <w:r w:rsidRPr="00F058E4">
        <w:rPr>
          <w:rFonts w:cs="Arial"/>
          <w:b/>
          <w:sz w:val="20"/>
        </w:rPr>
        <w:t>Fonte:</w:t>
      </w:r>
      <w:r w:rsidRPr="00F058E4">
        <w:rPr>
          <w:rFonts w:cs="Arial"/>
          <w:sz w:val="20"/>
        </w:rPr>
        <w:t xml:space="preserve"> INPE (2017)</w:t>
      </w:r>
    </w:p>
    <w:p w:rsidR="00F058E4" w:rsidRPr="00025950" w:rsidRDefault="00F058E4" w:rsidP="00F058E4">
      <w:pPr>
        <w:rPr>
          <w:rFonts w:cs="Arial"/>
        </w:rPr>
      </w:pPr>
    </w:p>
    <w:p w:rsidR="00F058E4" w:rsidRPr="00025950" w:rsidRDefault="00F058E4" w:rsidP="00F058E4">
      <w:pPr>
        <w:pStyle w:val="Ttulo1"/>
        <w:rPr>
          <w:rFonts w:eastAsia="Arial"/>
        </w:rPr>
      </w:pPr>
      <w:proofErr w:type="gramStart"/>
      <w:r w:rsidRPr="00025950">
        <w:rPr>
          <w:rFonts w:eastAsia="Arial"/>
        </w:rPr>
        <w:t>4 ENERGIA</w:t>
      </w:r>
      <w:proofErr w:type="gramEnd"/>
      <w:r w:rsidRPr="00025950">
        <w:rPr>
          <w:rFonts w:eastAsia="Arial"/>
        </w:rPr>
        <w:t xml:space="preserve"> FOTOVOLTAICA</w:t>
      </w:r>
    </w:p>
    <w:p w:rsidR="00F058E4" w:rsidRPr="00025950" w:rsidRDefault="00F058E4" w:rsidP="00F058E4">
      <w:pPr>
        <w:ind w:firstLine="708"/>
        <w:rPr>
          <w:rFonts w:eastAsia="Arial" w:cs="Arial"/>
          <w:szCs w:val="24"/>
        </w:rPr>
      </w:pPr>
      <w:r w:rsidRPr="00025950">
        <w:rPr>
          <w:rFonts w:eastAsia="Arial" w:cs="Arial"/>
          <w:szCs w:val="24"/>
        </w:rPr>
        <w:t xml:space="preserve">Acredita-se que a energia fotovoltaica, considerada uma energia limpa, será uma promissora fonte para resolver um dos problemas do milênio, a poluição em massa (INPE, 2017). Porém, inicialmente ela não é totalmente limpa, pois em suas placas se utiliza Cádmio, e em </w:t>
      </w:r>
      <w:proofErr w:type="gramStart"/>
      <w:r w:rsidRPr="00025950">
        <w:rPr>
          <w:rFonts w:eastAsia="Arial" w:cs="Arial"/>
          <w:szCs w:val="24"/>
        </w:rPr>
        <w:t>outras Silício</w:t>
      </w:r>
      <w:proofErr w:type="gramEnd"/>
      <w:r w:rsidRPr="00025950">
        <w:rPr>
          <w:rFonts w:eastAsia="Arial" w:cs="Arial"/>
          <w:szCs w:val="24"/>
        </w:rPr>
        <w:t xml:space="preserve">, metais no qual produzem resíduos no processo de extração. Entretanto, </w:t>
      </w:r>
      <w:proofErr w:type="gramStart"/>
      <w:r w:rsidRPr="00025950">
        <w:rPr>
          <w:rFonts w:eastAsia="Arial" w:cs="Arial"/>
          <w:szCs w:val="24"/>
        </w:rPr>
        <w:t>a longo prazo</w:t>
      </w:r>
      <w:proofErr w:type="gramEnd"/>
      <w:r w:rsidRPr="00025950">
        <w:rPr>
          <w:rFonts w:eastAsia="Arial" w:cs="Arial"/>
          <w:szCs w:val="24"/>
        </w:rPr>
        <w:t xml:space="preserve"> não há liberação de gases e poluentes no meio ambiente. Assim, espera-se que sua propagação reduza o nível de </w:t>
      </w:r>
      <w:proofErr w:type="spellStart"/>
      <w:r w:rsidRPr="00025950">
        <w:rPr>
          <w:rFonts w:eastAsia="Arial" w:cs="Arial"/>
          <w:szCs w:val="24"/>
        </w:rPr>
        <w:t>CO2</w:t>
      </w:r>
      <w:proofErr w:type="spellEnd"/>
      <w:r w:rsidRPr="00025950">
        <w:rPr>
          <w:rFonts w:eastAsia="Arial" w:cs="Arial"/>
          <w:szCs w:val="24"/>
        </w:rPr>
        <w:t xml:space="preserve"> na atmosfera (HOPKINS </w:t>
      </w:r>
      <w:proofErr w:type="gramStart"/>
      <w:r w:rsidRPr="00025950">
        <w:rPr>
          <w:rFonts w:eastAsia="Arial" w:cs="Arial"/>
          <w:szCs w:val="24"/>
        </w:rPr>
        <w:t>et</w:t>
      </w:r>
      <w:proofErr w:type="gramEnd"/>
      <w:r w:rsidRPr="00025950">
        <w:rPr>
          <w:rFonts w:eastAsia="Arial" w:cs="Arial"/>
          <w:szCs w:val="24"/>
        </w:rPr>
        <w:t xml:space="preserve"> al, 2012).</w:t>
      </w:r>
    </w:p>
    <w:p w:rsidR="00F058E4" w:rsidRPr="00025950" w:rsidRDefault="00F058E4" w:rsidP="00F058E4">
      <w:pPr>
        <w:ind w:firstLine="708"/>
        <w:rPr>
          <w:rFonts w:eastAsia="Arial" w:cs="Arial"/>
          <w:szCs w:val="24"/>
        </w:rPr>
      </w:pPr>
      <w:r w:rsidRPr="00025950">
        <w:rPr>
          <w:rFonts w:eastAsia="Arial" w:cs="Arial"/>
          <w:szCs w:val="24"/>
        </w:rPr>
        <w:lastRenderedPageBreak/>
        <w:t xml:space="preserve">Tais Técnicas produtivas não seriam possíveis sem os avanços tecnológicos dos últimos anos; logo, mostrando que existe uma relação de interdependência entre a inovação e a sustentabilidade. Graças ao processo de inovação tecnológica relacionada ao desenvolvimento da geração de energia por este tipo de fonte, países passaram a adotar este tipo de geração de energia com o objetivo de atingir a meta de contribuir para um planeta energeticamente mais seguro e ecologicamente mais sustentável. Ao longo dos anos pode-se observar a crescente adesão da matriz energética mundial ao uso mais intensivo desta fonte, graças </w:t>
      </w:r>
      <w:proofErr w:type="gramStart"/>
      <w:r w:rsidRPr="00025950">
        <w:rPr>
          <w:rFonts w:eastAsia="Arial" w:cs="Arial"/>
          <w:szCs w:val="24"/>
        </w:rPr>
        <w:t>as</w:t>
      </w:r>
      <w:proofErr w:type="gramEnd"/>
      <w:r w:rsidRPr="00025950">
        <w:rPr>
          <w:rFonts w:eastAsia="Arial" w:cs="Arial"/>
          <w:szCs w:val="24"/>
        </w:rPr>
        <w:t xml:space="preserve"> vantagens competitivas que acompanham o progresso técnico-científica da energia solar-fotovoltaica (Figura 5). </w:t>
      </w:r>
    </w:p>
    <w:p w:rsidR="00F058E4" w:rsidRPr="00F058E4" w:rsidRDefault="00F058E4" w:rsidP="00F058E4">
      <w:pPr>
        <w:jc w:val="center"/>
        <w:rPr>
          <w:rFonts w:eastAsia="Arial" w:cs="Arial"/>
          <w:sz w:val="22"/>
          <w:szCs w:val="24"/>
        </w:rPr>
      </w:pPr>
      <w:r w:rsidRPr="00F058E4">
        <w:rPr>
          <w:rFonts w:cs="Arial"/>
          <w:b/>
          <w:sz w:val="22"/>
          <w:szCs w:val="24"/>
        </w:rPr>
        <w:t>FIGURA 5 –</w:t>
      </w:r>
      <w:r w:rsidRPr="00F058E4">
        <w:rPr>
          <w:rFonts w:cs="Arial"/>
          <w:sz w:val="22"/>
          <w:szCs w:val="24"/>
        </w:rPr>
        <w:t xml:space="preserve"> Produção mundial de energia fotovoltaica </w:t>
      </w:r>
    </w:p>
    <w:p w:rsidR="00F058E4" w:rsidRPr="00025950" w:rsidRDefault="00F058E4" w:rsidP="00F058E4">
      <w:pPr>
        <w:jc w:val="center"/>
        <w:rPr>
          <w:rFonts w:cs="Arial"/>
          <w:szCs w:val="24"/>
        </w:rPr>
      </w:pPr>
      <w:r w:rsidRPr="00025950">
        <w:rPr>
          <w:noProof/>
        </w:rPr>
        <w:drawing>
          <wp:inline distT="0" distB="0" distL="0" distR="0" wp14:anchorId="53A0EDF0" wp14:editId="5FD4FDF5">
            <wp:extent cx="5743575" cy="2295525"/>
            <wp:effectExtent l="0" t="0" r="9525" b="9525"/>
            <wp:docPr id="2" name="Gráfico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5C856AB-FA6C-4849-B4EB-DC7CC3DF3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058E4" w:rsidRDefault="00F058E4" w:rsidP="00F058E4">
      <w:pPr>
        <w:jc w:val="center"/>
        <w:rPr>
          <w:rFonts w:cs="Arial"/>
          <w:sz w:val="20"/>
        </w:rPr>
      </w:pPr>
      <w:r w:rsidRPr="00F058E4">
        <w:rPr>
          <w:rFonts w:cs="Arial"/>
          <w:b/>
          <w:sz w:val="20"/>
        </w:rPr>
        <w:t>Fonte:</w:t>
      </w:r>
      <w:r w:rsidRPr="00F058E4">
        <w:rPr>
          <w:rFonts w:cs="Arial"/>
          <w:sz w:val="20"/>
        </w:rPr>
        <w:t xml:space="preserve"> </w:t>
      </w:r>
      <w:proofErr w:type="spellStart"/>
      <w:r w:rsidRPr="00F058E4">
        <w:rPr>
          <w:rFonts w:cs="Arial"/>
          <w:sz w:val="20"/>
        </w:rPr>
        <w:t>IRENA</w:t>
      </w:r>
      <w:proofErr w:type="spellEnd"/>
      <w:r w:rsidRPr="00F058E4">
        <w:rPr>
          <w:rFonts w:cs="Arial"/>
          <w:sz w:val="20"/>
        </w:rPr>
        <w:t xml:space="preserve"> (2018).</w:t>
      </w:r>
    </w:p>
    <w:p w:rsidR="00F058E4" w:rsidRPr="00F058E4" w:rsidRDefault="00F058E4" w:rsidP="00F058E4">
      <w:pPr>
        <w:jc w:val="center"/>
        <w:rPr>
          <w:rFonts w:cs="Arial"/>
          <w:sz w:val="20"/>
        </w:rPr>
      </w:pPr>
    </w:p>
    <w:p w:rsidR="00F058E4" w:rsidRPr="00025950" w:rsidRDefault="00F058E4" w:rsidP="00F058E4">
      <w:pPr>
        <w:ind w:firstLine="708"/>
        <w:contextualSpacing/>
        <w:rPr>
          <w:rFonts w:eastAsia="Arial" w:cs="Arial"/>
          <w:szCs w:val="24"/>
        </w:rPr>
      </w:pPr>
      <w:r w:rsidRPr="00025950">
        <w:rPr>
          <w:rFonts w:eastAsia="Arial" w:cs="Arial"/>
          <w:szCs w:val="24"/>
        </w:rPr>
        <w:t>Comparada aos combustíveis fósseis, as energias renováveis obtiverem uma elevada e rápida inserção no mercado de energia, apesar de ainda apresentar pouca representatividade. Contudo, ela vem adquirindo espaço e a atração dos investimentos ao longo dos últimos anos.</w:t>
      </w:r>
    </w:p>
    <w:p w:rsidR="00F058E4" w:rsidRPr="00025950" w:rsidRDefault="00F058E4" w:rsidP="00F058E4">
      <w:pPr>
        <w:pStyle w:val="Ttulo2"/>
        <w:rPr>
          <w:rFonts w:eastAsia="Arial"/>
        </w:rPr>
      </w:pPr>
      <w:proofErr w:type="gramStart"/>
      <w:r w:rsidRPr="00025950">
        <w:rPr>
          <w:rFonts w:eastAsia="Arial"/>
        </w:rPr>
        <w:t>4.1 Energia</w:t>
      </w:r>
      <w:proofErr w:type="gramEnd"/>
      <w:r w:rsidRPr="00025950">
        <w:rPr>
          <w:rFonts w:eastAsia="Arial"/>
        </w:rPr>
        <w:t xml:space="preserve"> fotovoltaica no Brasil</w:t>
      </w:r>
    </w:p>
    <w:p w:rsidR="00F058E4" w:rsidRPr="00025950" w:rsidRDefault="00F058E4" w:rsidP="00F058E4">
      <w:pPr>
        <w:ind w:firstLine="708"/>
        <w:contextualSpacing/>
        <w:rPr>
          <w:rFonts w:eastAsia="Arial" w:cs="Arial"/>
          <w:szCs w:val="24"/>
        </w:rPr>
      </w:pPr>
      <w:r w:rsidRPr="00025950">
        <w:rPr>
          <w:rFonts w:eastAsia="Arial" w:cs="Arial"/>
          <w:szCs w:val="24"/>
        </w:rPr>
        <w:t>O Brasil, com seu vasto potencial de energia solar, vem crescendo significativamente em termos de produção de energia solar, na modalidade fotovoltaica (</w:t>
      </w:r>
      <w:proofErr w:type="spellStart"/>
      <w:r w:rsidRPr="00025950">
        <w:rPr>
          <w:rFonts w:cs="Arial"/>
          <w:szCs w:val="24"/>
        </w:rPr>
        <w:t>IEA</w:t>
      </w:r>
      <w:proofErr w:type="spellEnd"/>
      <w:r w:rsidRPr="00025950">
        <w:rPr>
          <w:rFonts w:eastAsia="Arial" w:cs="Arial"/>
          <w:szCs w:val="24"/>
        </w:rPr>
        <w:t>, 2018).</w:t>
      </w:r>
    </w:p>
    <w:p w:rsidR="00F058E4" w:rsidRPr="00025950" w:rsidRDefault="00F058E4" w:rsidP="00F058E4">
      <w:pPr>
        <w:ind w:firstLine="708"/>
        <w:contextualSpacing/>
        <w:rPr>
          <w:rFonts w:eastAsia="Arial" w:cs="Arial"/>
          <w:szCs w:val="24"/>
        </w:rPr>
      </w:pPr>
    </w:p>
    <w:p w:rsidR="00F058E4" w:rsidRPr="00025950" w:rsidRDefault="00F058E4" w:rsidP="00F058E4">
      <w:pPr>
        <w:ind w:firstLine="708"/>
        <w:contextualSpacing/>
        <w:rPr>
          <w:rFonts w:eastAsia="Arial" w:cs="Arial"/>
          <w:szCs w:val="24"/>
        </w:rPr>
      </w:pPr>
    </w:p>
    <w:p w:rsidR="00F058E4" w:rsidRPr="00F058E4" w:rsidRDefault="00F058E4" w:rsidP="00F058E4">
      <w:pPr>
        <w:jc w:val="center"/>
        <w:rPr>
          <w:rFonts w:cs="Arial"/>
          <w:sz w:val="22"/>
        </w:rPr>
      </w:pPr>
      <w:r w:rsidRPr="00F058E4">
        <w:rPr>
          <w:rFonts w:cs="Arial"/>
          <w:b/>
          <w:sz w:val="22"/>
        </w:rPr>
        <w:t>FIGURA 6 –</w:t>
      </w:r>
      <w:r w:rsidRPr="00F058E4">
        <w:rPr>
          <w:rFonts w:cs="Arial"/>
          <w:sz w:val="22"/>
        </w:rPr>
        <w:t xml:space="preserve"> Produção total de energia solar e fotovoltaica brasileira</w:t>
      </w:r>
    </w:p>
    <w:p w:rsidR="00F058E4" w:rsidRPr="00025950" w:rsidRDefault="00F058E4" w:rsidP="00F058E4">
      <w:pPr>
        <w:jc w:val="center"/>
        <w:rPr>
          <w:rFonts w:eastAsia="Arial" w:cs="Arial"/>
          <w:szCs w:val="24"/>
        </w:rPr>
      </w:pPr>
      <w:r w:rsidRPr="00025950">
        <w:rPr>
          <w:noProof/>
        </w:rPr>
        <w:drawing>
          <wp:inline distT="0" distB="0" distL="0" distR="0" wp14:anchorId="091F7DD1" wp14:editId="182A7E4A">
            <wp:extent cx="5718810" cy="2695575"/>
            <wp:effectExtent l="0" t="0" r="15240" b="9525"/>
            <wp:docPr id="4" name="Gráfico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F9C808-A859-4F0B-9AB5-34012F4FA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058E4" w:rsidRPr="00F058E4" w:rsidRDefault="00F058E4" w:rsidP="00F058E4">
      <w:pPr>
        <w:jc w:val="center"/>
        <w:rPr>
          <w:rFonts w:cs="Arial"/>
          <w:sz w:val="20"/>
        </w:rPr>
      </w:pPr>
      <w:r w:rsidRPr="00F058E4">
        <w:rPr>
          <w:rFonts w:cs="Arial"/>
          <w:sz w:val="20"/>
        </w:rPr>
        <w:t xml:space="preserve">Fonte: </w:t>
      </w:r>
      <w:proofErr w:type="spellStart"/>
      <w:r w:rsidRPr="00F058E4">
        <w:rPr>
          <w:rFonts w:cs="Arial"/>
          <w:sz w:val="20"/>
        </w:rPr>
        <w:t>IRENA</w:t>
      </w:r>
      <w:proofErr w:type="spellEnd"/>
      <w:r w:rsidRPr="00F058E4">
        <w:rPr>
          <w:rFonts w:cs="Arial"/>
          <w:sz w:val="20"/>
        </w:rPr>
        <w:t xml:space="preserve"> (2018)</w:t>
      </w:r>
    </w:p>
    <w:p w:rsidR="00F058E4" w:rsidRPr="00025950" w:rsidRDefault="00F058E4" w:rsidP="00F058E4">
      <w:pPr>
        <w:rPr>
          <w:rFonts w:eastAsia="Arial" w:cs="Arial"/>
          <w:szCs w:val="24"/>
        </w:rPr>
      </w:pPr>
      <w:r w:rsidRPr="00025950">
        <w:rPr>
          <w:rFonts w:eastAsia="Arial" w:cs="Arial"/>
          <w:szCs w:val="24"/>
        </w:rPr>
        <w:t xml:space="preserve">          Apesar de os avanços da exploração dessa tecnologia no território brasileiro ter avançado significativamente, ainda existe um enorme potencial energético solar em geral que necessita de maior atenção. Mas, para isso faz-se necessário </w:t>
      </w:r>
      <w:proofErr w:type="gramStart"/>
      <w:r w:rsidRPr="00025950">
        <w:rPr>
          <w:rFonts w:eastAsia="Arial" w:cs="Arial"/>
          <w:szCs w:val="24"/>
        </w:rPr>
        <w:t>a</w:t>
      </w:r>
      <w:proofErr w:type="gramEnd"/>
      <w:r w:rsidRPr="00025950">
        <w:rPr>
          <w:rFonts w:eastAsia="Arial" w:cs="Arial"/>
          <w:szCs w:val="24"/>
        </w:rPr>
        <w:t xml:space="preserve"> realização investimentos objetivando o avanço e a propagação dessa tecnologia no Brasil. Os agentes privados têm observado isso e, portanto, aproveitado essa oportunidade. </w:t>
      </w:r>
    </w:p>
    <w:p w:rsidR="00F058E4" w:rsidRPr="00025950" w:rsidRDefault="00F058E4" w:rsidP="00F058E4">
      <w:pPr>
        <w:ind w:firstLine="708"/>
        <w:rPr>
          <w:rFonts w:eastAsia="Arial" w:cs="Arial"/>
          <w:szCs w:val="24"/>
        </w:rPr>
      </w:pPr>
      <w:r w:rsidRPr="00025950">
        <w:rPr>
          <w:rFonts w:eastAsia="Arial" w:cs="Arial"/>
          <w:szCs w:val="24"/>
        </w:rPr>
        <w:t>A Figura 7 mostra a capacidade em operação fiscalizada de campos solares no Brasil. De acordo com os dados apresentados pode-se observar que há uma presença desses investimentos em áreas que apresentam maior uma maior incidência de raios solares; contudo, em outras áreas ainda existem uma grande capacidade em operação, o que mostra a potencialidade do Brasil em transformar sol em eletricidade.</w:t>
      </w:r>
    </w:p>
    <w:p w:rsidR="00F058E4" w:rsidRPr="00025950" w:rsidRDefault="00F058E4" w:rsidP="00F058E4">
      <w:pPr>
        <w:jc w:val="center"/>
        <w:rPr>
          <w:rFonts w:cs="Arial"/>
          <w:szCs w:val="24"/>
        </w:rPr>
      </w:pPr>
    </w:p>
    <w:p w:rsidR="00F058E4" w:rsidRPr="00025950" w:rsidRDefault="00F058E4" w:rsidP="00F058E4">
      <w:pPr>
        <w:jc w:val="center"/>
        <w:rPr>
          <w:rFonts w:cs="Arial"/>
          <w:szCs w:val="24"/>
        </w:rPr>
      </w:pPr>
    </w:p>
    <w:p w:rsidR="00F058E4" w:rsidRPr="00025950" w:rsidRDefault="00F058E4" w:rsidP="00F058E4">
      <w:pPr>
        <w:jc w:val="center"/>
        <w:rPr>
          <w:rFonts w:cs="Arial"/>
          <w:szCs w:val="24"/>
        </w:rPr>
      </w:pPr>
    </w:p>
    <w:p w:rsidR="00F058E4" w:rsidRPr="00025950" w:rsidRDefault="00F058E4" w:rsidP="00F058E4">
      <w:pPr>
        <w:jc w:val="center"/>
        <w:rPr>
          <w:rFonts w:cs="Arial"/>
          <w:szCs w:val="24"/>
        </w:rPr>
      </w:pPr>
    </w:p>
    <w:p w:rsidR="00F058E4" w:rsidRPr="00025950" w:rsidRDefault="00F058E4" w:rsidP="00F058E4">
      <w:pPr>
        <w:jc w:val="center"/>
        <w:rPr>
          <w:rFonts w:cs="Arial"/>
          <w:szCs w:val="24"/>
        </w:rPr>
      </w:pPr>
    </w:p>
    <w:p w:rsidR="00F058E4" w:rsidRPr="00F058E4" w:rsidRDefault="00F058E4" w:rsidP="00F058E4">
      <w:pPr>
        <w:spacing w:line="240" w:lineRule="auto"/>
        <w:contextualSpacing/>
        <w:jc w:val="center"/>
        <w:rPr>
          <w:rFonts w:cs="Arial"/>
          <w:sz w:val="22"/>
          <w:szCs w:val="24"/>
        </w:rPr>
      </w:pPr>
      <w:r w:rsidRPr="00025950">
        <w:rPr>
          <w:rFonts w:eastAsia="Arial" w:cs="Arial"/>
          <w:noProof/>
          <w:szCs w:val="24"/>
        </w:rPr>
        <w:lastRenderedPageBreak/>
        <w:drawing>
          <wp:anchor distT="0" distB="0" distL="114300" distR="114300" simplePos="0" relativeHeight="251658240" behindDoc="1" locked="0" layoutInCell="1" allowOverlap="1" wp14:anchorId="36B994FD" wp14:editId="08958F05">
            <wp:simplePos x="0" y="0"/>
            <wp:positionH relativeFrom="column">
              <wp:posOffset>186690</wp:posOffset>
            </wp:positionH>
            <wp:positionV relativeFrom="paragraph">
              <wp:posOffset>281305</wp:posOffset>
            </wp:positionV>
            <wp:extent cx="4876800" cy="2882900"/>
            <wp:effectExtent l="0" t="0" r="0" b="0"/>
            <wp:wrapThrough wrapText="bothSides">
              <wp:wrapPolygon edited="0">
                <wp:start x="0" y="0"/>
                <wp:lineTo x="0" y="21410"/>
                <wp:lineTo x="21516" y="21410"/>
                <wp:lineTo x="21516" y="0"/>
                <wp:lineTo x="0" y="0"/>
              </wp:wrapPolygon>
            </wp:wrapThrough>
            <wp:docPr id="9" name="Imagem 9"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ado.png"/>
                    <pic:cNvPicPr/>
                  </pic:nvPicPr>
                  <pic:blipFill>
                    <a:blip r:embed="rId15">
                      <a:extLst>
                        <a:ext uri="{28A0092B-C50C-407E-A947-70E740481C1C}">
                          <a14:useLocalDpi xmlns:a14="http://schemas.microsoft.com/office/drawing/2010/main" val="0"/>
                        </a:ext>
                      </a:extLst>
                    </a:blip>
                    <a:stretch>
                      <a:fillRect/>
                    </a:stretch>
                  </pic:blipFill>
                  <pic:spPr>
                    <a:xfrm>
                      <a:off x="0" y="0"/>
                      <a:ext cx="4876800" cy="2882900"/>
                    </a:xfrm>
                    <a:prstGeom prst="rect">
                      <a:avLst/>
                    </a:prstGeom>
                  </pic:spPr>
                </pic:pic>
              </a:graphicData>
            </a:graphic>
            <wp14:sizeRelH relativeFrom="page">
              <wp14:pctWidth>0</wp14:pctWidth>
            </wp14:sizeRelH>
            <wp14:sizeRelV relativeFrom="page">
              <wp14:pctHeight>0</wp14:pctHeight>
            </wp14:sizeRelV>
          </wp:anchor>
        </w:drawing>
      </w:r>
      <w:r w:rsidRPr="00F058E4">
        <w:rPr>
          <w:rFonts w:cs="Arial"/>
          <w:b/>
          <w:sz w:val="22"/>
          <w:szCs w:val="24"/>
        </w:rPr>
        <w:t>FIGURA 7 –</w:t>
      </w:r>
      <w:r w:rsidRPr="00F058E4">
        <w:rPr>
          <w:rFonts w:cs="Arial"/>
          <w:sz w:val="22"/>
          <w:szCs w:val="24"/>
        </w:rPr>
        <w:t xml:space="preserve"> Brasil - Capacidade em operação de energia fotovoltaica em operação.</w:t>
      </w: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Default="00F058E4" w:rsidP="00F058E4">
      <w:pPr>
        <w:jc w:val="center"/>
        <w:rPr>
          <w:rFonts w:eastAsia="Arial" w:cs="Arial"/>
          <w:sz w:val="20"/>
        </w:rPr>
      </w:pPr>
    </w:p>
    <w:p w:rsidR="00F058E4" w:rsidRPr="00025950" w:rsidRDefault="00F058E4" w:rsidP="00F058E4">
      <w:pPr>
        <w:jc w:val="center"/>
        <w:rPr>
          <w:rFonts w:eastAsia="Arial" w:cs="Arial"/>
        </w:rPr>
      </w:pPr>
      <w:r w:rsidRPr="00F058E4">
        <w:rPr>
          <w:rFonts w:eastAsia="Arial" w:cs="Arial"/>
          <w:sz w:val="20"/>
        </w:rPr>
        <w:t>Fonte: ANEEL (abr., 2019).</w:t>
      </w:r>
    </w:p>
    <w:p w:rsidR="00F058E4" w:rsidRPr="00025950" w:rsidRDefault="00F058E4" w:rsidP="00F058E4">
      <w:pPr>
        <w:rPr>
          <w:rFonts w:eastAsia="Arial" w:cs="Arial"/>
          <w:szCs w:val="24"/>
        </w:rPr>
      </w:pPr>
      <w:r w:rsidRPr="00025950">
        <w:rPr>
          <w:rFonts w:eastAsia="Arial" w:cs="Arial"/>
        </w:rPr>
        <w:tab/>
      </w:r>
      <w:r w:rsidRPr="00025950">
        <w:rPr>
          <w:rFonts w:eastAsia="Arial" w:cs="Arial"/>
          <w:szCs w:val="24"/>
        </w:rPr>
        <w:t>Por estado, a capacidade instalada de energia dólar-fotovoltaica está concentrada em Minas Gerais, Ceará, Piauí, São Paulo, Rio Grande do Norte e Paraíba (Figura 8).</w:t>
      </w:r>
    </w:p>
    <w:p w:rsidR="00F058E4" w:rsidRPr="00F058E4" w:rsidRDefault="00F058E4" w:rsidP="00F058E4">
      <w:pPr>
        <w:spacing w:line="240" w:lineRule="auto"/>
        <w:contextualSpacing/>
        <w:jc w:val="center"/>
        <w:rPr>
          <w:rFonts w:cs="Arial"/>
          <w:sz w:val="22"/>
          <w:szCs w:val="24"/>
        </w:rPr>
      </w:pPr>
      <w:r w:rsidRPr="00F058E4">
        <w:rPr>
          <w:rFonts w:cs="Arial"/>
          <w:b/>
          <w:sz w:val="22"/>
          <w:szCs w:val="24"/>
        </w:rPr>
        <w:t>FIGURA 8 –</w:t>
      </w:r>
      <w:r w:rsidRPr="00F058E4">
        <w:rPr>
          <w:rFonts w:cs="Arial"/>
          <w:sz w:val="22"/>
          <w:szCs w:val="24"/>
        </w:rPr>
        <w:t xml:space="preserve"> Brasil - Capacidade em operação de energia fotovoltaica fiscalizada por Estado.</w:t>
      </w:r>
    </w:p>
    <w:p w:rsidR="00F058E4" w:rsidRPr="00025950" w:rsidRDefault="00F058E4" w:rsidP="00F058E4">
      <w:pPr>
        <w:spacing w:line="240" w:lineRule="auto"/>
        <w:jc w:val="center"/>
        <w:rPr>
          <w:rFonts w:eastAsia="Times New Roman" w:cs="Times New Roman"/>
          <w:szCs w:val="24"/>
        </w:rPr>
      </w:pPr>
      <w:r w:rsidRPr="00025950">
        <w:rPr>
          <w:noProof/>
          <w:szCs w:val="24"/>
        </w:rPr>
        <w:drawing>
          <wp:inline distT="0" distB="0" distL="0" distR="0" wp14:anchorId="0359469A" wp14:editId="12F63C05">
            <wp:extent cx="4572000" cy="2743200"/>
            <wp:effectExtent l="0" t="0" r="0" b="0"/>
            <wp:docPr id="12" name="Gráfico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58E4" w:rsidRPr="00F058E4" w:rsidRDefault="00F058E4" w:rsidP="00F058E4">
      <w:pPr>
        <w:jc w:val="center"/>
        <w:rPr>
          <w:rFonts w:eastAsia="Arial" w:cs="Arial"/>
          <w:sz w:val="20"/>
        </w:rPr>
      </w:pPr>
      <w:r w:rsidRPr="00F058E4">
        <w:rPr>
          <w:rFonts w:eastAsia="Arial" w:cs="Arial"/>
          <w:b/>
          <w:sz w:val="20"/>
        </w:rPr>
        <w:t>Fonte:</w:t>
      </w:r>
      <w:r w:rsidRPr="00F058E4">
        <w:rPr>
          <w:rFonts w:eastAsia="Arial" w:cs="Arial"/>
          <w:sz w:val="20"/>
        </w:rPr>
        <w:t xml:space="preserve"> ANEEL (abr., 2019).</w:t>
      </w:r>
    </w:p>
    <w:p w:rsidR="00F058E4" w:rsidRPr="00025950" w:rsidRDefault="00F058E4" w:rsidP="00F058E4">
      <w:pPr>
        <w:rPr>
          <w:rFonts w:eastAsia="Arial" w:cs="Arial"/>
          <w:szCs w:val="24"/>
        </w:rPr>
      </w:pPr>
    </w:p>
    <w:p w:rsidR="00F058E4" w:rsidRPr="00025950" w:rsidRDefault="00F058E4" w:rsidP="00F058E4">
      <w:pPr>
        <w:ind w:firstLine="708"/>
        <w:rPr>
          <w:rFonts w:eastAsia="Arial" w:cs="Arial"/>
          <w:szCs w:val="24"/>
        </w:rPr>
      </w:pPr>
      <w:r w:rsidRPr="00025950">
        <w:rPr>
          <w:rFonts w:eastAsia="Arial" w:cs="Arial"/>
          <w:szCs w:val="24"/>
        </w:rPr>
        <w:t xml:space="preserve">Portanto, a irradiação solar é intensa no território brasileiro. Porém, em áreas como a Amazônia ainda existe uma considerável quantidade de matas fechadas que </w:t>
      </w:r>
      <w:proofErr w:type="gramStart"/>
      <w:r w:rsidRPr="00025950">
        <w:rPr>
          <w:rFonts w:eastAsia="Arial" w:cs="Arial"/>
          <w:szCs w:val="24"/>
        </w:rPr>
        <w:lastRenderedPageBreak/>
        <w:t>impedem</w:t>
      </w:r>
      <w:proofErr w:type="gramEnd"/>
      <w:r w:rsidRPr="00025950">
        <w:rPr>
          <w:rFonts w:eastAsia="Arial" w:cs="Arial"/>
          <w:szCs w:val="24"/>
        </w:rPr>
        <w:t xml:space="preserve"> a chagada dos raios solares na superfície, assim tornando essa área menos viável para instalações de capôs solares. Dessa forma, as vantagens trazidas por esse tipo de vegetação preservada, superam as vantagens econômicas trazidas em não as ter. Assim, a exploração dessa área para fins de geração de energia solar não seria um ato racional praticado ao meio ambiente. Desmatar para preservar é no mínimo ilógico.</w:t>
      </w:r>
    </w:p>
    <w:p w:rsidR="00F058E4" w:rsidRPr="00025950" w:rsidRDefault="00F058E4" w:rsidP="00F058E4">
      <w:pPr>
        <w:pStyle w:val="Ttulo1"/>
        <w:rPr>
          <w:rFonts w:eastAsia="Arial"/>
        </w:rPr>
      </w:pPr>
      <w:r w:rsidRPr="00025950">
        <w:rPr>
          <w:rFonts w:eastAsia="Arial"/>
        </w:rPr>
        <w:t xml:space="preserve"> 5 CONSIDERAÇÕES FINAIS</w:t>
      </w:r>
    </w:p>
    <w:p w:rsidR="00F058E4" w:rsidRPr="00025950" w:rsidRDefault="00F058E4" w:rsidP="00F058E4">
      <w:pPr>
        <w:ind w:firstLine="708"/>
        <w:rPr>
          <w:rFonts w:eastAsia="Arial" w:cs="Arial"/>
          <w:szCs w:val="24"/>
        </w:rPr>
      </w:pPr>
      <w:r w:rsidRPr="00025950">
        <w:rPr>
          <w:rFonts w:eastAsia="Arial" w:cs="Arial"/>
          <w:szCs w:val="24"/>
        </w:rPr>
        <w:t xml:space="preserve">Há séculos o ser humano vem degradando o planeta, exaurindo suas fontes energéticas e ambientais, como se tais recursos fossem inesgotáveis e que as gerações futuras não fossem necessitar delas para sua própria sobrevivência. Se basear na incerteza do avanço tecnológico, acreditando que este pudesse resolver os problemas da ação antrópica no meio ambiente, não resolverá os problemas das mudanças climáticas e segurança energética. </w:t>
      </w:r>
    </w:p>
    <w:p w:rsidR="00F058E4" w:rsidRPr="00025950" w:rsidRDefault="00F058E4" w:rsidP="00F058E4">
      <w:pPr>
        <w:ind w:firstLine="708"/>
        <w:rPr>
          <w:rFonts w:eastAsia="Arial" w:cs="Arial"/>
          <w:szCs w:val="24"/>
        </w:rPr>
      </w:pPr>
      <w:r w:rsidRPr="00025950">
        <w:rPr>
          <w:rFonts w:eastAsia="Arial" w:cs="Arial"/>
          <w:szCs w:val="24"/>
        </w:rPr>
        <w:t xml:space="preserve">As consequências destes atos já veem sendo sentidas ao longo dos últimos anos, como o aumento da temperatura global e seus efeitos devastadores pelo mundo a fora, apesar dos avanços tecnológicos. Assim, a necessidade de preservar ao máximo nossos recursos, utilizando-os de maneira eficiente é de extrema importância para a sobrevivência do planeta. </w:t>
      </w:r>
    </w:p>
    <w:p w:rsidR="00F058E4" w:rsidRPr="00025950" w:rsidRDefault="00F058E4" w:rsidP="00F058E4">
      <w:pPr>
        <w:ind w:firstLine="708"/>
        <w:rPr>
          <w:rFonts w:eastAsia="Arial" w:cs="Arial"/>
          <w:szCs w:val="24"/>
        </w:rPr>
      </w:pPr>
      <w:r w:rsidRPr="00025950">
        <w:rPr>
          <w:rFonts w:eastAsia="Arial" w:cs="Arial"/>
          <w:szCs w:val="24"/>
        </w:rPr>
        <w:t>O avanço tecnológico traz a possibilidade de desenvolver, no campo energético, outras fontes de energia, capazes de minimizar os danos causados pelo atual padrão de consumo. Com isso, parece ser possível equilibrar eficiência produtiva e preservação ambiental, garantindo às gerações futuras um planeta, vida, natureza, sociedade.</w:t>
      </w:r>
    </w:p>
    <w:p w:rsidR="00F058E4" w:rsidRPr="00025950" w:rsidRDefault="00F058E4" w:rsidP="00F058E4">
      <w:pPr>
        <w:spacing w:line="240" w:lineRule="auto"/>
        <w:rPr>
          <w:rFonts w:eastAsia="Arial" w:cs="Arial"/>
          <w:szCs w:val="24"/>
        </w:rPr>
      </w:pPr>
    </w:p>
    <w:p w:rsidR="00F058E4" w:rsidRPr="00025950" w:rsidRDefault="00F058E4" w:rsidP="00F058E4">
      <w:pPr>
        <w:pStyle w:val="Ttulo1"/>
        <w:rPr>
          <w:rFonts w:eastAsia="Arial"/>
        </w:rPr>
      </w:pPr>
      <w:r w:rsidRPr="00025950">
        <w:rPr>
          <w:rFonts w:eastAsia="Arial"/>
        </w:rPr>
        <w:t xml:space="preserve">REFERÊNCIAS </w:t>
      </w:r>
    </w:p>
    <w:p w:rsidR="00F058E4" w:rsidRPr="00025950" w:rsidRDefault="00F058E4" w:rsidP="00F058E4">
      <w:pPr>
        <w:spacing w:line="240" w:lineRule="auto"/>
        <w:jc w:val="left"/>
        <w:rPr>
          <w:rFonts w:eastAsia="Arial" w:cs="Arial"/>
          <w:szCs w:val="24"/>
        </w:rPr>
      </w:pPr>
    </w:p>
    <w:p w:rsidR="00F058E4" w:rsidRPr="00025950" w:rsidRDefault="00F058E4" w:rsidP="00F058E4">
      <w:pPr>
        <w:spacing w:line="240" w:lineRule="auto"/>
        <w:jc w:val="left"/>
        <w:rPr>
          <w:rFonts w:cs="Arial"/>
          <w:color w:val="000000" w:themeColor="text1"/>
          <w:szCs w:val="24"/>
        </w:rPr>
      </w:pPr>
      <w:proofErr w:type="spellStart"/>
      <w:r w:rsidRPr="00025950">
        <w:rPr>
          <w:rFonts w:eastAsia="Arial" w:cs="Arial"/>
          <w:i/>
          <w:szCs w:val="24"/>
        </w:rPr>
        <w:t>INTERNATIONAL</w:t>
      </w:r>
      <w:proofErr w:type="spellEnd"/>
      <w:r w:rsidRPr="00025950">
        <w:rPr>
          <w:rFonts w:eastAsia="Arial" w:cs="Arial"/>
          <w:i/>
          <w:szCs w:val="24"/>
        </w:rPr>
        <w:t xml:space="preserve"> ENERGY </w:t>
      </w:r>
      <w:proofErr w:type="spellStart"/>
      <w:r w:rsidRPr="00025950">
        <w:rPr>
          <w:rFonts w:eastAsia="Arial" w:cs="Arial"/>
          <w:i/>
          <w:szCs w:val="24"/>
        </w:rPr>
        <w:t>AGENCY</w:t>
      </w:r>
      <w:proofErr w:type="spellEnd"/>
      <w:r w:rsidRPr="00025950">
        <w:rPr>
          <w:rFonts w:eastAsia="Arial" w:cs="Arial"/>
          <w:szCs w:val="24"/>
        </w:rPr>
        <w:t xml:space="preserve">. </w:t>
      </w:r>
      <w:proofErr w:type="spellStart"/>
      <w:r w:rsidRPr="00025950">
        <w:rPr>
          <w:rFonts w:eastAsia="Arial" w:cs="Arial"/>
          <w:b/>
          <w:i/>
          <w:szCs w:val="24"/>
        </w:rPr>
        <w:t>CO2</w:t>
      </w:r>
      <w:proofErr w:type="spellEnd"/>
      <w:r w:rsidRPr="00025950">
        <w:rPr>
          <w:rFonts w:eastAsia="Arial" w:cs="Arial"/>
          <w:b/>
          <w:i/>
          <w:szCs w:val="24"/>
        </w:rPr>
        <w:t xml:space="preserve"> </w:t>
      </w:r>
      <w:proofErr w:type="spellStart"/>
      <w:r w:rsidRPr="00025950">
        <w:rPr>
          <w:rFonts w:eastAsia="Arial" w:cs="Arial"/>
          <w:b/>
          <w:i/>
          <w:szCs w:val="24"/>
        </w:rPr>
        <w:t>Emissions</w:t>
      </w:r>
      <w:proofErr w:type="spellEnd"/>
      <w:r w:rsidRPr="00025950">
        <w:rPr>
          <w:rFonts w:eastAsia="Arial" w:cs="Arial"/>
          <w:b/>
          <w:i/>
          <w:szCs w:val="24"/>
        </w:rPr>
        <w:t xml:space="preserve"> </w:t>
      </w:r>
      <w:proofErr w:type="spellStart"/>
      <w:r w:rsidRPr="00025950">
        <w:rPr>
          <w:rFonts w:eastAsia="Arial" w:cs="Arial"/>
          <w:b/>
          <w:i/>
          <w:szCs w:val="24"/>
        </w:rPr>
        <w:t>and</w:t>
      </w:r>
      <w:proofErr w:type="spellEnd"/>
      <w:r w:rsidRPr="00025950">
        <w:rPr>
          <w:rFonts w:eastAsia="Arial" w:cs="Arial"/>
          <w:b/>
          <w:i/>
          <w:szCs w:val="24"/>
        </w:rPr>
        <w:t xml:space="preserve"> Global </w:t>
      </w:r>
      <w:proofErr w:type="spellStart"/>
      <w:r w:rsidRPr="00025950">
        <w:rPr>
          <w:rFonts w:eastAsia="Arial" w:cs="Arial"/>
          <w:b/>
          <w:i/>
          <w:szCs w:val="24"/>
        </w:rPr>
        <w:t>Economy</w:t>
      </w:r>
      <w:proofErr w:type="spellEnd"/>
      <w:r w:rsidRPr="00025950">
        <w:rPr>
          <w:rFonts w:eastAsia="Arial" w:cs="Arial"/>
          <w:b/>
          <w:i/>
          <w:szCs w:val="24"/>
        </w:rPr>
        <w:t xml:space="preserve"> </w:t>
      </w:r>
      <w:proofErr w:type="spellStart"/>
      <w:r w:rsidRPr="00025950">
        <w:rPr>
          <w:rFonts w:eastAsia="Arial" w:cs="Arial"/>
          <w:b/>
          <w:i/>
          <w:szCs w:val="24"/>
        </w:rPr>
        <w:t>Growth</w:t>
      </w:r>
      <w:proofErr w:type="spellEnd"/>
      <w:r w:rsidRPr="00025950">
        <w:rPr>
          <w:rFonts w:eastAsia="Arial" w:cs="Arial"/>
          <w:b/>
          <w:i/>
          <w:szCs w:val="24"/>
        </w:rPr>
        <w:t xml:space="preserve"> Rates</w:t>
      </w:r>
      <w:r w:rsidRPr="00025950">
        <w:rPr>
          <w:rFonts w:eastAsia="Arial" w:cs="Arial"/>
          <w:szCs w:val="24"/>
        </w:rPr>
        <w:t>. Disponível em: &lt;</w:t>
      </w:r>
      <w:hyperlink r:id="rId17" w:history="1">
        <w:r w:rsidRPr="00025950">
          <w:rPr>
            <w:rStyle w:val="Hyperlink"/>
            <w:rFonts w:cs="Arial"/>
            <w:color w:val="000000" w:themeColor="text1"/>
            <w:szCs w:val="24"/>
          </w:rPr>
          <w:t>https://www.iea.org/newsroom/energysnapshots/co2-emissions-and-global-economy-growth-rates.html</w:t>
        </w:r>
      </w:hyperlink>
      <w:r w:rsidRPr="00025950">
        <w:rPr>
          <w:rStyle w:val="Hyperlink"/>
          <w:rFonts w:cs="Arial"/>
          <w:color w:val="000000" w:themeColor="text1"/>
          <w:szCs w:val="24"/>
        </w:rPr>
        <w:t>&gt;.  Acesso em: 26 abr. 2019.</w:t>
      </w:r>
    </w:p>
    <w:p w:rsidR="00F058E4" w:rsidRPr="00025950" w:rsidRDefault="00F058E4" w:rsidP="00F058E4">
      <w:pPr>
        <w:spacing w:line="240" w:lineRule="auto"/>
        <w:jc w:val="left"/>
        <w:rPr>
          <w:rFonts w:eastAsia="Arial" w:cs="Arial"/>
          <w:szCs w:val="24"/>
        </w:rPr>
      </w:pPr>
    </w:p>
    <w:p w:rsidR="00F058E4" w:rsidRPr="00025950" w:rsidRDefault="00F058E4" w:rsidP="00F058E4">
      <w:pPr>
        <w:spacing w:line="240" w:lineRule="auto"/>
        <w:jc w:val="left"/>
        <w:rPr>
          <w:rFonts w:eastAsia="Arial" w:cs="Arial"/>
          <w:szCs w:val="24"/>
        </w:rPr>
      </w:pPr>
      <w:r w:rsidRPr="00025950">
        <w:rPr>
          <w:rFonts w:eastAsia="Arial" w:cs="Arial"/>
          <w:szCs w:val="24"/>
        </w:rPr>
        <w:lastRenderedPageBreak/>
        <w:t xml:space="preserve">FREEMAN, Chris; </w:t>
      </w:r>
      <w:proofErr w:type="spellStart"/>
      <w:r w:rsidRPr="00025950">
        <w:rPr>
          <w:rFonts w:eastAsia="Arial" w:cs="Arial"/>
          <w:szCs w:val="24"/>
        </w:rPr>
        <w:t>SOETE</w:t>
      </w:r>
      <w:proofErr w:type="spellEnd"/>
      <w:r w:rsidRPr="00025950">
        <w:rPr>
          <w:rFonts w:eastAsia="Arial" w:cs="Arial"/>
          <w:szCs w:val="24"/>
        </w:rPr>
        <w:t xml:space="preserve">, Luc. Tecnologia e meio ambiente. </w:t>
      </w:r>
      <w:r w:rsidRPr="00025950">
        <w:rPr>
          <w:rFonts w:eastAsia="Arial" w:cs="Arial"/>
          <w:szCs w:val="24"/>
          <w:lang w:val="es-CR"/>
        </w:rPr>
        <w:t xml:space="preserve">In: </w:t>
      </w:r>
      <w:proofErr w:type="spellStart"/>
      <w:r w:rsidRPr="00025950">
        <w:rPr>
          <w:rFonts w:eastAsia="Arial" w:cs="Arial"/>
          <w:szCs w:val="24"/>
          <w:lang w:val="es-CR"/>
        </w:rPr>
        <w:t>FREEMAN</w:t>
      </w:r>
      <w:proofErr w:type="spellEnd"/>
      <w:r w:rsidRPr="00025950">
        <w:rPr>
          <w:rFonts w:eastAsia="Arial" w:cs="Arial"/>
          <w:szCs w:val="24"/>
          <w:lang w:val="es-CR"/>
        </w:rPr>
        <w:t xml:space="preserve">, Chris; </w:t>
      </w:r>
      <w:proofErr w:type="spellStart"/>
      <w:r w:rsidRPr="00025950">
        <w:rPr>
          <w:rFonts w:eastAsia="Arial" w:cs="Arial"/>
          <w:szCs w:val="24"/>
          <w:lang w:val="es-CR"/>
        </w:rPr>
        <w:t>SOETE</w:t>
      </w:r>
      <w:proofErr w:type="spellEnd"/>
      <w:r w:rsidRPr="00025950">
        <w:rPr>
          <w:rFonts w:eastAsia="Arial" w:cs="Arial"/>
          <w:szCs w:val="24"/>
          <w:lang w:val="es-CR"/>
        </w:rPr>
        <w:t xml:space="preserve">, </w:t>
      </w:r>
      <w:proofErr w:type="spellStart"/>
      <w:r w:rsidRPr="00025950">
        <w:rPr>
          <w:rFonts w:eastAsia="Arial" w:cs="Arial"/>
          <w:szCs w:val="24"/>
          <w:lang w:val="es-CR"/>
        </w:rPr>
        <w:t>Luc</w:t>
      </w:r>
      <w:proofErr w:type="spellEnd"/>
      <w:r w:rsidRPr="00025950">
        <w:rPr>
          <w:rFonts w:eastAsia="Arial" w:cs="Arial"/>
          <w:szCs w:val="24"/>
          <w:lang w:val="es-CR"/>
        </w:rPr>
        <w:t xml:space="preserve">. </w:t>
      </w:r>
      <w:r w:rsidRPr="00025950">
        <w:rPr>
          <w:rFonts w:eastAsia="Arial" w:cs="Arial"/>
          <w:b/>
          <w:szCs w:val="24"/>
        </w:rPr>
        <w:t>Economia da inovação.</w:t>
      </w:r>
      <w:r w:rsidRPr="00025950">
        <w:rPr>
          <w:rFonts w:eastAsia="Arial" w:cs="Arial"/>
          <w:szCs w:val="24"/>
        </w:rPr>
        <w:t xml:space="preserve"> Campinas: Editora Unicamp, 2008.</w:t>
      </w:r>
    </w:p>
    <w:p w:rsidR="00F058E4" w:rsidRPr="00025950" w:rsidRDefault="00F058E4" w:rsidP="00F058E4">
      <w:pPr>
        <w:spacing w:line="240" w:lineRule="auto"/>
        <w:jc w:val="left"/>
        <w:rPr>
          <w:rFonts w:eastAsia="Arial" w:cs="Arial"/>
          <w:szCs w:val="24"/>
        </w:rPr>
      </w:pPr>
    </w:p>
    <w:p w:rsidR="00F058E4" w:rsidRPr="00025950" w:rsidRDefault="00F058E4" w:rsidP="00F058E4">
      <w:pPr>
        <w:spacing w:line="240" w:lineRule="auto"/>
        <w:jc w:val="left"/>
        <w:rPr>
          <w:rStyle w:val="Hyperlink"/>
          <w:rFonts w:cs="Arial"/>
          <w:color w:val="000000" w:themeColor="text1"/>
          <w:szCs w:val="24"/>
        </w:rPr>
      </w:pPr>
      <w:proofErr w:type="spellStart"/>
      <w:r w:rsidRPr="00025950">
        <w:rPr>
          <w:rStyle w:val="Hyperlink"/>
          <w:rFonts w:cs="Arial"/>
          <w:i/>
          <w:color w:val="000000" w:themeColor="text1"/>
          <w:szCs w:val="24"/>
        </w:rPr>
        <w:t>GLOBOL</w:t>
      </w:r>
      <w:proofErr w:type="spellEnd"/>
      <w:r w:rsidRPr="00025950">
        <w:rPr>
          <w:rStyle w:val="Hyperlink"/>
          <w:rFonts w:cs="Arial"/>
          <w:i/>
          <w:color w:val="000000" w:themeColor="text1"/>
          <w:szCs w:val="24"/>
        </w:rPr>
        <w:t xml:space="preserve"> SOLAR ATLAS</w:t>
      </w:r>
      <w:r w:rsidRPr="00025950">
        <w:rPr>
          <w:rStyle w:val="Hyperlink"/>
          <w:rFonts w:cs="Arial"/>
          <w:color w:val="000000" w:themeColor="text1"/>
          <w:szCs w:val="24"/>
        </w:rPr>
        <w:t xml:space="preserve">. </w:t>
      </w:r>
      <w:proofErr w:type="spellStart"/>
      <w:r w:rsidRPr="00025950">
        <w:rPr>
          <w:rStyle w:val="Hyperlink"/>
          <w:rFonts w:cs="Arial"/>
          <w:b/>
          <w:i/>
          <w:color w:val="000000" w:themeColor="text1"/>
          <w:szCs w:val="24"/>
        </w:rPr>
        <w:t>Direct</w:t>
      </w:r>
      <w:proofErr w:type="spellEnd"/>
      <w:r w:rsidRPr="00025950">
        <w:rPr>
          <w:rStyle w:val="Hyperlink"/>
          <w:rFonts w:cs="Arial"/>
          <w:b/>
          <w:i/>
          <w:color w:val="000000" w:themeColor="text1"/>
          <w:szCs w:val="24"/>
        </w:rPr>
        <w:t xml:space="preserve"> Normal </w:t>
      </w:r>
      <w:proofErr w:type="spellStart"/>
      <w:r w:rsidRPr="00025950">
        <w:rPr>
          <w:rStyle w:val="Hyperlink"/>
          <w:rFonts w:cs="Arial"/>
          <w:b/>
          <w:i/>
          <w:color w:val="000000" w:themeColor="text1"/>
          <w:szCs w:val="24"/>
        </w:rPr>
        <w:t>Irradiation</w:t>
      </w:r>
      <w:proofErr w:type="spellEnd"/>
      <w:r w:rsidRPr="00025950">
        <w:rPr>
          <w:rStyle w:val="Hyperlink"/>
          <w:rFonts w:cs="Arial"/>
          <w:color w:val="000000" w:themeColor="text1"/>
          <w:szCs w:val="24"/>
        </w:rPr>
        <w:t>. Disponível em:</w:t>
      </w:r>
      <w:proofErr w:type="gramStart"/>
      <w:r w:rsidRPr="00025950">
        <w:rPr>
          <w:rStyle w:val="Hyperlink"/>
          <w:rFonts w:cs="Arial"/>
          <w:color w:val="000000" w:themeColor="text1"/>
          <w:szCs w:val="24"/>
        </w:rPr>
        <w:t xml:space="preserve">  </w:t>
      </w:r>
    </w:p>
    <w:p w:rsidR="00F058E4" w:rsidRPr="00025950" w:rsidRDefault="00F058E4" w:rsidP="00F058E4">
      <w:pPr>
        <w:spacing w:line="240" w:lineRule="auto"/>
        <w:jc w:val="left"/>
        <w:rPr>
          <w:rFonts w:cs="Arial"/>
          <w:color w:val="0563C1" w:themeColor="hyperlink"/>
          <w:u w:val="single"/>
        </w:rPr>
      </w:pPr>
      <w:proofErr w:type="gramEnd"/>
      <w:r w:rsidRPr="00025950">
        <w:rPr>
          <w:rFonts w:eastAsia="Arial" w:cs="Arial"/>
          <w:color w:val="000000" w:themeColor="text1"/>
          <w:szCs w:val="24"/>
        </w:rPr>
        <w:t>&lt;</w:t>
      </w:r>
      <w:hyperlink r:id="rId18" w:history="1">
        <w:r w:rsidRPr="00025950">
          <w:rPr>
            <w:rStyle w:val="Hyperlink"/>
            <w:rFonts w:eastAsia="Arial" w:cs="Arial"/>
            <w:color w:val="000000" w:themeColor="text1"/>
            <w:szCs w:val="24"/>
          </w:rPr>
          <w:t>https://globalsolaratlas.info/?c=-2.986927,-13.007812,2&amp;s=17.978733,-233.789063</w:t>
        </w:r>
      </w:hyperlink>
      <w:r w:rsidRPr="00025950">
        <w:rPr>
          <w:rFonts w:eastAsia="Arial" w:cs="Arial"/>
          <w:color w:val="000000" w:themeColor="text1"/>
          <w:szCs w:val="24"/>
        </w:rPr>
        <w:t xml:space="preserve">&gt;. </w:t>
      </w:r>
      <w:r w:rsidRPr="00025950">
        <w:rPr>
          <w:rFonts w:eastAsia="Arial" w:cs="Arial"/>
          <w:szCs w:val="24"/>
        </w:rPr>
        <w:t>Acesso em: 27 abr. 2019.</w:t>
      </w:r>
    </w:p>
    <w:p w:rsidR="00F058E4" w:rsidRPr="00025950" w:rsidRDefault="00F058E4" w:rsidP="00F058E4">
      <w:pPr>
        <w:spacing w:line="240" w:lineRule="auto"/>
        <w:jc w:val="left"/>
        <w:rPr>
          <w:rFonts w:eastAsia="Arial" w:cs="Arial"/>
          <w:szCs w:val="24"/>
        </w:rPr>
      </w:pPr>
    </w:p>
    <w:p w:rsidR="00F058E4" w:rsidRPr="00025950" w:rsidRDefault="00F058E4" w:rsidP="00F058E4">
      <w:pPr>
        <w:spacing w:line="240" w:lineRule="auto"/>
        <w:jc w:val="left"/>
        <w:rPr>
          <w:rFonts w:eastAsia="Arial" w:cs="Arial"/>
          <w:szCs w:val="24"/>
          <w:lang w:val="es-CR"/>
        </w:rPr>
      </w:pPr>
      <w:bookmarkStart w:id="1" w:name="_Hlk7390821"/>
      <w:r w:rsidRPr="00025950">
        <w:rPr>
          <w:rFonts w:eastAsia="Arial" w:cs="Arial"/>
          <w:szCs w:val="24"/>
        </w:rPr>
        <w:t>HOPKINS</w:t>
      </w:r>
      <w:bookmarkEnd w:id="1"/>
      <w:r w:rsidRPr="00025950">
        <w:rPr>
          <w:rFonts w:eastAsia="Arial" w:cs="Arial"/>
          <w:szCs w:val="24"/>
        </w:rPr>
        <w:t xml:space="preserve">, M.; </w:t>
      </w:r>
      <w:proofErr w:type="spellStart"/>
      <w:r w:rsidRPr="00025950">
        <w:rPr>
          <w:rFonts w:eastAsia="Arial" w:cs="Arial"/>
          <w:szCs w:val="24"/>
        </w:rPr>
        <w:t>Lazonick</w:t>
      </w:r>
      <w:proofErr w:type="spellEnd"/>
      <w:r w:rsidRPr="00025950">
        <w:rPr>
          <w:rFonts w:eastAsia="Arial" w:cs="Arial"/>
          <w:szCs w:val="24"/>
        </w:rPr>
        <w:t xml:space="preserve">, W. </w:t>
      </w:r>
      <w:proofErr w:type="spellStart"/>
      <w:r w:rsidRPr="00025950">
        <w:rPr>
          <w:rFonts w:eastAsia="Arial" w:cs="Arial"/>
          <w:i/>
          <w:szCs w:val="24"/>
        </w:rPr>
        <w:t>Soaking</w:t>
      </w:r>
      <w:proofErr w:type="spellEnd"/>
      <w:r w:rsidRPr="00025950">
        <w:rPr>
          <w:rFonts w:eastAsia="Arial" w:cs="Arial"/>
          <w:i/>
          <w:szCs w:val="24"/>
        </w:rPr>
        <w:t xml:space="preserve"> </w:t>
      </w:r>
      <w:proofErr w:type="spellStart"/>
      <w:r w:rsidRPr="00025950">
        <w:rPr>
          <w:rFonts w:eastAsia="Arial" w:cs="Arial"/>
          <w:i/>
          <w:szCs w:val="24"/>
        </w:rPr>
        <w:t>Up</w:t>
      </w:r>
      <w:proofErr w:type="spellEnd"/>
      <w:r w:rsidRPr="00025950">
        <w:rPr>
          <w:rFonts w:eastAsia="Arial" w:cs="Arial"/>
          <w:i/>
          <w:szCs w:val="24"/>
        </w:rPr>
        <w:t xml:space="preserve"> </w:t>
      </w:r>
      <w:proofErr w:type="spellStart"/>
      <w:r w:rsidRPr="00025950">
        <w:rPr>
          <w:rFonts w:eastAsia="Arial" w:cs="Arial"/>
          <w:i/>
          <w:szCs w:val="24"/>
        </w:rPr>
        <w:t>the</w:t>
      </w:r>
      <w:proofErr w:type="spellEnd"/>
      <w:r w:rsidRPr="00025950">
        <w:rPr>
          <w:rFonts w:eastAsia="Arial" w:cs="Arial"/>
          <w:i/>
          <w:szCs w:val="24"/>
        </w:rPr>
        <w:t xml:space="preserve"> Sun </w:t>
      </w:r>
      <w:proofErr w:type="spellStart"/>
      <w:r w:rsidRPr="00025950">
        <w:rPr>
          <w:rFonts w:eastAsia="Arial" w:cs="Arial"/>
          <w:i/>
          <w:szCs w:val="24"/>
        </w:rPr>
        <w:t>and</w:t>
      </w:r>
      <w:proofErr w:type="spellEnd"/>
      <w:r w:rsidRPr="00025950">
        <w:rPr>
          <w:rFonts w:eastAsia="Arial" w:cs="Arial"/>
          <w:i/>
          <w:szCs w:val="24"/>
        </w:rPr>
        <w:t xml:space="preserve"> </w:t>
      </w:r>
      <w:proofErr w:type="spellStart"/>
      <w:r w:rsidRPr="00025950">
        <w:rPr>
          <w:rFonts w:eastAsia="Arial" w:cs="Arial"/>
          <w:i/>
          <w:szCs w:val="24"/>
        </w:rPr>
        <w:t>Blowing</w:t>
      </w:r>
      <w:proofErr w:type="spellEnd"/>
      <w:r w:rsidRPr="00025950">
        <w:rPr>
          <w:rFonts w:eastAsia="Arial" w:cs="Arial"/>
          <w:i/>
          <w:szCs w:val="24"/>
        </w:rPr>
        <w:t xml:space="preserve"> in </w:t>
      </w:r>
      <w:proofErr w:type="spellStart"/>
      <w:r w:rsidRPr="00025950">
        <w:rPr>
          <w:rFonts w:eastAsia="Arial" w:cs="Arial"/>
          <w:i/>
          <w:szCs w:val="24"/>
        </w:rPr>
        <w:t>the</w:t>
      </w:r>
      <w:proofErr w:type="spellEnd"/>
      <w:r w:rsidRPr="00025950">
        <w:rPr>
          <w:rFonts w:eastAsia="Arial" w:cs="Arial"/>
          <w:i/>
          <w:szCs w:val="24"/>
        </w:rPr>
        <w:t xml:space="preserve"> Wind. </w:t>
      </w:r>
      <w:r w:rsidRPr="00025950">
        <w:rPr>
          <w:rFonts w:eastAsia="Arial" w:cs="Arial"/>
          <w:szCs w:val="24"/>
          <w:lang w:val="es-CR"/>
        </w:rPr>
        <w:t>In:</w:t>
      </w:r>
      <w:r w:rsidRPr="00025950">
        <w:rPr>
          <w:rFonts w:eastAsia="Arial" w:cs="Arial"/>
          <w:i/>
          <w:szCs w:val="24"/>
          <w:lang w:val="es-CR"/>
        </w:rPr>
        <w:t xml:space="preserve"> FORD </w:t>
      </w:r>
      <w:proofErr w:type="spellStart"/>
      <w:r w:rsidRPr="00025950">
        <w:rPr>
          <w:rFonts w:eastAsia="Arial" w:cs="Arial"/>
          <w:i/>
          <w:szCs w:val="24"/>
          <w:lang w:val="es-CR"/>
        </w:rPr>
        <w:t>FOUNDATION</w:t>
      </w:r>
      <w:proofErr w:type="spellEnd"/>
      <w:r w:rsidRPr="00025950">
        <w:rPr>
          <w:rFonts w:eastAsia="Arial" w:cs="Arial"/>
          <w:i/>
          <w:szCs w:val="24"/>
          <w:lang w:val="es-CR"/>
        </w:rPr>
        <w:t xml:space="preserve"> </w:t>
      </w:r>
      <w:proofErr w:type="spellStart"/>
      <w:r w:rsidRPr="00025950">
        <w:rPr>
          <w:rFonts w:eastAsia="Arial" w:cs="Arial"/>
          <w:i/>
          <w:szCs w:val="24"/>
          <w:lang w:val="es-CR"/>
        </w:rPr>
        <w:t>CONFERENCE</w:t>
      </w:r>
      <w:proofErr w:type="spellEnd"/>
      <w:r w:rsidRPr="00025950">
        <w:rPr>
          <w:rFonts w:eastAsia="Arial" w:cs="Arial"/>
          <w:i/>
          <w:szCs w:val="24"/>
          <w:lang w:val="es-CR"/>
        </w:rPr>
        <w:t xml:space="preserve"> </w:t>
      </w:r>
      <w:proofErr w:type="spellStart"/>
      <w:r w:rsidRPr="00025950">
        <w:rPr>
          <w:rFonts w:eastAsia="Arial" w:cs="Arial"/>
          <w:i/>
          <w:szCs w:val="24"/>
          <w:lang w:val="es-CR"/>
        </w:rPr>
        <w:t>ON</w:t>
      </w:r>
      <w:proofErr w:type="spellEnd"/>
      <w:r w:rsidRPr="00025950">
        <w:rPr>
          <w:rFonts w:eastAsia="Arial" w:cs="Arial"/>
          <w:i/>
          <w:szCs w:val="24"/>
          <w:lang w:val="es-CR"/>
        </w:rPr>
        <w:t xml:space="preserve"> </w:t>
      </w:r>
      <w:proofErr w:type="spellStart"/>
      <w:r w:rsidRPr="00025950">
        <w:rPr>
          <w:rFonts w:eastAsia="Arial" w:cs="Arial"/>
          <w:i/>
          <w:szCs w:val="24"/>
          <w:lang w:val="es-CR"/>
        </w:rPr>
        <w:t>FINANCE</w:t>
      </w:r>
      <w:proofErr w:type="spellEnd"/>
      <w:r w:rsidRPr="00025950">
        <w:rPr>
          <w:rFonts w:eastAsia="Arial" w:cs="Arial"/>
          <w:i/>
          <w:szCs w:val="24"/>
          <w:lang w:val="es-CR"/>
        </w:rPr>
        <w:t xml:space="preserve">, BUSINESS </w:t>
      </w:r>
      <w:proofErr w:type="spellStart"/>
      <w:r w:rsidRPr="00025950">
        <w:rPr>
          <w:rFonts w:eastAsia="Arial" w:cs="Arial"/>
          <w:i/>
          <w:szCs w:val="24"/>
          <w:lang w:val="es-CR"/>
        </w:rPr>
        <w:t>MODELS</w:t>
      </w:r>
      <w:proofErr w:type="spellEnd"/>
      <w:r w:rsidRPr="00025950">
        <w:rPr>
          <w:rFonts w:eastAsia="Arial" w:cs="Arial"/>
          <w:i/>
          <w:szCs w:val="24"/>
          <w:lang w:val="es-CR"/>
        </w:rPr>
        <w:t xml:space="preserve">, AND </w:t>
      </w:r>
      <w:proofErr w:type="spellStart"/>
      <w:r w:rsidRPr="00025950">
        <w:rPr>
          <w:rFonts w:eastAsia="Arial" w:cs="Arial"/>
          <w:i/>
          <w:szCs w:val="24"/>
          <w:lang w:val="es-CR"/>
        </w:rPr>
        <w:t>SUSTAINABLE</w:t>
      </w:r>
      <w:proofErr w:type="spellEnd"/>
      <w:r w:rsidRPr="00025950">
        <w:rPr>
          <w:rFonts w:eastAsia="Arial" w:cs="Arial"/>
          <w:i/>
          <w:szCs w:val="24"/>
          <w:lang w:val="es-CR"/>
        </w:rPr>
        <w:t xml:space="preserve"> </w:t>
      </w:r>
      <w:proofErr w:type="spellStart"/>
      <w:r w:rsidRPr="00025950">
        <w:rPr>
          <w:rFonts w:eastAsia="Arial" w:cs="Arial"/>
          <w:i/>
          <w:szCs w:val="24"/>
          <w:lang w:val="es-CR"/>
        </w:rPr>
        <w:t>PROSPERITY</w:t>
      </w:r>
      <w:proofErr w:type="spellEnd"/>
      <w:r w:rsidRPr="00025950">
        <w:rPr>
          <w:rFonts w:eastAsia="Arial" w:cs="Arial"/>
          <w:szCs w:val="24"/>
          <w:lang w:val="es-CR"/>
        </w:rPr>
        <w:t>, 6, 2012</w:t>
      </w:r>
      <w:r w:rsidRPr="00025950">
        <w:rPr>
          <w:rFonts w:eastAsia="Arial" w:cs="Arial"/>
          <w:i/>
          <w:szCs w:val="24"/>
          <w:lang w:val="es-CR"/>
        </w:rPr>
        <w:t>, New York</w:t>
      </w:r>
      <w:r w:rsidRPr="00025950">
        <w:rPr>
          <w:rFonts w:eastAsia="Arial" w:cs="Arial"/>
          <w:szCs w:val="24"/>
          <w:lang w:val="es-CR"/>
        </w:rPr>
        <w:t>.</w:t>
      </w:r>
    </w:p>
    <w:p w:rsidR="00F058E4" w:rsidRPr="00025950" w:rsidRDefault="00F058E4" w:rsidP="00F058E4">
      <w:pPr>
        <w:spacing w:line="240" w:lineRule="auto"/>
        <w:jc w:val="left"/>
        <w:rPr>
          <w:rFonts w:eastAsia="Arial" w:cs="Arial"/>
          <w:szCs w:val="24"/>
          <w:lang w:val="es-CR"/>
        </w:rPr>
      </w:pPr>
    </w:p>
    <w:p w:rsidR="00F058E4" w:rsidRPr="00025950" w:rsidRDefault="00F058E4" w:rsidP="00F058E4">
      <w:pPr>
        <w:spacing w:line="240" w:lineRule="auto"/>
        <w:jc w:val="left"/>
        <w:rPr>
          <w:rFonts w:eastAsia="Arial" w:cs="Arial"/>
          <w:szCs w:val="24"/>
        </w:rPr>
      </w:pPr>
      <w:r w:rsidRPr="00025950">
        <w:rPr>
          <w:rFonts w:eastAsia="Arial" w:cs="Arial"/>
          <w:szCs w:val="24"/>
        </w:rPr>
        <w:t>INPE</w:t>
      </w:r>
      <w:r w:rsidRPr="00025950">
        <w:rPr>
          <w:rFonts w:eastAsia="Arial" w:cs="Arial"/>
          <w:spacing w:val="-2"/>
          <w:szCs w:val="24"/>
        </w:rPr>
        <w:t xml:space="preserve">. </w:t>
      </w:r>
      <w:proofErr w:type="gramStart"/>
      <w:r w:rsidRPr="00025950">
        <w:rPr>
          <w:rFonts w:eastAsia="Arial" w:cs="Arial"/>
          <w:b/>
          <w:szCs w:val="24"/>
        </w:rPr>
        <w:t>Atlas Brasileiro de Energia Solar</w:t>
      </w:r>
      <w:proofErr w:type="gramEnd"/>
      <w:r w:rsidRPr="00025950">
        <w:rPr>
          <w:rFonts w:eastAsia="Arial" w:cs="Arial"/>
          <w:b/>
          <w:szCs w:val="24"/>
        </w:rPr>
        <w:t>.</w:t>
      </w:r>
      <w:r w:rsidRPr="00025950">
        <w:rPr>
          <w:rFonts w:eastAsia="Arial" w:cs="Arial"/>
          <w:szCs w:val="24"/>
        </w:rPr>
        <w:t xml:space="preserve"> São José dos Campos: INPE, 2017.</w:t>
      </w:r>
    </w:p>
    <w:p w:rsidR="00F058E4" w:rsidRPr="00025950" w:rsidRDefault="00F058E4" w:rsidP="00F058E4">
      <w:pPr>
        <w:spacing w:line="240" w:lineRule="auto"/>
        <w:jc w:val="left"/>
        <w:rPr>
          <w:rFonts w:eastAsia="Arial" w:cs="Arial"/>
          <w:szCs w:val="24"/>
        </w:rPr>
      </w:pPr>
    </w:p>
    <w:p w:rsidR="00F058E4" w:rsidRPr="00025950" w:rsidRDefault="00F058E4" w:rsidP="00F058E4">
      <w:pPr>
        <w:spacing w:line="240" w:lineRule="auto"/>
        <w:jc w:val="left"/>
        <w:rPr>
          <w:rFonts w:eastAsia="Arial" w:cs="Arial"/>
          <w:b/>
          <w:szCs w:val="24"/>
        </w:rPr>
      </w:pPr>
      <w:r w:rsidRPr="00025950">
        <w:rPr>
          <w:rFonts w:eastAsia="Arial" w:cs="Arial"/>
          <w:i/>
          <w:szCs w:val="24"/>
          <w:lang w:val="es-CR"/>
        </w:rPr>
        <w:t xml:space="preserve">INTERNACIONAL </w:t>
      </w:r>
      <w:proofErr w:type="spellStart"/>
      <w:r w:rsidRPr="00025950">
        <w:rPr>
          <w:rFonts w:eastAsia="Arial" w:cs="Arial"/>
          <w:i/>
          <w:szCs w:val="24"/>
          <w:lang w:val="es-CR"/>
        </w:rPr>
        <w:t>RENEWABLE</w:t>
      </w:r>
      <w:proofErr w:type="spellEnd"/>
      <w:r w:rsidRPr="00025950">
        <w:rPr>
          <w:rFonts w:eastAsia="Arial" w:cs="Arial"/>
          <w:i/>
          <w:szCs w:val="24"/>
          <w:lang w:val="es-CR"/>
        </w:rPr>
        <w:t xml:space="preserve"> </w:t>
      </w:r>
      <w:proofErr w:type="spellStart"/>
      <w:r w:rsidRPr="00025950">
        <w:rPr>
          <w:rFonts w:eastAsia="Arial" w:cs="Arial"/>
          <w:i/>
          <w:szCs w:val="24"/>
          <w:lang w:val="es-CR"/>
        </w:rPr>
        <w:t>ENERGY</w:t>
      </w:r>
      <w:proofErr w:type="spellEnd"/>
      <w:r w:rsidRPr="00025950">
        <w:rPr>
          <w:rFonts w:eastAsia="Arial" w:cs="Arial"/>
          <w:i/>
          <w:szCs w:val="24"/>
          <w:lang w:val="es-CR"/>
        </w:rPr>
        <w:t xml:space="preserve"> AGENCY. </w:t>
      </w:r>
      <w:proofErr w:type="spellStart"/>
      <w:r w:rsidRPr="00025950">
        <w:rPr>
          <w:rFonts w:eastAsia="Arial" w:cs="Arial"/>
          <w:b/>
          <w:i/>
          <w:szCs w:val="24"/>
          <w:lang w:val="es-CR"/>
        </w:rPr>
        <w:t>Renewable</w:t>
      </w:r>
      <w:proofErr w:type="spellEnd"/>
      <w:r w:rsidRPr="00025950">
        <w:rPr>
          <w:rFonts w:eastAsia="Arial" w:cs="Arial"/>
          <w:b/>
          <w:i/>
          <w:szCs w:val="24"/>
          <w:lang w:val="es-CR"/>
        </w:rPr>
        <w:t xml:space="preserve"> </w:t>
      </w:r>
      <w:proofErr w:type="spellStart"/>
      <w:r w:rsidRPr="00025950">
        <w:rPr>
          <w:rFonts w:eastAsia="Arial" w:cs="Arial"/>
          <w:b/>
          <w:i/>
          <w:szCs w:val="24"/>
          <w:lang w:val="es-CR"/>
        </w:rPr>
        <w:t>Capacity</w:t>
      </w:r>
      <w:proofErr w:type="spellEnd"/>
      <w:r w:rsidRPr="00025950">
        <w:rPr>
          <w:rFonts w:eastAsia="Arial" w:cs="Arial"/>
          <w:b/>
          <w:i/>
          <w:szCs w:val="24"/>
          <w:lang w:val="es-CR"/>
        </w:rPr>
        <w:t xml:space="preserve"> </w:t>
      </w:r>
      <w:proofErr w:type="spellStart"/>
      <w:r w:rsidRPr="00025950">
        <w:rPr>
          <w:rFonts w:eastAsia="Arial" w:cs="Arial"/>
          <w:b/>
          <w:i/>
          <w:szCs w:val="24"/>
          <w:lang w:val="es-CR"/>
        </w:rPr>
        <w:t>Statistics</w:t>
      </w:r>
      <w:proofErr w:type="spellEnd"/>
      <w:r w:rsidRPr="00025950">
        <w:rPr>
          <w:rFonts w:eastAsia="Arial" w:cs="Arial"/>
          <w:b/>
          <w:i/>
          <w:szCs w:val="24"/>
          <w:lang w:val="es-CR"/>
        </w:rPr>
        <w:t xml:space="preserve"> 2018</w:t>
      </w:r>
      <w:r w:rsidRPr="00025950">
        <w:rPr>
          <w:rFonts w:eastAsia="Arial" w:cs="Arial"/>
          <w:i/>
          <w:szCs w:val="24"/>
          <w:lang w:val="es-CR"/>
        </w:rPr>
        <w:t xml:space="preserve">. </w:t>
      </w:r>
      <w:r w:rsidRPr="00025950">
        <w:rPr>
          <w:rFonts w:eastAsia="Arial" w:cs="Arial"/>
          <w:szCs w:val="24"/>
        </w:rPr>
        <w:t>Abu Dhabi, 2018.</w:t>
      </w:r>
    </w:p>
    <w:p w:rsidR="00F058E4" w:rsidRPr="00025950" w:rsidRDefault="00F058E4" w:rsidP="00F058E4">
      <w:pPr>
        <w:spacing w:line="240" w:lineRule="auto"/>
        <w:jc w:val="left"/>
        <w:rPr>
          <w:rFonts w:eastAsia="Arial" w:cs="Arial"/>
          <w:szCs w:val="24"/>
        </w:rPr>
      </w:pPr>
      <w:r w:rsidRPr="00025950">
        <w:rPr>
          <w:rFonts w:eastAsia="Arial" w:cs="Arial"/>
          <w:szCs w:val="24"/>
        </w:rPr>
        <w:t xml:space="preserve"> </w:t>
      </w:r>
    </w:p>
    <w:p w:rsidR="004D5226" w:rsidRPr="00F058E4" w:rsidRDefault="004D5226" w:rsidP="00F058E4">
      <w:pPr>
        <w:jc w:val="left"/>
      </w:pPr>
    </w:p>
    <w:sectPr w:rsidR="004D5226" w:rsidRPr="00F058E4" w:rsidSect="003C4960">
      <w:headerReference w:type="default" r:id="rId19"/>
      <w:footerReference w:type="default" r:id="rId2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47B" w:rsidRDefault="0043147B" w:rsidP="00C22554">
      <w:pPr>
        <w:spacing w:line="240" w:lineRule="auto"/>
      </w:pPr>
      <w:r>
        <w:separator/>
      </w:r>
    </w:p>
  </w:endnote>
  <w:endnote w:type="continuationSeparator" w:id="0">
    <w:p w:rsidR="0043147B" w:rsidRDefault="0043147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513D7">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47B" w:rsidRDefault="0043147B" w:rsidP="00C22554">
      <w:pPr>
        <w:spacing w:line="240" w:lineRule="auto"/>
      </w:pPr>
      <w:r>
        <w:separator/>
      </w:r>
    </w:p>
  </w:footnote>
  <w:footnote w:type="continuationSeparator" w:id="0">
    <w:p w:rsidR="0043147B" w:rsidRDefault="0043147B" w:rsidP="00C22554">
      <w:pPr>
        <w:spacing w:line="240" w:lineRule="auto"/>
      </w:pPr>
      <w:r>
        <w:continuationSeparator/>
      </w:r>
    </w:p>
  </w:footnote>
  <w:footnote w:id="1">
    <w:p w:rsidR="00F058E4" w:rsidRPr="00F058E4" w:rsidRDefault="00F058E4" w:rsidP="00F058E4">
      <w:pPr>
        <w:pStyle w:val="Textodenotaderodap"/>
        <w:ind w:left="142" w:hanging="142"/>
        <w:rPr>
          <w:rFonts w:cs="Arial"/>
          <w:szCs w:val="22"/>
        </w:rPr>
      </w:pPr>
      <w:r w:rsidRPr="00F058E4">
        <w:rPr>
          <w:rStyle w:val="Refdenotaderodap"/>
          <w:rFonts w:cs="Times New Roman"/>
          <w:szCs w:val="22"/>
        </w:rPr>
        <w:footnoteRef/>
      </w:r>
      <w:r w:rsidRPr="00F058E4">
        <w:rPr>
          <w:rFonts w:cs="Times New Roman"/>
          <w:szCs w:val="22"/>
        </w:rPr>
        <w:t xml:space="preserve"> </w:t>
      </w:r>
      <w:r w:rsidRPr="00F058E4">
        <w:rPr>
          <w:rFonts w:cs="Arial"/>
          <w:szCs w:val="22"/>
        </w:rPr>
        <w:t xml:space="preserve">Graduanda em Ciências Econômicas na Universidade Federal do Rio Grande do Norte (UFRN). Bolsista </w:t>
      </w:r>
      <w:proofErr w:type="spellStart"/>
      <w:r w:rsidRPr="00F058E4">
        <w:rPr>
          <w:rFonts w:cs="Arial"/>
          <w:szCs w:val="22"/>
        </w:rPr>
        <w:t>GEPETIS</w:t>
      </w:r>
      <w:proofErr w:type="spellEnd"/>
      <w:r w:rsidRPr="00F058E4">
        <w:rPr>
          <w:rFonts w:cs="Arial"/>
          <w:szCs w:val="22"/>
        </w:rPr>
        <w:t>/UFRN. E-mail: ruthinha-lima@hotmail.com</w:t>
      </w:r>
    </w:p>
  </w:footnote>
  <w:footnote w:id="2">
    <w:p w:rsidR="00F058E4" w:rsidRPr="00550AEB" w:rsidRDefault="00F058E4" w:rsidP="00F058E4">
      <w:pPr>
        <w:pStyle w:val="Textodenotaderodap"/>
        <w:ind w:left="142" w:hanging="142"/>
        <w:rPr>
          <w:rFonts w:ascii="Arial" w:hAnsi="Arial" w:cs="Arial"/>
          <w:szCs w:val="22"/>
        </w:rPr>
      </w:pPr>
      <w:r w:rsidRPr="00F058E4">
        <w:rPr>
          <w:rStyle w:val="Refdenotaderodap"/>
          <w:rFonts w:cs="Arial"/>
          <w:szCs w:val="22"/>
        </w:rPr>
        <w:footnoteRef/>
      </w:r>
      <w:r w:rsidRPr="00F058E4">
        <w:rPr>
          <w:rFonts w:cs="Arial"/>
          <w:szCs w:val="22"/>
        </w:rPr>
        <w:t xml:space="preserve"> Professora do Departamento de Economia na Universidade Federal do Rio Grande do Norte (DEPEC-UFRN). Doutora pela Universidade de Campinas (Unicamp). Chefe do Departamento de Economia (DEPEC-UFRN). E-mail:</w:t>
      </w:r>
      <w:r w:rsidRPr="00F058E4">
        <w:rPr>
          <w:rFonts w:cs="Arial"/>
        </w:rPr>
        <w:t xml:space="preserve"> </w:t>
      </w:r>
      <w:r w:rsidRPr="00F058E4">
        <w:rPr>
          <w:rFonts w:cs="Arial"/>
          <w:szCs w:val="22"/>
        </w:rPr>
        <w:t>luzienedm@uol.com.br.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6E03"/>
    <w:rsid w:val="000F433C"/>
    <w:rsid w:val="00115AAA"/>
    <w:rsid w:val="00120926"/>
    <w:rsid w:val="00121AF9"/>
    <w:rsid w:val="001242B6"/>
    <w:rsid w:val="00135A65"/>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147B"/>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2EE2"/>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s://globalsolaratlas.info/?c=-2.986927,-13.007812,2&amp;s=17.978733,-233.78906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iea.org/newsroom/energysnapshots/co2-emissions-and-global-economy-growth-rates.html"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uthi\Downloads\27042019%20RUTH%20BIG%20ANE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tx>
            <c:strRef>
              <c:f>'energia solar'!$M$3</c:f>
              <c:strCache>
                <c:ptCount val="1"/>
                <c:pt idx="0">
                  <c:v>ÁFRICA</c:v>
                </c:pt>
              </c:strCache>
            </c:strRef>
          </c:tx>
          <c:spPr>
            <a:solidFill>
              <a:schemeClr val="accent4">
                <a:tint val="54000"/>
              </a:schemeClr>
            </a:solidFill>
            <a:ln>
              <a:noFill/>
            </a:ln>
            <a:effectLst/>
          </c:spPr>
          <c:invertIfNegative val="0"/>
          <c:cat>
            <c:numRef>
              <c:f>'energia solar'!$N$2:$W$2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'energia solar'!$N$3:$W$3</c:f>
              <c:numCache>
                <c:formatCode>General</c:formatCode>
                <c:ptCount val="10"/>
                <c:pt idx="0">
                  <c:v>89</c:v>
                </c:pt>
                <c:pt idx="1">
                  <c:v>133</c:v>
                </c:pt>
                <c:pt idx="2">
                  <c:v>271</c:v>
                </c:pt>
                <c:pt idx="3">
                  <c:v>404</c:v>
                </c:pt>
                <c:pt idx="4">
                  <c:v>480</c:v>
                </c:pt>
                <c:pt idx="5">
                  <c:v>754</c:v>
                </c:pt>
                <c:pt idx="6">
                  <c:v>1687</c:v>
                </c:pt>
                <c:pt idx="7">
                  <c:v>1986</c:v>
                </c:pt>
                <c:pt idx="8">
                  <c:v>2930</c:v>
                </c:pt>
                <c:pt idx="9">
                  <c:v>3585</c:v>
                </c:pt>
              </c:numCache>
            </c:numRef>
          </c:val>
          <c:extLst xmlns:c16r2="http://schemas.microsoft.com/office/drawing/2015/06/chart">
            <c:ext xmlns:c16="http://schemas.microsoft.com/office/drawing/2014/chart" uri="{C3380CC4-5D6E-409C-BE32-E72D297353CC}">
              <c16:uniqueId val="{00000000-4647-485E-AA29-09D72F6415B2}"/>
            </c:ext>
          </c:extLst>
        </c:ser>
        <c:ser>
          <c:idx val="1"/>
          <c:order val="1"/>
          <c:tx>
            <c:strRef>
              <c:f>'energia solar'!$M$4</c:f>
              <c:strCache>
                <c:ptCount val="1"/>
                <c:pt idx="0">
                  <c:v>OCEANIA</c:v>
                </c:pt>
              </c:strCache>
            </c:strRef>
          </c:tx>
          <c:spPr>
            <a:solidFill>
              <a:schemeClr val="accent4">
                <a:tint val="77000"/>
              </a:schemeClr>
            </a:solidFill>
            <a:ln>
              <a:noFill/>
            </a:ln>
            <a:effectLst/>
          </c:spPr>
          <c:invertIfNegative val="0"/>
          <c:cat>
            <c:numRef>
              <c:f>'energia solar'!$N$2:$W$2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'energia solar'!$N$4:$W$4</c:f>
              <c:numCache>
                <c:formatCode>General</c:formatCode>
                <c:ptCount val="10"/>
                <c:pt idx="0">
                  <c:v>95</c:v>
                </c:pt>
                <c:pt idx="1">
                  <c:v>119</c:v>
                </c:pt>
                <c:pt idx="2">
                  <c:v>419</c:v>
                </c:pt>
                <c:pt idx="3">
                  <c:v>1420</c:v>
                </c:pt>
                <c:pt idx="4">
                  <c:v>2464</c:v>
                </c:pt>
                <c:pt idx="5">
                  <c:v>3301</c:v>
                </c:pt>
                <c:pt idx="6">
                  <c:v>4067</c:v>
                </c:pt>
                <c:pt idx="7">
                  <c:v>4447</c:v>
                </c:pt>
                <c:pt idx="8">
                  <c:v>5326</c:v>
                </c:pt>
                <c:pt idx="9">
                  <c:v>6581</c:v>
                </c:pt>
              </c:numCache>
            </c:numRef>
          </c:val>
          <c:extLst xmlns:c16r2="http://schemas.microsoft.com/office/drawing/2015/06/chart">
            <c:ext xmlns:c16="http://schemas.microsoft.com/office/drawing/2014/chart" uri="{C3380CC4-5D6E-409C-BE32-E72D297353CC}">
              <c16:uniqueId val="{00000001-4647-485E-AA29-09D72F6415B2}"/>
            </c:ext>
          </c:extLst>
        </c:ser>
        <c:ser>
          <c:idx val="2"/>
          <c:order val="2"/>
          <c:tx>
            <c:strRef>
              <c:f>'energia solar'!$M$5</c:f>
              <c:strCache>
                <c:ptCount val="1"/>
                <c:pt idx="0">
                  <c:v>EUROPA</c:v>
                </c:pt>
              </c:strCache>
            </c:strRef>
          </c:tx>
          <c:spPr>
            <a:solidFill>
              <a:schemeClr val="accent4"/>
            </a:solidFill>
            <a:ln>
              <a:noFill/>
            </a:ln>
            <a:effectLst/>
          </c:spPr>
          <c:invertIfNegative val="0"/>
          <c:cat>
            <c:numRef>
              <c:f>'energia solar'!$N$2:$W$2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'energia solar'!$N$5:$W$5</c:f>
              <c:numCache>
                <c:formatCode>General</c:formatCode>
                <c:ptCount val="10"/>
                <c:pt idx="0">
                  <c:v>10542</c:v>
                </c:pt>
                <c:pt idx="1">
                  <c:v>17205</c:v>
                </c:pt>
                <c:pt idx="2">
                  <c:v>30415</c:v>
                </c:pt>
                <c:pt idx="3">
                  <c:v>53258</c:v>
                </c:pt>
                <c:pt idx="4">
                  <c:v>72006</c:v>
                </c:pt>
                <c:pt idx="5">
                  <c:v>83373</c:v>
                </c:pt>
                <c:pt idx="6">
                  <c:v>91166</c:v>
                </c:pt>
                <c:pt idx="7">
                  <c:v>99829</c:v>
                </c:pt>
                <c:pt idx="8">
                  <c:v>105863</c:v>
                </c:pt>
                <c:pt idx="9">
                  <c:v>111775</c:v>
                </c:pt>
              </c:numCache>
            </c:numRef>
          </c:val>
          <c:extLst xmlns:c16r2="http://schemas.microsoft.com/office/drawing/2015/06/chart">
            <c:ext xmlns:c16="http://schemas.microsoft.com/office/drawing/2014/chart" uri="{C3380CC4-5D6E-409C-BE32-E72D297353CC}">
              <c16:uniqueId val="{00000002-4647-485E-AA29-09D72F6415B2}"/>
            </c:ext>
          </c:extLst>
        </c:ser>
        <c:ser>
          <c:idx val="3"/>
          <c:order val="3"/>
          <c:tx>
            <c:strRef>
              <c:f>'energia solar'!$M$6</c:f>
              <c:strCache>
                <c:ptCount val="1"/>
                <c:pt idx="0">
                  <c:v>ÁSIA</c:v>
                </c:pt>
              </c:strCache>
            </c:strRef>
          </c:tx>
          <c:spPr>
            <a:solidFill>
              <a:schemeClr val="accent4">
                <a:shade val="76000"/>
              </a:schemeClr>
            </a:solidFill>
            <a:ln>
              <a:noFill/>
            </a:ln>
            <a:effectLst/>
          </c:spPr>
          <c:invertIfNegative val="0"/>
          <c:cat>
            <c:numRef>
              <c:f>'energia solar'!$N$2:$W$2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'energia solar'!$N$6:$W$6</c:f>
              <c:numCache>
                <c:formatCode>General</c:formatCode>
                <c:ptCount val="10"/>
                <c:pt idx="0">
                  <c:v>2715</c:v>
                </c:pt>
                <c:pt idx="1">
                  <c:v>3435</c:v>
                </c:pt>
                <c:pt idx="2">
                  <c:v>4893</c:v>
                </c:pt>
                <c:pt idx="3">
                  <c:v>8842</c:v>
                </c:pt>
                <c:pt idx="4">
                  <c:v>12976</c:v>
                </c:pt>
                <c:pt idx="5">
                  <c:v>34246</c:v>
                </c:pt>
                <c:pt idx="6">
                  <c:v>57150</c:v>
                </c:pt>
                <c:pt idx="7">
                  <c:v>88629</c:v>
                </c:pt>
                <c:pt idx="8">
                  <c:v>139043</c:v>
                </c:pt>
                <c:pt idx="9">
                  <c:v>211216</c:v>
                </c:pt>
              </c:numCache>
            </c:numRef>
          </c:val>
          <c:extLst xmlns:c16r2="http://schemas.microsoft.com/office/drawing/2015/06/chart">
            <c:ext xmlns:c16="http://schemas.microsoft.com/office/drawing/2014/chart" uri="{C3380CC4-5D6E-409C-BE32-E72D297353CC}">
              <c16:uniqueId val="{00000003-4647-485E-AA29-09D72F6415B2}"/>
            </c:ext>
          </c:extLst>
        </c:ser>
        <c:ser>
          <c:idx val="4"/>
          <c:order val="4"/>
          <c:tx>
            <c:strRef>
              <c:f>'energia solar'!$M$7</c:f>
              <c:strCache>
                <c:ptCount val="1"/>
                <c:pt idx="0">
                  <c:v>AMÉRICA</c:v>
                </c:pt>
              </c:strCache>
            </c:strRef>
          </c:tx>
          <c:spPr>
            <a:solidFill>
              <a:schemeClr val="accent4">
                <a:shade val="53000"/>
              </a:schemeClr>
            </a:solidFill>
            <a:ln>
              <a:noFill/>
            </a:ln>
            <a:effectLst/>
          </c:spPr>
          <c:invertIfNegative val="0"/>
          <c:cat>
            <c:numRef>
              <c:f>'energia solar'!$N$2:$W$2</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'energia solar'!$N$7:$W$7</c:f>
              <c:numCache>
                <c:formatCode>General</c:formatCode>
                <c:ptCount val="10"/>
                <c:pt idx="0">
                  <c:v>1710</c:v>
                </c:pt>
                <c:pt idx="1">
                  <c:v>2269</c:v>
                </c:pt>
                <c:pt idx="2">
                  <c:v>3750</c:v>
                </c:pt>
                <c:pt idx="3">
                  <c:v>6350</c:v>
                </c:pt>
                <c:pt idx="4">
                  <c:v>10210</c:v>
                </c:pt>
                <c:pt idx="5">
                  <c:v>14787</c:v>
                </c:pt>
                <c:pt idx="6">
                  <c:v>19335</c:v>
                </c:pt>
                <c:pt idx="7">
                  <c:v>27965</c:v>
                </c:pt>
                <c:pt idx="8">
                  <c:v>40971</c:v>
                </c:pt>
                <c:pt idx="9">
                  <c:v>51513</c:v>
                </c:pt>
              </c:numCache>
            </c:numRef>
          </c:val>
          <c:extLst xmlns:c16r2="http://schemas.microsoft.com/office/drawing/2015/06/chart">
            <c:ext xmlns:c16="http://schemas.microsoft.com/office/drawing/2014/chart" uri="{C3380CC4-5D6E-409C-BE32-E72D297353CC}">
              <c16:uniqueId val="{00000004-4647-485E-AA29-09D72F6415B2}"/>
            </c:ext>
          </c:extLst>
        </c:ser>
        <c:dLbls>
          <c:showLegendKey val="0"/>
          <c:showVal val="0"/>
          <c:showCatName val="0"/>
          <c:showSerName val="0"/>
          <c:showPercent val="0"/>
          <c:showBubbleSize val="0"/>
        </c:dLbls>
        <c:gapWidth val="219"/>
        <c:overlap val="-27"/>
        <c:axId val="113338880"/>
        <c:axId val="124706112"/>
      </c:barChart>
      <c:catAx>
        <c:axId val="11333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706112"/>
        <c:crosses val="autoZero"/>
        <c:auto val="1"/>
        <c:lblAlgn val="ctr"/>
        <c:lblOffset val="100"/>
        <c:noMultiLvlLbl val="0"/>
      </c:catAx>
      <c:valAx>
        <c:axId val="12470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1333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1"/>
          <c:order val="0"/>
          <c:tx>
            <c:strRef>
              <c:f>[Pasta1]Brasil!$N$6</c:f>
              <c:strCache>
                <c:ptCount val="1"/>
                <c:pt idx="0">
                  <c:v>FOTOVOLTAICA</c:v>
                </c:pt>
              </c:strCache>
            </c:strRef>
          </c:tx>
          <c:spPr>
            <a:solidFill>
              <a:schemeClr val="accent4">
                <a:shade val="76000"/>
              </a:schemeClr>
            </a:solidFill>
            <a:ln>
              <a:noFill/>
            </a:ln>
            <a:effectLst/>
          </c:spPr>
          <c:invertIfNegative val="0"/>
          <c:cat>
            <c:numRef>
              <c:f>[Pasta1]Brasil!$O$4:$X$4</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[Pasta1]Brasil!$O$6:$X$6</c:f>
              <c:numCache>
                <c:formatCode>General</c:formatCode>
                <c:ptCount val="10"/>
                <c:pt idx="0">
                  <c:v>14630</c:v>
                </c:pt>
                <c:pt idx="1">
                  <c:v>22444</c:v>
                </c:pt>
                <c:pt idx="2">
                  <c:v>38576</c:v>
                </c:pt>
                <c:pt idx="3">
                  <c:v>68785</c:v>
                </c:pt>
                <c:pt idx="4">
                  <c:v>95850</c:v>
                </c:pt>
                <c:pt idx="5">
                  <c:v>133261</c:v>
                </c:pt>
                <c:pt idx="6">
                  <c:v>169863</c:v>
                </c:pt>
                <c:pt idx="7">
                  <c:v>219596</c:v>
                </c:pt>
                <c:pt idx="8">
                  <c:v>292021</c:v>
                </c:pt>
                <c:pt idx="9">
                  <c:v>385674</c:v>
                </c:pt>
              </c:numCache>
            </c:numRef>
          </c:val>
          <c:extLst xmlns:c16r2="http://schemas.microsoft.com/office/drawing/2015/06/chart">
            <c:ext xmlns:c16="http://schemas.microsoft.com/office/drawing/2014/chart" uri="{C3380CC4-5D6E-409C-BE32-E72D297353CC}">
              <c16:uniqueId val="{00000001-F127-407F-9999-E73497F9D4E9}"/>
            </c:ext>
          </c:extLst>
        </c:ser>
        <c:dLbls>
          <c:showLegendKey val="0"/>
          <c:showVal val="0"/>
          <c:showCatName val="0"/>
          <c:showSerName val="0"/>
          <c:showPercent val="0"/>
          <c:showBubbleSize val="0"/>
        </c:dLbls>
        <c:gapWidth val="219"/>
        <c:overlap val="-27"/>
        <c:axId val="141984256"/>
        <c:axId val="124713152"/>
      </c:barChart>
      <c:catAx>
        <c:axId val="14198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4713152"/>
        <c:crosses val="autoZero"/>
        <c:auto val="1"/>
        <c:lblAlgn val="ctr"/>
        <c:lblOffset val="100"/>
        <c:noMultiLvlLbl val="0"/>
      </c:catAx>
      <c:valAx>
        <c:axId val="124713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198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Brasil!$N$5</c:f>
              <c:strCache>
                <c:ptCount val="1"/>
                <c:pt idx="0">
                  <c:v>SOLAR</c:v>
                </c:pt>
              </c:strCache>
            </c:strRef>
          </c:tx>
          <c:spPr>
            <a:solidFill>
              <a:schemeClr val="accent2"/>
            </a:solidFill>
            <a:ln>
              <a:noFill/>
            </a:ln>
            <a:effectLst/>
          </c:spPr>
          <c:invertIfNegative val="0"/>
          <c:cat>
            <c:numRef>
              <c:f>Brasil!$O$4:$X$4</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Brasil!$O$5:$X$5</c:f>
              <c:numCache>
                <c:formatCode>General</c:formatCode>
                <c:ptCount val="10"/>
                <c:pt idx="0">
                  <c:v>0</c:v>
                </c:pt>
                <c:pt idx="1">
                  <c:v>0</c:v>
                </c:pt>
                <c:pt idx="2">
                  <c:v>1</c:v>
                </c:pt>
                <c:pt idx="3">
                  <c:v>1</c:v>
                </c:pt>
                <c:pt idx="4">
                  <c:v>2</c:v>
                </c:pt>
                <c:pt idx="5">
                  <c:v>5</c:v>
                </c:pt>
                <c:pt idx="6">
                  <c:v>15</c:v>
                </c:pt>
                <c:pt idx="7">
                  <c:v>23</c:v>
                </c:pt>
                <c:pt idx="8">
                  <c:v>80</c:v>
                </c:pt>
                <c:pt idx="9">
                  <c:v>1097</c:v>
                </c:pt>
              </c:numCache>
            </c:numRef>
          </c:val>
          <c:extLst xmlns:c16r2="http://schemas.microsoft.com/office/drawing/2015/06/chart">
            <c:ext xmlns:c16="http://schemas.microsoft.com/office/drawing/2014/chart" uri="{C3380CC4-5D6E-409C-BE32-E72D297353CC}">
              <c16:uniqueId val="{00000000-8AA6-4E7E-9B4A-EF2974A2E770}"/>
            </c:ext>
          </c:extLst>
        </c:ser>
        <c:dLbls>
          <c:showLegendKey val="0"/>
          <c:showVal val="0"/>
          <c:showCatName val="0"/>
          <c:showSerName val="0"/>
          <c:showPercent val="0"/>
          <c:showBubbleSize val="0"/>
        </c:dLbls>
        <c:gapWidth val="219"/>
        <c:axId val="141984768"/>
        <c:axId val="158662656"/>
      </c:barChart>
      <c:lineChart>
        <c:grouping val="standard"/>
        <c:varyColors val="0"/>
        <c:ser>
          <c:idx val="1"/>
          <c:order val="1"/>
          <c:tx>
            <c:strRef>
              <c:f>Brasil!$N$6</c:f>
              <c:strCache>
                <c:ptCount val="1"/>
                <c:pt idx="0">
                  <c:v>FOTOVOLTAICA</c:v>
                </c:pt>
              </c:strCache>
            </c:strRef>
          </c:tx>
          <c:spPr>
            <a:ln w="28575" cap="rnd">
              <a:solidFill>
                <a:schemeClr val="accent4"/>
              </a:solidFill>
              <a:round/>
            </a:ln>
            <a:effectLst/>
          </c:spPr>
          <c:marker>
            <c:symbol val="none"/>
          </c:marker>
          <c:cat>
            <c:numRef>
              <c:f>Brasil!$O$4:$X$4</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Brasil!$O$6:$X$6</c:f>
              <c:numCache>
                <c:formatCode>General</c:formatCode>
                <c:ptCount val="10"/>
                <c:pt idx="0">
                  <c:v>0</c:v>
                </c:pt>
                <c:pt idx="1">
                  <c:v>0</c:v>
                </c:pt>
                <c:pt idx="2">
                  <c:v>1</c:v>
                </c:pt>
                <c:pt idx="3">
                  <c:v>1</c:v>
                </c:pt>
                <c:pt idx="4">
                  <c:v>2</c:v>
                </c:pt>
                <c:pt idx="5">
                  <c:v>5</c:v>
                </c:pt>
                <c:pt idx="6">
                  <c:v>15</c:v>
                </c:pt>
                <c:pt idx="7">
                  <c:v>23</c:v>
                </c:pt>
                <c:pt idx="8">
                  <c:v>80</c:v>
                </c:pt>
                <c:pt idx="9">
                  <c:v>1097</c:v>
                </c:pt>
              </c:numCache>
            </c:numRef>
          </c:val>
          <c:smooth val="0"/>
          <c:extLst xmlns:c16r2="http://schemas.microsoft.com/office/drawing/2015/06/chart">
            <c:ext xmlns:c16="http://schemas.microsoft.com/office/drawing/2014/chart" uri="{C3380CC4-5D6E-409C-BE32-E72D297353CC}">
              <c16:uniqueId val="{00000001-8AA6-4E7E-9B4A-EF2974A2E770}"/>
            </c:ext>
          </c:extLst>
        </c:ser>
        <c:dLbls>
          <c:showLegendKey val="0"/>
          <c:showVal val="0"/>
          <c:showCatName val="0"/>
          <c:showSerName val="0"/>
          <c:showPercent val="0"/>
          <c:showBubbleSize val="0"/>
        </c:dLbls>
        <c:marker val="1"/>
        <c:smooth val="0"/>
        <c:axId val="141984768"/>
        <c:axId val="158662656"/>
      </c:lineChart>
      <c:catAx>
        <c:axId val="14198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8662656"/>
        <c:crosses val="autoZero"/>
        <c:auto val="1"/>
        <c:lblAlgn val="ctr"/>
        <c:lblOffset val="100"/>
        <c:noMultiLvlLbl val="0"/>
      </c:catAx>
      <c:valAx>
        <c:axId val="15866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198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5400000" spcFirstLastPara="1" vertOverflow="ellipsis" wrap="square" anchor="ctr" anchorCtr="1"/>
              <a:lstStyle/>
              <a:p>
                <a:pPr>
                  <a:defRPr sz="1000" b="0" i="0" u="none" strike="noStrike" kern="1200" baseline="0">
                    <a:solidFill>
                      <a:schemeClr val="tx1"/>
                    </a:solidFill>
                    <a:latin typeface="+mn-lt"/>
                    <a:ea typeface="+mn-ea"/>
                    <a:cs typeface="+mn-cs"/>
                  </a:defRPr>
                </a:pPr>
                <a:endParaRPr lang="pt-BR"/>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RESUMO!$M$4:$M$24</c:f>
              <c:strCache>
                <c:ptCount val="21"/>
                <c:pt idx="0">
                  <c:v>AM</c:v>
                </c:pt>
                <c:pt idx="1">
                  <c:v>AP</c:v>
                </c:pt>
                <c:pt idx="2">
                  <c:v>BA</c:v>
                </c:pt>
                <c:pt idx="3">
                  <c:v>CE</c:v>
                </c:pt>
                <c:pt idx="4">
                  <c:v>ES</c:v>
                </c:pt>
                <c:pt idx="5">
                  <c:v>MA</c:v>
                </c:pt>
                <c:pt idx="6">
                  <c:v>MG</c:v>
                </c:pt>
                <c:pt idx="7">
                  <c:v>MS</c:v>
                </c:pt>
                <c:pt idx="8">
                  <c:v>MT</c:v>
                </c:pt>
                <c:pt idx="9">
                  <c:v>PA</c:v>
                </c:pt>
                <c:pt idx="10">
                  <c:v>PB</c:v>
                </c:pt>
                <c:pt idx="11">
                  <c:v>PI</c:v>
                </c:pt>
                <c:pt idx="12">
                  <c:v>PE</c:v>
                </c:pt>
                <c:pt idx="13">
                  <c:v>PR</c:v>
                </c:pt>
                <c:pt idx="14">
                  <c:v>RJ</c:v>
                </c:pt>
                <c:pt idx="15">
                  <c:v>RN</c:v>
                </c:pt>
                <c:pt idx="16">
                  <c:v>RO</c:v>
                </c:pt>
                <c:pt idx="17">
                  <c:v>RS</c:v>
                </c:pt>
                <c:pt idx="18">
                  <c:v>SC</c:v>
                </c:pt>
                <c:pt idx="19">
                  <c:v>SP</c:v>
                </c:pt>
                <c:pt idx="20">
                  <c:v>TO</c:v>
                </c:pt>
              </c:strCache>
            </c:strRef>
          </c:cat>
          <c:val>
            <c:numRef>
              <c:f>RESUMO!$O$4:$O$24</c:f>
              <c:numCache>
                <c:formatCode>General</c:formatCode>
                <c:ptCount val="21"/>
                <c:pt idx="0">
                  <c:v>176.04</c:v>
                </c:pt>
                <c:pt idx="1">
                  <c:v>4039.2</c:v>
                </c:pt>
                <c:pt idx="2">
                  <c:v>65472.800000000003</c:v>
                </c:pt>
                <c:pt idx="3">
                  <c:v>215750</c:v>
                </c:pt>
                <c:pt idx="4">
                  <c:v>770.63</c:v>
                </c:pt>
                <c:pt idx="5">
                  <c:v>51.93</c:v>
                </c:pt>
                <c:pt idx="6">
                  <c:v>524505.68000000005</c:v>
                </c:pt>
                <c:pt idx="7">
                  <c:v>1.38</c:v>
                </c:pt>
                <c:pt idx="8">
                  <c:v>2860</c:v>
                </c:pt>
                <c:pt idx="9">
                  <c:v>2424</c:v>
                </c:pt>
                <c:pt idx="10">
                  <c:v>108400</c:v>
                </c:pt>
                <c:pt idx="11">
                  <c:v>270000</c:v>
                </c:pt>
                <c:pt idx="12">
                  <c:v>16000</c:v>
                </c:pt>
                <c:pt idx="13">
                  <c:v>172.06</c:v>
                </c:pt>
                <c:pt idx="14">
                  <c:v>2722.3</c:v>
                </c:pt>
                <c:pt idx="15">
                  <c:v>117105.04</c:v>
                </c:pt>
                <c:pt idx="16">
                  <c:v>20.48</c:v>
                </c:pt>
                <c:pt idx="17">
                  <c:v>58.43</c:v>
                </c:pt>
                <c:pt idx="18">
                  <c:v>3999.93</c:v>
                </c:pt>
                <c:pt idx="19">
                  <c:v>151217.26</c:v>
                </c:pt>
                <c:pt idx="20">
                  <c:v>5000</c:v>
                </c:pt>
              </c:numCache>
            </c:numRef>
          </c:val>
          <c:extLst xmlns:c16r2="http://schemas.microsoft.com/office/drawing/2015/06/chart">
            <c:ext xmlns:c16="http://schemas.microsoft.com/office/drawing/2014/chart" uri="{C3380CC4-5D6E-409C-BE32-E72D297353CC}">
              <c16:uniqueId val="{00000000-AB51-43C6-95A3-63DB9C96459D}"/>
            </c:ext>
          </c:extLst>
        </c:ser>
        <c:dLbls>
          <c:showLegendKey val="0"/>
          <c:showVal val="1"/>
          <c:showCatName val="0"/>
          <c:showSerName val="0"/>
          <c:showPercent val="0"/>
          <c:showBubbleSize val="0"/>
        </c:dLbls>
        <c:gapWidth val="150"/>
        <c:overlap val="-25"/>
        <c:axId val="144850432"/>
        <c:axId val="160490624"/>
      </c:barChart>
      <c:catAx>
        <c:axId val="144850432"/>
        <c:scaling>
          <c:orientation val="minMax"/>
        </c:scaling>
        <c:delete val="0"/>
        <c:axPos val="b"/>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t-BR"/>
          </a:p>
        </c:txPr>
        <c:crossAx val="160490624"/>
        <c:crosses val="autoZero"/>
        <c:auto val="1"/>
        <c:lblAlgn val="ctr"/>
        <c:lblOffset val="100"/>
        <c:noMultiLvlLbl val="0"/>
      </c:catAx>
      <c:valAx>
        <c:axId val="160490624"/>
        <c:scaling>
          <c:orientation val="minMax"/>
        </c:scaling>
        <c:delete val="1"/>
        <c:axPos val="l"/>
        <c:numFmt formatCode="General" sourceLinked="1"/>
        <c:majorTickMark val="none"/>
        <c:minorTickMark val="none"/>
        <c:tickLblPos val="nextTo"/>
        <c:crossAx val="144850432"/>
        <c:crosses val="autoZero"/>
        <c:crossBetween val="between"/>
      </c:valAx>
      <c:spPr>
        <a:solidFill>
          <a:schemeClr val="bg1"/>
        </a:solidFill>
        <a:ln>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3049D-4CD3-424F-95BA-AF1271DC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1917</Words>
  <Characters>10357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12250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2019-09-03T16:52:00Z</cp:lastPrinted>
  <dcterms:created xsi:type="dcterms:W3CDTF">2019-09-03T16:51:00Z</dcterms:created>
  <dcterms:modified xsi:type="dcterms:W3CDTF">2019-09-03T16:52:00Z</dcterms:modified>
</cp:coreProperties>
</file>