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024E1" w:rsidRPr="00A024E1" w:rsidRDefault="00A024E1" w:rsidP="00A024E1">
      <w:pPr>
        <w:spacing w:line="240" w:lineRule="auto"/>
        <w:jc w:val="center"/>
        <w:rPr>
          <w:rFonts w:eastAsia="Arial" w:cs="Times New Roman"/>
          <w:b/>
          <w:szCs w:val="24"/>
        </w:rPr>
      </w:pPr>
      <w:bookmarkStart w:id="0" w:name="_GoBack"/>
      <w:bookmarkEnd w:id="0"/>
      <w:proofErr w:type="spellStart"/>
      <w:r w:rsidRPr="00A024E1">
        <w:rPr>
          <w:rFonts w:eastAsia="Arial" w:cs="Times New Roman"/>
          <w:b/>
          <w:szCs w:val="24"/>
        </w:rPr>
        <w:t>GT</w:t>
      </w:r>
      <w:proofErr w:type="spellEnd"/>
      <w:r w:rsidRPr="00A024E1">
        <w:rPr>
          <w:rFonts w:eastAsia="Arial" w:cs="Times New Roman"/>
          <w:b/>
          <w:szCs w:val="24"/>
        </w:rPr>
        <w:t xml:space="preserve"> - CONTABILIDADE, CONTROLE INTERNO E </w:t>
      </w:r>
      <w:proofErr w:type="gramStart"/>
      <w:r w:rsidRPr="00A024E1">
        <w:rPr>
          <w:rFonts w:eastAsia="Arial" w:cs="Times New Roman"/>
          <w:b/>
          <w:szCs w:val="24"/>
        </w:rPr>
        <w:t>AUDITORIA APLICADOS AO SETOR PÚBLICO</w:t>
      </w:r>
      <w:proofErr w:type="gramEnd"/>
    </w:p>
    <w:p w:rsidR="00A024E1" w:rsidRPr="00A024E1" w:rsidRDefault="00A024E1" w:rsidP="00A024E1">
      <w:pPr>
        <w:spacing w:line="240" w:lineRule="auto"/>
        <w:jc w:val="center"/>
        <w:rPr>
          <w:rFonts w:eastAsia="Arial" w:cs="Times New Roman"/>
          <w:szCs w:val="24"/>
        </w:rPr>
      </w:pPr>
      <w:r w:rsidRPr="00A024E1">
        <w:rPr>
          <w:rFonts w:eastAsia="Arial" w:cs="Times New Roman"/>
          <w:szCs w:val="24"/>
        </w:rPr>
        <w:t>Modalidade da apresentação: Comunicação oral</w:t>
      </w:r>
    </w:p>
    <w:p w:rsidR="00A024E1" w:rsidRPr="00A024E1" w:rsidRDefault="00A024E1" w:rsidP="00A024E1">
      <w:pPr>
        <w:pStyle w:val="Ttulo"/>
      </w:pPr>
      <w:r w:rsidRPr="00A024E1">
        <w:t xml:space="preserve">ANÁLISE DA EFICIÊNCIA NA ALOCAÇÃO DOS GASTOS PÚBLICOS EM SEGURANÇA NOS ESTADOS DA REGIÃO NORDESTE </w:t>
      </w:r>
    </w:p>
    <w:p w:rsidR="00A024E1" w:rsidRPr="00A024E1" w:rsidRDefault="00A024E1" w:rsidP="00A024E1">
      <w:pPr>
        <w:spacing w:line="240" w:lineRule="auto"/>
        <w:jc w:val="right"/>
        <w:rPr>
          <w:rFonts w:eastAsia="Arial" w:cs="Times New Roman"/>
          <w:szCs w:val="24"/>
        </w:rPr>
      </w:pPr>
      <w:r w:rsidRPr="00A024E1">
        <w:rPr>
          <w:rFonts w:eastAsia="Arial" w:cs="Times New Roman"/>
          <w:szCs w:val="24"/>
        </w:rPr>
        <w:t>Mel</w:t>
      </w:r>
      <w:r>
        <w:rPr>
          <w:rFonts w:eastAsia="Arial" w:cs="Times New Roman"/>
          <w:szCs w:val="24"/>
        </w:rPr>
        <w:t>issa Fernandes Marinho de Souza</w:t>
      </w:r>
      <w:r>
        <w:rPr>
          <w:rStyle w:val="Refdenotaderodap"/>
          <w:rFonts w:eastAsia="Arial" w:cs="Times New Roman"/>
          <w:szCs w:val="24"/>
        </w:rPr>
        <w:footnoteReference w:id="1"/>
      </w:r>
    </w:p>
    <w:p w:rsidR="00A024E1" w:rsidRPr="00A024E1" w:rsidRDefault="00A024E1" w:rsidP="00A024E1">
      <w:pPr>
        <w:spacing w:line="240" w:lineRule="auto"/>
        <w:jc w:val="right"/>
        <w:rPr>
          <w:rFonts w:eastAsia="Arial" w:cs="Times New Roman"/>
          <w:szCs w:val="24"/>
        </w:rPr>
      </w:pPr>
      <w:r>
        <w:rPr>
          <w:rFonts w:eastAsia="Arial" w:cs="Times New Roman"/>
          <w:szCs w:val="24"/>
        </w:rPr>
        <w:t>Vanessa Gomes de Pontes</w:t>
      </w:r>
      <w:r>
        <w:rPr>
          <w:rStyle w:val="Refdenotaderodap"/>
          <w:rFonts w:eastAsia="Arial" w:cs="Times New Roman"/>
          <w:szCs w:val="24"/>
        </w:rPr>
        <w:footnoteReference w:id="2"/>
      </w:r>
    </w:p>
    <w:p w:rsidR="00A024E1" w:rsidRPr="00A024E1" w:rsidRDefault="00A024E1" w:rsidP="00A024E1">
      <w:pPr>
        <w:spacing w:line="240" w:lineRule="auto"/>
        <w:jc w:val="right"/>
        <w:rPr>
          <w:rFonts w:eastAsia="Arial" w:cs="Times New Roman"/>
          <w:szCs w:val="24"/>
        </w:rPr>
      </w:pPr>
      <w:r>
        <w:rPr>
          <w:rFonts w:eastAsia="Arial" w:cs="Times New Roman"/>
          <w:szCs w:val="24"/>
        </w:rPr>
        <w:t>Mayara Bezerra Barbosa</w:t>
      </w:r>
      <w:r>
        <w:rPr>
          <w:rStyle w:val="Refdenotaderodap"/>
          <w:rFonts w:eastAsia="Arial" w:cs="Times New Roman"/>
          <w:szCs w:val="24"/>
        </w:rPr>
        <w:footnoteReference w:id="3"/>
      </w:r>
    </w:p>
    <w:p w:rsidR="00A024E1" w:rsidRPr="00A024E1" w:rsidRDefault="00A024E1" w:rsidP="00A024E1">
      <w:pPr>
        <w:spacing w:after="240" w:line="240" w:lineRule="auto"/>
        <w:jc w:val="right"/>
        <w:rPr>
          <w:rFonts w:eastAsia="Arial" w:cs="Times New Roman"/>
          <w:szCs w:val="24"/>
          <w:vertAlign w:val="superscript"/>
        </w:rPr>
      </w:pPr>
      <w:proofErr w:type="spellStart"/>
      <w:r w:rsidRPr="00A024E1">
        <w:rPr>
          <w:rFonts w:eastAsia="Arial" w:cs="Times New Roman"/>
          <w:szCs w:val="24"/>
        </w:rPr>
        <w:t>Marke</w:t>
      </w:r>
      <w:proofErr w:type="spellEnd"/>
      <w:r w:rsidRPr="00A024E1">
        <w:rPr>
          <w:rFonts w:eastAsia="Arial" w:cs="Times New Roman"/>
          <w:szCs w:val="24"/>
        </w:rPr>
        <w:t xml:space="preserve"> </w:t>
      </w:r>
      <w:proofErr w:type="spellStart"/>
      <w:r w:rsidRPr="00A024E1">
        <w:rPr>
          <w:rFonts w:eastAsia="Arial" w:cs="Times New Roman"/>
          <w:szCs w:val="24"/>
        </w:rPr>
        <w:t>Geisy</w:t>
      </w:r>
      <w:proofErr w:type="spellEnd"/>
      <w:r w:rsidRPr="00A024E1">
        <w:rPr>
          <w:rFonts w:eastAsia="Arial" w:cs="Times New Roman"/>
          <w:szCs w:val="24"/>
        </w:rPr>
        <w:t xml:space="preserve"> da Silva Dantas</w:t>
      </w:r>
      <w:r>
        <w:rPr>
          <w:rStyle w:val="Refdenotaderodap"/>
          <w:rFonts w:eastAsia="Arial" w:cs="Times New Roman"/>
          <w:szCs w:val="24"/>
        </w:rPr>
        <w:footnoteReference w:id="4"/>
      </w:r>
    </w:p>
    <w:p w:rsidR="00A024E1" w:rsidRPr="00A024E1" w:rsidRDefault="00A024E1" w:rsidP="00A024E1">
      <w:pPr>
        <w:jc w:val="center"/>
        <w:rPr>
          <w:rFonts w:cs="Times New Roman"/>
          <w:b/>
          <w:bCs/>
          <w:color w:val="C00000"/>
          <w:szCs w:val="24"/>
        </w:rPr>
      </w:pPr>
      <w:r w:rsidRPr="00A024E1">
        <w:rPr>
          <w:rFonts w:cs="Times New Roman"/>
          <w:b/>
          <w:bCs/>
          <w:color w:val="C00000"/>
          <w:szCs w:val="24"/>
        </w:rPr>
        <w:t>RESUMO</w:t>
      </w:r>
    </w:p>
    <w:p w:rsidR="00A024E1" w:rsidRDefault="00A024E1" w:rsidP="00A024E1">
      <w:pPr>
        <w:spacing w:line="240" w:lineRule="auto"/>
        <w:rPr>
          <w:rFonts w:cs="Times New Roman"/>
          <w:bCs/>
          <w:color w:val="000000"/>
          <w:sz w:val="22"/>
          <w:szCs w:val="24"/>
        </w:rPr>
      </w:pPr>
      <w:r w:rsidRPr="00A024E1">
        <w:rPr>
          <w:rFonts w:cs="Times New Roman"/>
          <w:bCs/>
          <w:color w:val="000000"/>
          <w:sz w:val="22"/>
          <w:szCs w:val="24"/>
        </w:rPr>
        <w:t>O presente artigo tem como finalidade mensurar o grau de eficiência na alocação dos recursos públicos em segurança dos estados da região Nordeste entre 2012 e 2016. Para tal, foi utilizado o modelo não paramétrico de Análise Envoltória de Dados (</w:t>
      </w:r>
      <w:proofErr w:type="spellStart"/>
      <w:r w:rsidRPr="00A024E1">
        <w:rPr>
          <w:rFonts w:cs="Times New Roman"/>
          <w:bCs/>
          <w:color w:val="000000"/>
          <w:sz w:val="22"/>
          <w:szCs w:val="24"/>
        </w:rPr>
        <w:t>DEA</w:t>
      </w:r>
      <w:proofErr w:type="spellEnd"/>
      <w:r w:rsidRPr="00A024E1">
        <w:rPr>
          <w:rFonts w:cs="Times New Roman"/>
          <w:bCs/>
          <w:color w:val="000000"/>
          <w:sz w:val="22"/>
          <w:szCs w:val="24"/>
        </w:rPr>
        <w:t xml:space="preserve">), associado ao índice </w:t>
      </w:r>
      <w:proofErr w:type="spellStart"/>
      <w:r w:rsidRPr="00A024E1">
        <w:rPr>
          <w:rFonts w:cs="Times New Roman"/>
          <w:bCs/>
          <w:i/>
          <w:color w:val="000000"/>
          <w:sz w:val="22"/>
          <w:szCs w:val="24"/>
        </w:rPr>
        <w:t>Malmquist</w:t>
      </w:r>
      <w:proofErr w:type="spellEnd"/>
      <w:r w:rsidRPr="00A024E1">
        <w:rPr>
          <w:rFonts w:cs="Times New Roman"/>
          <w:bCs/>
          <w:color w:val="000000"/>
          <w:sz w:val="22"/>
          <w:szCs w:val="24"/>
        </w:rPr>
        <w:t>, orientado pelos Retornos de Escala Variáveis (VRS), já que se pretende estimar a eficiência dos gastos públicos em segurança a partir das estatísticas de crime de cada estado.</w:t>
      </w:r>
      <w:r w:rsidRPr="00A024E1">
        <w:rPr>
          <w:rFonts w:cs="Times New Roman"/>
          <w:sz w:val="22"/>
          <w:szCs w:val="24"/>
        </w:rPr>
        <w:t xml:space="preserve"> </w:t>
      </w:r>
      <w:r w:rsidRPr="00A024E1">
        <w:rPr>
          <w:rFonts w:cs="Times New Roman"/>
          <w:bCs/>
          <w:color w:val="000000"/>
          <w:sz w:val="22"/>
          <w:szCs w:val="24"/>
        </w:rPr>
        <w:t>As estimações indicam que apenas 3 estados foram eficientes no ano de 2012: Paraíba, Piauí e Rio Grande do Norte, o que representa 33,33% dos estados do Nordeste. Em 2013 e 2014, além dos 3 estados citados em 2012, Sergipe apresentou eficiência nos gastos públicos. Em 2015, o resultado apresentou mais estados eficientes, representado 56% do total. Por fim, em 2016 apresentaram eficiência os mesmos estados que em 2012 e Alagoas</w:t>
      </w:r>
      <w:proofErr w:type="gramStart"/>
      <w:r w:rsidRPr="00A024E1">
        <w:rPr>
          <w:rFonts w:cs="Times New Roman"/>
          <w:bCs/>
          <w:color w:val="000000"/>
          <w:sz w:val="22"/>
          <w:szCs w:val="24"/>
        </w:rPr>
        <w:t xml:space="preserve"> ou seja</w:t>
      </w:r>
      <w:proofErr w:type="gramEnd"/>
      <w:r w:rsidRPr="00A024E1">
        <w:rPr>
          <w:rFonts w:cs="Times New Roman"/>
          <w:bCs/>
          <w:color w:val="000000"/>
          <w:sz w:val="22"/>
          <w:szCs w:val="24"/>
        </w:rPr>
        <w:t>, 44,44% do número de estados da região.</w:t>
      </w:r>
    </w:p>
    <w:p w:rsidR="00A024E1" w:rsidRPr="00A024E1" w:rsidRDefault="00A024E1" w:rsidP="00A024E1">
      <w:pPr>
        <w:spacing w:line="240" w:lineRule="auto"/>
        <w:rPr>
          <w:rFonts w:cs="Times New Roman"/>
          <w:bCs/>
          <w:color w:val="000000"/>
          <w:sz w:val="22"/>
          <w:szCs w:val="24"/>
        </w:rPr>
      </w:pPr>
    </w:p>
    <w:p w:rsidR="00A024E1" w:rsidRPr="00A024E1" w:rsidRDefault="00A024E1" w:rsidP="00A024E1">
      <w:pPr>
        <w:spacing w:after="140" w:line="240" w:lineRule="auto"/>
        <w:rPr>
          <w:rFonts w:cs="Times New Roman"/>
          <w:sz w:val="22"/>
          <w:szCs w:val="24"/>
        </w:rPr>
      </w:pPr>
      <w:r w:rsidRPr="00A024E1">
        <w:rPr>
          <w:rFonts w:cs="Times New Roman"/>
          <w:b/>
          <w:bCs/>
          <w:color w:val="C00000"/>
          <w:sz w:val="22"/>
          <w:szCs w:val="24"/>
        </w:rPr>
        <w:t>Palavras-chave:</w:t>
      </w:r>
      <w:r w:rsidRPr="00A024E1">
        <w:rPr>
          <w:rFonts w:cs="Times New Roman"/>
          <w:bCs/>
          <w:color w:val="C00000"/>
          <w:sz w:val="22"/>
          <w:szCs w:val="24"/>
        </w:rPr>
        <w:t xml:space="preserve"> </w:t>
      </w:r>
      <w:r w:rsidRPr="00A024E1">
        <w:rPr>
          <w:rFonts w:cs="Times New Roman"/>
          <w:bCs/>
          <w:color w:val="000000"/>
          <w:sz w:val="22"/>
          <w:szCs w:val="24"/>
        </w:rPr>
        <w:t>Eficiência; Estados do Nordeste; Segurança Pública.</w:t>
      </w:r>
    </w:p>
    <w:p w:rsidR="00A024E1" w:rsidRPr="00A024E1" w:rsidRDefault="00A024E1" w:rsidP="00A024E1">
      <w:pPr>
        <w:pStyle w:val="Ttulo1"/>
        <w:rPr>
          <w:rFonts w:eastAsia="Arial"/>
        </w:rPr>
      </w:pPr>
      <w:r w:rsidRPr="00A024E1">
        <w:rPr>
          <w:rFonts w:eastAsia="Arial"/>
        </w:rPr>
        <w:t>1 INTRODUÇÃO</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A sociedade brasileira tem sofrido com o avanço da criminalidade. A utilização dos recursos públicos para a área de segurança pública tem sido questionada quanto a sua eficiência. Acredita-se que a forma que os recursos públicos são alocados pode influenciar os índices de criminalidade do País.</w:t>
      </w:r>
    </w:p>
    <w:p w:rsidR="00A024E1" w:rsidRPr="00A024E1" w:rsidRDefault="00A024E1" w:rsidP="00A024E1">
      <w:pPr>
        <w:spacing w:before="100"/>
        <w:rPr>
          <w:rFonts w:eastAsia="Arial" w:cs="Arial"/>
          <w:szCs w:val="24"/>
        </w:rPr>
      </w:pPr>
      <w:r>
        <w:rPr>
          <w:rFonts w:eastAsia="Arial" w:cs="Arial"/>
          <w:szCs w:val="24"/>
        </w:rPr>
        <w:tab/>
      </w:r>
      <w:r w:rsidRPr="00A024E1">
        <w:rPr>
          <w:rFonts w:eastAsia="Arial" w:cs="Arial"/>
          <w:szCs w:val="24"/>
        </w:rPr>
        <w:t xml:space="preserve">A 11ª edição do Anuário Brasileiro de Segurança Pública, realizado pelo Fórum Brasileiro de Segurança Pública - </w:t>
      </w:r>
      <w:proofErr w:type="spellStart"/>
      <w:r w:rsidRPr="00A024E1">
        <w:rPr>
          <w:rFonts w:eastAsia="Arial" w:cs="Arial"/>
          <w:szCs w:val="24"/>
        </w:rPr>
        <w:t>FBSP</w:t>
      </w:r>
      <w:proofErr w:type="spellEnd"/>
      <w:r w:rsidRPr="00A024E1">
        <w:rPr>
          <w:rFonts w:eastAsia="Arial" w:cs="Arial"/>
          <w:szCs w:val="24"/>
        </w:rPr>
        <w:t xml:space="preserve"> mostra que os Estados e a União gastaram cerca de R$ 81,2 bilhões em 2016 com segurança, valor 2,6% inferior ao investimento realizado em 2015, quando os gastos somaram R$ 83,4 bilhões. </w:t>
      </w:r>
    </w:p>
    <w:p w:rsidR="00A024E1" w:rsidRPr="00A024E1" w:rsidRDefault="00A024E1" w:rsidP="00A024E1">
      <w:pPr>
        <w:rPr>
          <w:rFonts w:eastAsia="Arial" w:cs="Arial"/>
          <w:szCs w:val="24"/>
        </w:rPr>
      </w:pPr>
      <w:r>
        <w:rPr>
          <w:rFonts w:eastAsia="Arial" w:cs="Arial"/>
          <w:szCs w:val="24"/>
        </w:rPr>
        <w:lastRenderedPageBreak/>
        <w:tab/>
      </w:r>
      <w:r w:rsidRPr="00A024E1">
        <w:rPr>
          <w:rFonts w:eastAsia="Arial" w:cs="Arial"/>
          <w:szCs w:val="24"/>
        </w:rPr>
        <w:t xml:space="preserve">Em 2016, mais de 61 mil pessoas morreram de forma violenta no Brasil. Pesquisas realizadas pelo </w:t>
      </w:r>
      <w:proofErr w:type="spellStart"/>
      <w:r w:rsidRPr="00A024E1">
        <w:rPr>
          <w:rFonts w:eastAsia="Arial" w:cs="Arial"/>
          <w:szCs w:val="24"/>
        </w:rPr>
        <w:t>FBSP</w:t>
      </w:r>
      <w:proofErr w:type="spellEnd"/>
      <w:r w:rsidRPr="00A024E1">
        <w:rPr>
          <w:rFonts w:eastAsia="Arial" w:cs="Arial"/>
          <w:szCs w:val="24"/>
        </w:rPr>
        <w:t xml:space="preserve"> mostraram que a região Nordeste foi o palco de aproximadamente 24,8 mil dessas mortes, ou 40,5% do total. O Nordeste conta com os três estados com a maior taxa de mortes violentas para cada 100 mil habitantes no Brasil em 2016. Essa taxa em Sergipe foi de 64 mortes, </w:t>
      </w:r>
      <w:r w:rsidRPr="00A024E1">
        <w:rPr>
          <w:rFonts w:eastAsia="Arial" w:cs="Arial"/>
          <w:color w:val="000000"/>
          <w:szCs w:val="24"/>
        </w:rPr>
        <w:t xml:space="preserve">no Rio Grande do Norte foi de 56,9 e </w:t>
      </w:r>
      <w:r w:rsidRPr="00A024E1">
        <w:rPr>
          <w:rFonts w:eastAsia="Arial" w:cs="Arial"/>
          <w:szCs w:val="24"/>
        </w:rPr>
        <w:t xml:space="preserve">em Alagoas foi de 55,9 mortes por cada 100 mil habitantes. </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Dessa forma, avaliar a eficiência dos gastos públicos na área de segurança é um importante indicativo, para que, assim, os gestores consigam aplicá-los da melhor forma possível, objetivando um maior retorno à sociedade. Nesse contexto, indaga-se: Qual o grau de eficiência na alocação dos gastos públicos em segurança nos estados da região Nordeste no período 2012 a 2016?</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A pesquisa objetiva medir por meio da Análise Envoltória de Dados (</w:t>
      </w:r>
      <w:proofErr w:type="spellStart"/>
      <w:r w:rsidRPr="00A024E1">
        <w:rPr>
          <w:rFonts w:eastAsia="Arial" w:cs="Arial"/>
          <w:szCs w:val="24"/>
        </w:rPr>
        <w:t>DEA</w:t>
      </w:r>
      <w:proofErr w:type="spellEnd"/>
      <w:r w:rsidRPr="00A024E1">
        <w:rPr>
          <w:rFonts w:eastAsia="Arial" w:cs="Arial"/>
          <w:szCs w:val="24"/>
        </w:rPr>
        <w:t>), o grau de eficiência dos estados da região Nordeste na alocação dos gastos públicos na área de segurança no período 2012 a 2016.</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 xml:space="preserve"> O aumento nos gastos com segurança pública foi notado em alguns dos anos estudados, contudo, não é evidente o cuidado com a eficiência na alocação dos recursos em segurança pública. Assim, se objetiva especificamente</w:t>
      </w:r>
      <w:r w:rsidRPr="00A024E1">
        <w:rPr>
          <w:rFonts w:eastAsia="Times" w:cs="Arial"/>
          <w:szCs w:val="24"/>
        </w:rPr>
        <w:t xml:space="preserve">: </w:t>
      </w:r>
      <w:r w:rsidRPr="00A024E1">
        <w:rPr>
          <w:rFonts w:eastAsia="Arial" w:cs="Arial"/>
          <w:szCs w:val="24"/>
        </w:rPr>
        <w:t xml:space="preserve">descobrir a relação entre os gastos efetuados e os índices de criminalidade de cada estado; calcular a eficiência relativa da alocação de recursos estaduais na segurança pública e </w:t>
      </w:r>
      <w:r w:rsidRPr="00A024E1">
        <w:rPr>
          <w:rFonts w:eastAsia="Arial" w:cs="Arial"/>
          <w:color w:val="000000"/>
          <w:szCs w:val="24"/>
        </w:rPr>
        <w:t>medir</w:t>
      </w:r>
      <w:r w:rsidRPr="00A024E1">
        <w:rPr>
          <w:rFonts w:cs="Arial"/>
          <w:szCs w:val="24"/>
        </w:rPr>
        <w:t xml:space="preserve"> </w:t>
      </w:r>
      <w:r w:rsidRPr="00A024E1">
        <w:rPr>
          <w:rFonts w:eastAsia="Arial" w:cs="Arial"/>
          <w:szCs w:val="24"/>
        </w:rPr>
        <w:t>a evolução da produtividade de um ano para o outro.</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A pesquisa busca descobrir a relação entre os gastos efetuados e os índices de criminalidade de cada estado da região Nordeste, objetivando compreender o grau de eficiência na alocação dos recursos nos estados objeto desse estudo.</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A pesquisa se justifica, por proporcionar a sociedade uma análise dos gastos públicos em segurança nos estados da região Nordeste do Brasil. Com isso, aspira-se estimular a sociedade a fazer o controle social no que se refere ao gasto com segurança pública.</w:t>
      </w:r>
    </w:p>
    <w:p w:rsidR="00A024E1" w:rsidRPr="00A024E1" w:rsidRDefault="00A024E1" w:rsidP="00A024E1">
      <w:pPr>
        <w:pStyle w:val="Ttulo1"/>
      </w:pPr>
      <w:proofErr w:type="gramStart"/>
      <w:r w:rsidRPr="00A024E1">
        <w:rPr>
          <w:rFonts w:eastAsia="Arial"/>
        </w:rPr>
        <w:lastRenderedPageBreak/>
        <w:t>2 REFERENCIAL</w:t>
      </w:r>
      <w:proofErr w:type="gramEnd"/>
      <w:r w:rsidRPr="00A024E1">
        <w:rPr>
          <w:rFonts w:eastAsia="Arial"/>
        </w:rPr>
        <w:t xml:space="preserve"> TEÓRICO </w:t>
      </w:r>
    </w:p>
    <w:p w:rsidR="00A024E1" w:rsidRPr="00A024E1" w:rsidRDefault="00A024E1" w:rsidP="00A024E1">
      <w:pPr>
        <w:pStyle w:val="Ttulo2"/>
        <w:rPr>
          <w:rFonts w:eastAsia="Arial"/>
        </w:rPr>
      </w:pPr>
      <w:proofErr w:type="gramStart"/>
      <w:r w:rsidRPr="00A024E1">
        <w:rPr>
          <w:rFonts w:eastAsia="Arial"/>
        </w:rPr>
        <w:t>2.1 Segurança</w:t>
      </w:r>
      <w:proofErr w:type="gramEnd"/>
      <w:r w:rsidRPr="00A024E1">
        <w:rPr>
          <w:rFonts w:eastAsia="Arial"/>
        </w:rPr>
        <w:t xml:space="preserve"> Pública</w:t>
      </w:r>
      <w:r w:rsidRPr="00A024E1">
        <w:tab/>
      </w:r>
    </w:p>
    <w:p w:rsidR="00A024E1" w:rsidRPr="00A024E1" w:rsidRDefault="00A024E1" w:rsidP="00A024E1">
      <w:pPr>
        <w:rPr>
          <w:rFonts w:eastAsia="Arial" w:cs="Arial"/>
          <w:szCs w:val="24"/>
          <w:highlight w:val="white"/>
        </w:rPr>
      </w:pPr>
      <w:r>
        <w:rPr>
          <w:rFonts w:eastAsia="Arial" w:cs="Arial"/>
          <w:szCs w:val="24"/>
        </w:rPr>
        <w:tab/>
      </w:r>
      <w:r w:rsidRPr="00A024E1">
        <w:rPr>
          <w:rFonts w:eastAsia="Arial" w:cs="Arial"/>
          <w:szCs w:val="24"/>
        </w:rPr>
        <w:t xml:space="preserve">A Constituição Federal de 1988 trouxe em seu artigo </w:t>
      </w:r>
      <w:r w:rsidRPr="00A024E1">
        <w:rPr>
          <w:rFonts w:eastAsia="Arial" w:cs="Arial"/>
          <w:szCs w:val="24"/>
          <w:highlight w:val="white"/>
        </w:rPr>
        <w:t>Art. 6º:</w:t>
      </w:r>
    </w:p>
    <w:p w:rsidR="00A024E1" w:rsidRPr="00A024E1" w:rsidRDefault="00A024E1" w:rsidP="00A024E1">
      <w:pPr>
        <w:pStyle w:val="Citao"/>
      </w:pPr>
      <w:proofErr w:type="gramStart"/>
      <w:r w:rsidRPr="00A024E1">
        <w:rPr>
          <w:rFonts w:eastAsia="Arial"/>
          <w:highlight w:val="white"/>
        </w:rPr>
        <w:t>São</w:t>
      </w:r>
      <w:proofErr w:type="gramEnd"/>
      <w:r w:rsidRPr="00A024E1">
        <w:rPr>
          <w:rFonts w:eastAsia="Arial"/>
          <w:highlight w:val="white"/>
        </w:rPr>
        <w:t xml:space="preserve"> direitos sociais a educação, a saúde, a alimentação, o trabalho, a moradia, o transporte, o lazer, a segurança, a previdência social, a proteção à maternidade e à infância, a assistência aos desamparados, na forma desta Constituição. </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 xml:space="preserve">A segurança é um direito de todos, e é dever do estado propiciar esse direito aos cidadãos brasileiros. Como </w:t>
      </w:r>
      <w:proofErr w:type="gramStart"/>
      <w:r w:rsidRPr="00A024E1">
        <w:rPr>
          <w:rFonts w:eastAsia="Arial" w:cs="Arial"/>
          <w:szCs w:val="24"/>
        </w:rPr>
        <w:t>está</w:t>
      </w:r>
      <w:proofErr w:type="gramEnd"/>
      <w:r w:rsidRPr="00A024E1">
        <w:rPr>
          <w:rFonts w:eastAsia="Arial" w:cs="Arial"/>
          <w:szCs w:val="24"/>
        </w:rPr>
        <w:t xml:space="preserve"> expresso no o Art. 144 da Constituição Federal que define que a segurança pública é um dever do Estado, direito e responsabilidade de todos e é exercita para a preservação da ordem pública e da incolumidade das pessoas e do patrimônio [...]. </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Nesse sentido, é possível perceber que a segurança pública é inerente à formação e perpetuação do estado, que é instrumento de organização política e tem como objetivo manter a ordem política, econômica e social.</w:t>
      </w:r>
    </w:p>
    <w:p w:rsidR="00A024E1" w:rsidRPr="00A024E1" w:rsidRDefault="00A024E1" w:rsidP="00A024E1">
      <w:pPr>
        <w:pStyle w:val="Ttulo2"/>
        <w:rPr>
          <w:rFonts w:eastAsia="Arial"/>
        </w:rPr>
      </w:pPr>
      <w:r w:rsidRPr="00A024E1">
        <w:rPr>
          <w:rFonts w:eastAsia="Arial"/>
        </w:rPr>
        <w:t>2.2 Políticas Públicas de Segurança</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O conceito de segurança pública compreende dois julgamentos ao referir-se ao combate e a prestação de serviço público. Um compreende a capacidade dos policiais em combater os criminosos por meio de ações ofensivas. O outro, por sua vez, está centrado na segurança enquanto serviço público a ser mantido pelo Estado. Os policiais são destituídos da capacidade de combate para promover prevenção, com a integração com as políticas sociais, na visão de Souza Neto (2009).</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 xml:space="preserve">Soares (2006) diz que as políticas preventivas de criminalidade produzem efeito rápido e de baixo custo. Essas ações não são de longo prazo e não são destinadas a macroestruturas sociais e econômicas do País, como as previstas no combate ao crime. As ações preventivas podem também ser realizadas pelos municípios, locais em que as ações violentas acontecem. </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 xml:space="preserve">O inciso 8º do Art. 144 da Carta Magna traz que, os municípios também podem constituir guardas civis para proteção de seus bens, serviços e instalações ou mesmo instituir conselhos municipais de segurança. </w:t>
      </w:r>
    </w:p>
    <w:p w:rsidR="00A024E1" w:rsidRPr="00A024E1" w:rsidRDefault="00A024E1" w:rsidP="00A024E1">
      <w:pPr>
        <w:rPr>
          <w:rFonts w:eastAsia="Arial" w:cs="Arial"/>
          <w:szCs w:val="24"/>
        </w:rPr>
      </w:pPr>
      <w:r>
        <w:rPr>
          <w:rFonts w:eastAsia="Arial" w:cs="Arial"/>
          <w:szCs w:val="24"/>
        </w:rPr>
        <w:lastRenderedPageBreak/>
        <w:tab/>
      </w:r>
      <w:r w:rsidRPr="00A024E1">
        <w:rPr>
          <w:rFonts w:eastAsia="Arial" w:cs="Arial"/>
          <w:szCs w:val="24"/>
        </w:rPr>
        <w:t xml:space="preserve">Em consonância, Soares (2006) aduz que não cabe apenas ao estado ou aos municípios a realização de políticas preventivas, mas também a União por meio de políticas cooperativas interinstitucionais com o objetivo de promover a qualidade no fornecimento dos serviços de segurança pública, com eficiência e integração entre as ações nos diferentes níveis das unidades federativas. Portanto, as diferentes esferas do governo buscam promover a segurança pública seja por ações de combate à criminalidade ou mesmo por medidas preventivas associadas </w:t>
      </w:r>
      <w:proofErr w:type="gramStart"/>
      <w:r w:rsidRPr="00A024E1">
        <w:rPr>
          <w:rFonts w:eastAsia="Arial" w:cs="Arial"/>
          <w:szCs w:val="24"/>
        </w:rPr>
        <w:t>a</w:t>
      </w:r>
      <w:proofErr w:type="gramEnd"/>
      <w:r w:rsidRPr="00A024E1">
        <w:rPr>
          <w:rFonts w:eastAsia="Arial" w:cs="Arial"/>
          <w:szCs w:val="24"/>
        </w:rPr>
        <w:t xml:space="preserve"> comunidade local.</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Neste cenário, Pereira Filho (2008) indica que a eficiência na atividade de segurança pública pelos órgãos Federais, Estaduais ou Municipais depende dos recursos disponíveis e, essencialmente, das decisões tomadas pelos gestores no âmbito da segurança pública para cada um dos estados do País.</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Dessa maneira, as políticas públicas de segurança de combate ao crime ou preventivas provocam impactos nos recursos públicos. Assim, ter conhecimento desses impactos nos gastos com segurança pública nos indicadores sociais torna-se relevante como alternativa para medir a aplicação das políticas públicas.</w:t>
      </w:r>
    </w:p>
    <w:p w:rsidR="00A024E1" w:rsidRPr="00A024E1" w:rsidRDefault="00A024E1" w:rsidP="00A024E1">
      <w:pPr>
        <w:pStyle w:val="Ttulo2"/>
        <w:rPr>
          <w:rFonts w:eastAsia="Arial"/>
        </w:rPr>
      </w:pPr>
      <w:r w:rsidRPr="00A024E1">
        <w:rPr>
          <w:rFonts w:eastAsia="Arial"/>
        </w:rPr>
        <w:t>2.3 A Eficiência nos Gastos Públicos</w:t>
      </w:r>
    </w:p>
    <w:p w:rsidR="00A024E1" w:rsidRPr="00A024E1" w:rsidRDefault="00A024E1" w:rsidP="00A024E1">
      <w:pPr>
        <w:rPr>
          <w:rFonts w:eastAsia="Arial" w:cs="Arial"/>
          <w:szCs w:val="24"/>
        </w:rPr>
      </w:pPr>
      <w:r>
        <w:rPr>
          <w:rFonts w:eastAsia="Arial" w:cs="Arial"/>
          <w:szCs w:val="24"/>
        </w:rPr>
        <w:tab/>
      </w:r>
      <w:r w:rsidRPr="00A024E1">
        <w:rPr>
          <w:rFonts w:eastAsia="Arial" w:cs="Arial"/>
          <w:szCs w:val="24"/>
        </w:rPr>
        <w:t xml:space="preserve">Em 1967, com a promulgação da Constituição Federal em 24 de janeiro, percebe-se então, uma preocupação com a eficiência no setor público brasileiro. O Decreto-Lei 200, de 25 de fevereiro de 1967, no seu artigo 30, § 3º, explicita tal preocupação: "É dever dos responsáveis pelos diversos órgãos competentes dos sistemas </w:t>
      </w:r>
      <w:proofErr w:type="gramStart"/>
      <w:r w:rsidRPr="00A024E1">
        <w:rPr>
          <w:rFonts w:eastAsia="Arial" w:cs="Arial"/>
          <w:szCs w:val="24"/>
        </w:rPr>
        <w:t>atuar</w:t>
      </w:r>
      <w:proofErr w:type="gramEnd"/>
      <w:r w:rsidRPr="00A024E1">
        <w:rPr>
          <w:rFonts w:eastAsia="Arial" w:cs="Arial"/>
          <w:szCs w:val="24"/>
        </w:rPr>
        <w:t xml:space="preserve"> de modo a imprimir o máximo rendimento e a reduzir os custos operacionais da Administração."</w:t>
      </w:r>
    </w:p>
    <w:p w:rsidR="00A024E1" w:rsidRPr="00A024E1" w:rsidRDefault="00A024E1" w:rsidP="00A024E1">
      <w:pPr>
        <w:rPr>
          <w:rFonts w:eastAsia="Arial" w:cs="Arial"/>
          <w:szCs w:val="24"/>
        </w:rPr>
      </w:pPr>
      <w:r w:rsidRPr="00A024E1">
        <w:rPr>
          <w:rFonts w:cs="Arial"/>
          <w:szCs w:val="24"/>
        </w:rPr>
        <w:tab/>
      </w:r>
      <w:r w:rsidRPr="00A024E1">
        <w:rPr>
          <w:rFonts w:eastAsia="Arial" w:cs="Arial"/>
          <w:szCs w:val="24"/>
        </w:rPr>
        <w:t xml:space="preserve">Mesmo sendo empiricamente difícil aferir uma medida adequada de eficiência no setor público (Afonso, </w:t>
      </w:r>
      <w:proofErr w:type="spellStart"/>
      <w:r w:rsidRPr="00A024E1">
        <w:rPr>
          <w:rFonts w:eastAsia="Arial" w:cs="Arial"/>
          <w:szCs w:val="24"/>
        </w:rPr>
        <w:t>Schuknecht</w:t>
      </w:r>
      <w:proofErr w:type="spellEnd"/>
      <w:r w:rsidRPr="00A024E1">
        <w:rPr>
          <w:rFonts w:eastAsia="Arial" w:cs="Arial"/>
          <w:szCs w:val="24"/>
        </w:rPr>
        <w:t xml:space="preserve"> e </w:t>
      </w:r>
      <w:proofErr w:type="spellStart"/>
      <w:r w:rsidRPr="00A024E1">
        <w:rPr>
          <w:rFonts w:eastAsia="Arial" w:cs="Arial"/>
          <w:szCs w:val="24"/>
        </w:rPr>
        <w:t>Tanzi</w:t>
      </w:r>
      <w:proofErr w:type="spellEnd"/>
      <w:r w:rsidRPr="00A024E1">
        <w:rPr>
          <w:rFonts w:eastAsia="Arial" w:cs="Arial"/>
          <w:szCs w:val="24"/>
        </w:rPr>
        <w:t xml:space="preserve">, 2006) são várias as tentativas de comparação entre os estados brasileiros a fim de reconhecer onde os gastos são </w:t>
      </w:r>
      <w:proofErr w:type="gramStart"/>
      <w:r w:rsidRPr="00A024E1">
        <w:rPr>
          <w:rFonts w:eastAsia="Arial" w:cs="Arial"/>
          <w:szCs w:val="24"/>
        </w:rPr>
        <w:t>melhor</w:t>
      </w:r>
      <w:proofErr w:type="gramEnd"/>
      <w:r w:rsidRPr="00A024E1">
        <w:rPr>
          <w:rFonts w:eastAsia="Arial" w:cs="Arial"/>
          <w:szCs w:val="24"/>
        </w:rPr>
        <w:t xml:space="preserve"> alocados.</w:t>
      </w:r>
      <w:r w:rsidRPr="00A024E1">
        <w:rPr>
          <w:rFonts w:cs="Arial"/>
          <w:szCs w:val="24"/>
        </w:rPr>
        <w:tab/>
      </w:r>
      <w:r w:rsidRPr="00A024E1">
        <w:rPr>
          <w:rFonts w:cs="Arial"/>
          <w:szCs w:val="24"/>
        </w:rPr>
        <w:tab/>
      </w:r>
      <w:r w:rsidRPr="00A024E1">
        <w:rPr>
          <w:rFonts w:cs="Arial"/>
          <w:szCs w:val="24"/>
        </w:rPr>
        <w:br/>
      </w:r>
      <w:r w:rsidRPr="00A024E1">
        <w:rPr>
          <w:rFonts w:cs="Arial"/>
          <w:szCs w:val="24"/>
        </w:rPr>
        <w:tab/>
      </w:r>
      <w:r w:rsidRPr="00A024E1">
        <w:rPr>
          <w:rFonts w:eastAsia="Arial" w:cs="Arial"/>
          <w:szCs w:val="24"/>
        </w:rPr>
        <w:t>Apesar da taxa de homicídios brasileira está estabilizada em 26 homicídios por 100 mil habitantes (</w:t>
      </w:r>
      <w:proofErr w:type="spellStart"/>
      <w:r w:rsidRPr="00A024E1">
        <w:rPr>
          <w:rFonts w:eastAsia="Arial" w:cs="Arial"/>
          <w:szCs w:val="24"/>
        </w:rPr>
        <w:t>Sapori</w:t>
      </w:r>
      <w:proofErr w:type="spellEnd"/>
      <w:r w:rsidRPr="00A024E1">
        <w:rPr>
          <w:rFonts w:eastAsia="Arial" w:cs="Arial"/>
          <w:szCs w:val="24"/>
        </w:rPr>
        <w:t xml:space="preserve">, 2011), o Nordeste do Brasil foi à região que apresentou os maiores índices de crescimento dessa taxa, conforme Costa (2013). Apenas entre </w:t>
      </w:r>
      <w:r w:rsidRPr="00A024E1">
        <w:rPr>
          <w:rFonts w:eastAsia="Arial" w:cs="Arial"/>
          <w:szCs w:val="24"/>
        </w:rPr>
        <w:lastRenderedPageBreak/>
        <w:t>2005 e 2012, o crescimento da taxa de homicídios na região foi 39,3%. Em 2012, 40,4% dos homicídios ocorridos nos país aconteceram na região Nordeste.</w:t>
      </w:r>
    </w:p>
    <w:p w:rsidR="00A024E1" w:rsidRPr="00A024E1" w:rsidRDefault="00A024E1" w:rsidP="00A024E1">
      <w:pPr>
        <w:autoSpaceDE w:val="0"/>
        <w:autoSpaceDN w:val="0"/>
        <w:adjustRightInd w:val="0"/>
        <w:rPr>
          <w:rFonts w:eastAsia="Arial" w:cs="Arial"/>
          <w:szCs w:val="24"/>
        </w:rPr>
      </w:pPr>
      <w:r w:rsidRPr="00A024E1">
        <w:rPr>
          <w:rFonts w:cs="Arial"/>
          <w:szCs w:val="24"/>
        </w:rPr>
        <w:t xml:space="preserve">Diante dessa realidade, é fundamental uma análise das variáveis que influenciaram esses alarmantes números. </w:t>
      </w:r>
    </w:p>
    <w:p w:rsidR="00A024E1" w:rsidRPr="00A024E1" w:rsidRDefault="00A024E1" w:rsidP="00A024E1">
      <w:pPr>
        <w:pStyle w:val="Ttulo1"/>
      </w:pPr>
      <w:r w:rsidRPr="00A024E1">
        <w:t xml:space="preserve">3 PROCEDIMENTOS METODOLÓGICOS </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A presente pesquisa classifica-se como descritiva quanto aos objetivos, bibliográfica e documental quanto aos procedimentos e quantitativa quanto a sua abordagem.</w:t>
      </w:r>
    </w:p>
    <w:p w:rsidR="00A024E1" w:rsidRPr="00A024E1" w:rsidRDefault="00A024E1" w:rsidP="00A024E1">
      <w:pPr>
        <w:autoSpaceDE w:val="0"/>
        <w:autoSpaceDN w:val="0"/>
        <w:adjustRightInd w:val="0"/>
        <w:rPr>
          <w:rFonts w:cs="Arial"/>
          <w:szCs w:val="24"/>
        </w:rPr>
      </w:pPr>
      <w:r w:rsidRPr="00A024E1">
        <w:rPr>
          <w:rFonts w:cs="Arial"/>
          <w:szCs w:val="24"/>
        </w:rPr>
        <w:t>Silva (2003) indica que a pesquisa documental utiliza-se de fontes que ainda não receberam tratamento analítico ou que podem ser reelaboradas no intuito de extrair significado para a análise.</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Os dados coletados são referentes ao período de 2012 a 2016 e foram extraídos dos Anuários de Segurança Pública publicados nos anos de 2014, 2015 2016 e 2017, promovidos pelo </w:t>
      </w:r>
      <w:r w:rsidRPr="00A024E1">
        <w:rPr>
          <w:rFonts w:eastAsiaTheme="minorHAnsi" w:cs="Arial"/>
          <w:szCs w:val="24"/>
          <w:lang w:eastAsia="en-US"/>
        </w:rPr>
        <w:t>Fórum Brasileiro de Segur</w:t>
      </w:r>
      <w:r w:rsidRPr="00A024E1">
        <w:rPr>
          <w:rFonts w:cs="Arial"/>
          <w:szCs w:val="24"/>
        </w:rPr>
        <w:t>ança Pública (</w:t>
      </w:r>
      <w:proofErr w:type="spellStart"/>
      <w:r w:rsidRPr="00A024E1">
        <w:rPr>
          <w:rFonts w:cs="Arial"/>
          <w:szCs w:val="24"/>
        </w:rPr>
        <w:t>FPSP</w:t>
      </w:r>
      <w:proofErr w:type="spellEnd"/>
      <w:r w:rsidRPr="00A024E1">
        <w:rPr>
          <w:rFonts w:cs="Arial"/>
          <w:szCs w:val="24"/>
        </w:rPr>
        <w:t>).</w:t>
      </w:r>
    </w:p>
    <w:p w:rsidR="00A024E1" w:rsidRPr="00A024E1" w:rsidRDefault="00A024E1" w:rsidP="00A024E1">
      <w:pPr>
        <w:pStyle w:val="Ttulo2"/>
      </w:pPr>
      <w:proofErr w:type="gramStart"/>
      <w:r w:rsidRPr="00A024E1">
        <w:t>3.1 Caracterização</w:t>
      </w:r>
      <w:proofErr w:type="gramEnd"/>
      <w:r w:rsidRPr="00A024E1">
        <w:t xml:space="preserve"> das Variáveis e Fonte dos Dados</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O universo e a amostra deste estudo são os 9 (nove) estados da região Nordeste. Nos gastos realizados com segurança pública foram consideradas as despesas com policiamento, defesa civil, informação e inteligência e demais </w:t>
      </w:r>
      <w:proofErr w:type="spellStart"/>
      <w:r w:rsidRPr="00A024E1">
        <w:rPr>
          <w:rFonts w:cs="Arial"/>
          <w:szCs w:val="24"/>
        </w:rPr>
        <w:t>subfunções</w:t>
      </w:r>
      <w:proofErr w:type="spellEnd"/>
      <w:r w:rsidRPr="00A024E1">
        <w:rPr>
          <w:rFonts w:cs="Arial"/>
          <w:szCs w:val="24"/>
        </w:rPr>
        <w:t xml:space="preserve">. </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De acordo com </w:t>
      </w:r>
      <w:proofErr w:type="spellStart"/>
      <w:r w:rsidRPr="00A024E1">
        <w:rPr>
          <w:rFonts w:cs="Arial"/>
          <w:szCs w:val="24"/>
        </w:rPr>
        <w:t>Schull</w:t>
      </w:r>
      <w:proofErr w:type="spellEnd"/>
      <w:r w:rsidRPr="00A024E1">
        <w:rPr>
          <w:rFonts w:cs="Arial"/>
          <w:szCs w:val="24"/>
        </w:rPr>
        <w:t xml:space="preserve">, </w:t>
      </w:r>
      <w:proofErr w:type="spellStart"/>
      <w:r w:rsidRPr="00A024E1">
        <w:rPr>
          <w:rFonts w:cs="Arial"/>
          <w:szCs w:val="24"/>
        </w:rPr>
        <w:t>Feitósa</w:t>
      </w:r>
      <w:proofErr w:type="spellEnd"/>
      <w:r w:rsidRPr="00A024E1">
        <w:rPr>
          <w:rFonts w:cs="Arial"/>
          <w:szCs w:val="24"/>
        </w:rPr>
        <w:t xml:space="preserve"> e Hein (2014), os resultados mais consideráveis em segurança na perspectiva da eficiência dos estados são os crimes de homicídio doloso, latrocínio, homicídio culposo de trânsito, tráfico de entorpecentes e estupro.</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Segundo Ervilha </w:t>
      </w:r>
      <w:proofErr w:type="gramStart"/>
      <w:r w:rsidRPr="00A024E1">
        <w:rPr>
          <w:rFonts w:cs="Arial"/>
          <w:szCs w:val="24"/>
        </w:rPr>
        <w:t>et</w:t>
      </w:r>
      <w:proofErr w:type="gramEnd"/>
      <w:r w:rsidRPr="00A024E1">
        <w:rPr>
          <w:rFonts w:cs="Arial"/>
          <w:szCs w:val="24"/>
        </w:rPr>
        <w:t xml:space="preserve"> al. (2015) a eficiência dos gastos em segurança pública pode ser mensurada a partir do inverso das estatísticas, ou seja, pela razão entre o número de ocorrências registradas e a população de cada estado, multiplicada por 100.000. No estudo realizado, ele verificou que os maiores valores estavam associados a um pior resultado. Assim, calculou o inverso da variável, de forma que os maiores valores estivessem associados aos melhores resultados. No estudo foram </w:t>
      </w:r>
      <w:r w:rsidRPr="00A024E1">
        <w:rPr>
          <w:rFonts w:cs="Arial"/>
          <w:szCs w:val="24"/>
        </w:rPr>
        <w:lastRenderedPageBreak/>
        <w:t>utilizadas as taxas de tentativa de homicídio, homicídio, estupro roubo e roubo à mão armada.</w:t>
      </w:r>
    </w:p>
    <w:p w:rsidR="00A024E1" w:rsidRPr="00A024E1" w:rsidRDefault="00A024E1" w:rsidP="00A024E1">
      <w:pPr>
        <w:autoSpaceDE w:val="0"/>
        <w:autoSpaceDN w:val="0"/>
        <w:adjustRightInd w:val="0"/>
        <w:rPr>
          <w:rFonts w:cs="Arial"/>
          <w:szCs w:val="24"/>
        </w:rPr>
      </w:pPr>
      <w:r>
        <w:rPr>
          <w:rFonts w:cs="Arial"/>
          <w:szCs w:val="24"/>
        </w:rPr>
        <w:tab/>
      </w:r>
      <w:proofErr w:type="gramStart"/>
      <w:r w:rsidRPr="00A024E1">
        <w:rPr>
          <w:rFonts w:cs="Arial"/>
          <w:szCs w:val="24"/>
        </w:rPr>
        <w:t>Na presente</w:t>
      </w:r>
      <w:proofErr w:type="gramEnd"/>
      <w:r w:rsidRPr="00A024E1">
        <w:rPr>
          <w:rFonts w:cs="Arial"/>
          <w:szCs w:val="24"/>
        </w:rPr>
        <w:t xml:space="preserve"> pesquisa será considerada 1 (uma) variável como insumo </w:t>
      </w:r>
      <w:r w:rsidRPr="00A024E1">
        <w:rPr>
          <w:rFonts w:cs="Arial"/>
          <w:i/>
          <w:szCs w:val="24"/>
        </w:rPr>
        <w:t xml:space="preserve">(inputs) e </w:t>
      </w:r>
      <w:r w:rsidRPr="00A024E1">
        <w:rPr>
          <w:rFonts w:cs="Arial"/>
          <w:szCs w:val="24"/>
        </w:rPr>
        <w:t>4 (quatro) variáveis como saídas (</w:t>
      </w:r>
      <w:r w:rsidRPr="00A024E1">
        <w:rPr>
          <w:rFonts w:cs="Arial"/>
          <w:i/>
          <w:szCs w:val="24"/>
        </w:rPr>
        <w:t>outputs</w:t>
      </w:r>
      <w:r w:rsidRPr="00A024E1">
        <w:rPr>
          <w:rFonts w:cs="Arial"/>
          <w:szCs w:val="24"/>
        </w:rPr>
        <w:t>) para mensurar a eficiência, as quais estão apresentadas no quadro:</w:t>
      </w:r>
    </w:p>
    <w:p w:rsidR="00A024E1" w:rsidRPr="00A024E1" w:rsidRDefault="00A024E1" w:rsidP="00A024E1">
      <w:pPr>
        <w:pStyle w:val="Legenda"/>
        <w:keepNext/>
        <w:spacing w:after="0" w:line="360" w:lineRule="auto"/>
        <w:rPr>
          <w:rFonts w:ascii="Roboto Lt" w:hAnsi="Roboto Lt" w:cs="Arial"/>
          <w:sz w:val="22"/>
          <w:szCs w:val="22"/>
        </w:rPr>
      </w:pPr>
      <w:r w:rsidRPr="00A024E1">
        <w:rPr>
          <w:rFonts w:ascii="Roboto Lt" w:hAnsi="Roboto Lt" w:cs="Arial"/>
          <w:b/>
          <w:sz w:val="22"/>
          <w:szCs w:val="22"/>
        </w:rPr>
        <w:t xml:space="preserve">Quadro </w:t>
      </w:r>
      <w:r w:rsidRPr="00A024E1">
        <w:rPr>
          <w:rFonts w:ascii="Roboto Lt" w:hAnsi="Roboto Lt" w:cs="Arial"/>
          <w:b/>
          <w:sz w:val="22"/>
          <w:szCs w:val="22"/>
        </w:rPr>
        <w:fldChar w:fldCharType="begin"/>
      </w:r>
      <w:r w:rsidRPr="00A024E1">
        <w:rPr>
          <w:rFonts w:ascii="Roboto Lt" w:hAnsi="Roboto Lt" w:cs="Arial"/>
          <w:b/>
          <w:sz w:val="22"/>
          <w:szCs w:val="22"/>
        </w:rPr>
        <w:instrText xml:space="preserve"> SEQ Tabela \* ARABIC </w:instrText>
      </w:r>
      <w:r w:rsidRPr="00A024E1">
        <w:rPr>
          <w:rFonts w:ascii="Roboto Lt" w:hAnsi="Roboto Lt" w:cs="Arial"/>
          <w:b/>
          <w:sz w:val="22"/>
          <w:szCs w:val="22"/>
        </w:rPr>
        <w:fldChar w:fldCharType="separate"/>
      </w:r>
      <w:r w:rsidR="00022727">
        <w:rPr>
          <w:rFonts w:ascii="Roboto Lt" w:hAnsi="Roboto Lt" w:cs="Arial"/>
          <w:b/>
          <w:noProof/>
          <w:sz w:val="22"/>
          <w:szCs w:val="22"/>
        </w:rPr>
        <w:t>1</w:t>
      </w:r>
      <w:r w:rsidRPr="00A024E1">
        <w:rPr>
          <w:rFonts w:ascii="Roboto Lt" w:hAnsi="Roboto Lt" w:cs="Arial"/>
          <w:b/>
          <w:sz w:val="22"/>
          <w:szCs w:val="22"/>
        </w:rPr>
        <w:fldChar w:fldCharType="end"/>
      </w:r>
      <w:r w:rsidRPr="00A024E1">
        <w:rPr>
          <w:rFonts w:ascii="Roboto Lt" w:hAnsi="Roboto Lt" w:cs="Arial"/>
          <w:sz w:val="22"/>
          <w:szCs w:val="22"/>
        </w:rPr>
        <w:t>- Descrição das variáveis aplicadas.</w:t>
      </w:r>
    </w:p>
    <w:tbl>
      <w:tblPr>
        <w:tblW w:w="0" w:type="auto"/>
        <w:tblLayout w:type="fixed"/>
        <w:tblCellMar>
          <w:left w:w="70" w:type="dxa"/>
          <w:right w:w="70" w:type="dxa"/>
        </w:tblCellMar>
        <w:tblLook w:val="04A0" w:firstRow="1" w:lastRow="0" w:firstColumn="1" w:lastColumn="0" w:noHBand="0" w:noVBand="1"/>
      </w:tblPr>
      <w:tblGrid>
        <w:gridCol w:w="1618"/>
        <w:gridCol w:w="2364"/>
        <w:gridCol w:w="2344"/>
        <w:gridCol w:w="2342"/>
      </w:tblGrid>
      <w:tr w:rsidR="00A024E1" w:rsidRPr="00A024E1" w:rsidTr="00534787">
        <w:trPr>
          <w:trHeight w:val="207"/>
        </w:trPr>
        <w:tc>
          <w:tcPr>
            <w:tcW w:w="1618" w:type="dxa"/>
            <w:tcBorders>
              <w:top w:val="single" w:sz="4" w:space="0" w:color="auto"/>
              <w:left w:val="single" w:sz="4" w:space="0" w:color="auto"/>
              <w:bottom w:val="single" w:sz="4" w:space="0" w:color="auto"/>
              <w:right w:val="nil"/>
            </w:tcBorders>
            <w:shd w:val="clear" w:color="000000" w:fill="D9D9D9"/>
            <w:vAlign w:val="bottom"/>
            <w:hideMark/>
          </w:tcPr>
          <w:p w:rsidR="00A024E1" w:rsidRPr="00A024E1" w:rsidRDefault="00A024E1" w:rsidP="00A024E1">
            <w:pPr>
              <w:jc w:val="center"/>
              <w:rPr>
                <w:rFonts w:cs="Arial"/>
                <w:b/>
                <w:bCs/>
                <w:i/>
                <w:iCs/>
                <w:color w:val="000000"/>
                <w:sz w:val="20"/>
                <w:szCs w:val="20"/>
              </w:rPr>
            </w:pPr>
            <w:r w:rsidRPr="00A024E1">
              <w:rPr>
                <w:rFonts w:cs="Arial"/>
                <w:b/>
                <w:bCs/>
                <w:i/>
                <w:iCs/>
                <w:color w:val="000000"/>
                <w:sz w:val="20"/>
                <w:szCs w:val="20"/>
              </w:rPr>
              <w:t>Inputs</w:t>
            </w:r>
          </w:p>
        </w:tc>
        <w:tc>
          <w:tcPr>
            <w:tcW w:w="2364" w:type="dxa"/>
            <w:tcBorders>
              <w:top w:val="single" w:sz="4" w:space="0" w:color="auto"/>
              <w:left w:val="nil"/>
              <w:bottom w:val="single" w:sz="4" w:space="0" w:color="auto"/>
              <w:right w:val="nil"/>
            </w:tcBorders>
            <w:shd w:val="clear" w:color="000000" w:fill="D9D9D9"/>
            <w:vAlign w:val="bottom"/>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Fontes</w:t>
            </w:r>
          </w:p>
        </w:tc>
        <w:tc>
          <w:tcPr>
            <w:tcW w:w="2344" w:type="dxa"/>
            <w:tcBorders>
              <w:top w:val="single" w:sz="4" w:space="0" w:color="auto"/>
              <w:left w:val="nil"/>
              <w:bottom w:val="single" w:sz="4" w:space="0" w:color="auto"/>
              <w:right w:val="nil"/>
            </w:tcBorders>
            <w:shd w:val="clear" w:color="000000" w:fill="D9D9D9"/>
            <w:vAlign w:val="bottom"/>
            <w:hideMark/>
          </w:tcPr>
          <w:p w:rsidR="00A024E1" w:rsidRPr="00A024E1" w:rsidRDefault="00A024E1" w:rsidP="00A024E1">
            <w:pPr>
              <w:jc w:val="center"/>
              <w:rPr>
                <w:rFonts w:cs="Arial"/>
                <w:b/>
                <w:bCs/>
                <w:i/>
                <w:iCs/>
                <w:color w:val="000000"/>
                <w:sz w:val="20"/>
                <w:szCs w:val="20"/>
              </w:rPr>
            </w:pPr>
            <w:r w:rsidRPr="00A024E1">
              <w:rPr>
                <w:rFonts w:cs="Arial"/>
                <w:b/>
                <w:bCs/>
                <w:i/>
                <w:iCs/>
                <w:color w:val="000000"/>
                <w:sz w:val="20"/>
                <w:szCs w:val="20"/>
              </w:rPr>
              <w:t>Outputs</w:t>
            </w:r>
          </w:p>
        </w:tc>
        <w:tc>
          <w:tcPr>
            <w:tcW w:w="2342" w:type="dxa"/>
            <w:tcBorders>
              <w:top w:val="single" w:sz="4" w:space="0" w:color="auto"/>
              <w:left w:val="nil"/>
              <w:bottom w:val="single" w:sz="4" w:space="0" w:color="auto"/>
              <w:right w:val="single" w:sz="4" w:space="0" w:color="auto"/>
            </w:tcBorders>
            <w:shd w:val="clear" w:color="000000" w:fill="D9D9D9"/>
            <w:vAlign w:val="bottom"/>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Fontes</w:t>
            </w:r>
          </w:p>
        </w:tc>
      </w:tr>
      <w:tr w:rsidR="00A024E1" w:rsidRPr="00A024E1" w:rsidTr="00534787">
        <w:trPr>
          <w:trHeight w:val="317"/>
        </w:trPr>
        <w:tc>
          <w:tcPr>
            <w:tcW w:w="1618" w:type="dxa"/>
            <w:vMerge w:val="restart"/>
            <w:tcBorders>
              <w:top w:val="nil"/>
              <w:left w:val="single" w:sz="4" w:space="0" w:color="auto"/>
              <w:bottom w:val="single" w:sz="4" w:space="0" w:color="000000"/>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 xml:space="preserve">Despesas realizadas pelos estados da região Nordeste com Segurança Pública </w:t>
            </w:r>
          </w:p>
        </w:tc>
        <w:tc>
          <w:tcPr>
            <w:tcW w:w="2364" w:type="dxa"/>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Ministério da Fazenda</w:t>
            </w:r>
          </w:p>
        </w:tc>
        <w:tc>
          <w:tcPr>
            <w:tcW w:w="2344" w:type="dxa"/>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Inverso da taxa de Homicídio doloso</w:t>
            </w:r>
          </w:p>
        </w:tc>
        <w:tc>
          <w:tcPr>
            <w:tcW w:w="2342" w:type="dxa"/>
            <w:tcBorders>
              <w:top w:val="nil"/>
              <w:left w:val="nil"/>
              <w:bottom w:val="nil"/>
              <w:right w:val="single" w:sz="4" w:space="0" w:color="auto"/>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Ministério da Fazenda</w:t>
            </w:r>
          </w:p>
        </w:tc>
      </w:tr>
      <w:tr w:rsidR="00A024E1" w:rsidRPr="00A024E1" w:rsidTr="00534787">
        <w:trPr>
          <w:trHeight w:val="317"/>
        </w:trPr>
        <w:tc>
          <w:tcPr>
            <w:tcW w:w="1618" w:type="dxa"/>
            <w:vMerge/>
            <w:tcBorders>
              <w:top w:val="nil"/>
              <w:left w:val="single" w:sz="4" w:space="0" w:color="auto"/>
              <w:bottom w:val="single" w:sz="4" w:space="0" w:color="000000"/>
              <w:right w:val="nil"/>
            </w:tcBorders>
            <w:vAlign w:val="center"/>
            <w:hideMark/>
          </w:tcPr>
          <w:p w:rsidR="00A024E1" w:rsidRPr="00A024E1" w:rsidRDefault="00A024E1" w:rsidP="00A024E1">
            <w:pPr>
              <w:rPr>
                <w:rFonts w:cs="Arial"/>
                <w:color w:val="000000"/>
                <w:sz w:val="20"/>
                <w:szCs w:val="20"/>
              </w:rPr>
            </w:pPr>
          </w:p>
        </w:tc>
        <w:tc>
          <w:tcPr>
            <w:tcW w:w="2364" w:type="dxa"/>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Secretaria do Tesouro Nacional – STN</w:t>
            </w:r>
          </w:p>
        </w:tc>
        <w:tc>
          <w:tcPr>
            <w:tcW w:w="2344" w:type="dxa"/>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Inverso da taxa de Latrocínio</w:t>
            </w:r>
          </w:p>
        </w:tc>
        <w:tc>
          <w:tcPr>
            <w:tcW w:w="2342" w:type="dxa"/>
            <w:tcBorders>
              <w:top w:val="nil"/>
              <w:left w:val="nil"/>
              <w:bottom w:val="nil"/>
              <w:right w:val="single" w:sz="4" w:space="0" w:color="auto"/>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Secretaria do Tesouro Nacional – STN</w:t>
            </w:r>
          </w:p>
        </w:tc>
      </w:tr>
      <w:tr w:rsidR="00A024E1" w:rsidRPr="00A024E1" w:rsidTr="00534787">
        <w:trPr>
          <w:trHeight w:val="481"/>
        </w:trPr>
        <w:tc>
          <w:tcPr>
            <w:tcW w:w="1618" w:type="dxa"/>
            <w:vMerge/>
            <w:tcBorders>
              <w:top w:val="nil"/>
              <w:left w:val="single" w:sz="4" w:space="0" w:color="auto"/>
              <w:bottom w:val="single" w:sz="4" w:space="0" w:color="000000"/>
              <w:right w:val="nil"/>
            </w:tcBorders>
            <w:vAlign w:val="center"/>
            <w:hideMark/>
          </w:tcPr>
          <w:p w:rsidR="00A024E1" w:rsidRPr="00A024E1" w:rsidRDefault="00A024E1" w:rsidP="00A024E1">
            <w:pPr>
              <w:rPr>
                <w:rFonts w:cs="Arial"/>
                <w:color w:val="000000"/>
                <w:sz w:val="20"/>
                <w:szCs w:val="20"/>
              </w:rPr>
            </w:pPr>
          </w:p>
        </w:tc>
        <w:tc>
          <w:tcPr>
            <w:tcW w:w="2364" w:type="dxa"/>
            <w:vMerge w:val="restart"/>
            <w:tcBorders>
              <w:top w:val="nil"/>
              <w:left w:val="nil"/>
              <w:bottom w:val="single" w:sz="4" w:space="0" w:color="000000"/>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Fórum Brasileiro de Segurança Pública</w:t>
            </w:r>
          </w:p>
        </w:tc>
        <w:tc>
          <w:tcPr>
            <w:tcW w:w="2344" w:type="dxa"/>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Inverso da taxa de Lesão corporal seguida de morte</w:t>
            </w:r>
          </w:p>
        </w:tc>
        <w:tc>
          <w:tcPr>
            <w:tcW w:w="2342" w:type="dxa"/>
            <w:tcBorders>
              <w:top w:val="nil"/>
              <w:left w:val="nil"/>
              <w:bottom w:val="nil"/>
              <w:right w:val="single" w:sz="4" w:space="0" w:color="auto"/>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Instituto Brasileiro de Geografia e Estatística – IBGE</w:t>
            </w:r>
          </w:p>
        </w:tc>
      </w:tr>
      <w:tr w:rsidR="00A024E1" w:rsidRPr="00A024E1" w:rsidTr="00534787">
        <w:trPr>
          <w:trHeight w:val="534"/>
        </w:trPr>
        <w:tc>
          <w:tcPr>
            <w:tcW w:w="1618" w:type="dxa"/>
            <w:vMerge/>
            <w:tcBorders>
              <w:top w:val="nil"/>
              <w:left w:val="single" w:sz="4" w:space="0" w:color="auto"/>
              <w:bottom w:val="single" w:sz="4" w:space="0" w:color="000000"/>
              <w:right w:val="nil"/>
            </w:tcBorders>
            <w:vAlign w:val="center"/>
            <w:hideMark/>
          </w:tcPr>
          <w:p w:rsidR="00A024E1" w:rsidRPr="00A024E1" w:rsidRDefault="00A024E1" w:rsidP="00A024E1">
            <w:pPr>
              <w:rPr>
                <w:rFonts w:cs="Arial"/>
                <w:color w:val="000000"/>
                <w:sz w:val="20"/>
                <w:szCs w:val="20"/>
              </w:rPr>
            </w:pPr>
          </w:p>
        </w:tc>
        <w:tc>
          <w:tcPr>
            <w:tcW w:w="2364" w:type="dxa"/>
            <w:vMerge/>
            <w:tcBorders>
              <w:top w:val="nil"/>
              <w:left w:val="nil"/>
              <w:bottom w:val="single" w:sz="4" w:space="0" w:color="000000"/>
              <w:right w:val="nil"/>
            </w:tcBorders>
            <w:vAlign w:val="center"/>
            <w:hideMark/>
          </w:tcPr>
          <w:p w:rsidR="00A024E1" w:rsidRPr="00A024E1" w:rsidRDefault="00A024E1" w:rsidP="00A024E1">
            <w:pPr>
              <w:rPr>
                <w:rFonts w:cs="Arial"/>
                <w:color w:val="000000"/>
                <w:sz w:val="20"/>
                <w:szCs w:val="20"/>
              </w:rPr>
            </w:pPr>
          </w:p>
        </w:tc>
        <w:tc>
          <w:tcPr>
            <w:tcW w:w="2344" w:type="dxa"/>
            <w:tcBorders>
              <w:top w:val="nil"/>
              <w:left w:val="nil"/>
              <w:bottom w:val="single" w:sz="4" w:space="0" w:color="auto"/>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 xml:space="preserve">Inverso da taxa de Estupro     </w:t>
            </w:r>
          </w:p>
        </w:tc>
        <w:tc>
          <w:tcPr>
            <w:tcW w:w="2342" w:type="dxa"/>
            <w:tcBorders>
              <w:top w:val="nil"/>
              <w:left w:val="nil"/>
              <w:bottom w:val="single" w:sz="4" w:space="0" w:color="auto"/>
              <w:right w:val="single" w:sz="4" w:space="0" w:color="auto"/>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Fórum Brasileiro de Segurança Pública</w:t>
            </w:r>
          </w:p>
        </w:tc>
      </w:tr>
    </w:tbl>
    <w:p w:rsidR="00A024E1" w:rsidRDefault="00A024E1" w:rsidP="00A024E1">
      <w:pPr>
        <w:autoSpaceDE w:val="0"/>
        <w:autoSpaceDN w:val="0"/>
        <w:adjustRightInd w:val="0"/>
        <w:jc w:val="center"/>
        <w:rPr>
          <w:rFonts w:cs="Arial"/>
          <w:sz w:val="20"/>
        </w:rPr>
      </w:pPr>
      <w:r w:rsidRPr="00A024E1">
        <w:rPr>
          <w:rFonts w:cs="Arial"/>
          <w:b/>
          <w:sz w:val="20"/>
        </w:rPr>
        <w:t>Fonte:</w:t>
      </w:r>
      <w:r w:rsidRPr="00A024E1">
        <w:rPr>
          <w:rFonts w:cs="Arial"/>
          <w:sz w:val="20"/>
        </w:rPr>
        <w:t xml:space="preserve"> elaboração própria.</w:t>
      </w:r>
    </w:p>
    <w:p w:rsidR="00A024E1" w:rsidRPr="00A024E1" w:rsidRDefault="00A024E1" w:rsidP="00A024E1">
      <w:pPr>
        <w:autoSpaceDE w:val="0"/>
        <w:autoSpaceDN w:val="0"/>
        <w:adjustRightInd w:val="0"/>
        <w:jc w:val="center"/>
        <w:rPr>
          <w:rFonts w:cs="Arial"/>
          <w:sz w:val="4"/>
        </w:rPr>
      </w:pPr>
    </w:p>
    <w:p w:rsidR="00A024E1" w:rsidRPr="00A024E1" w:rsidRDefault="00A024E1" w:rsidP="00A024E1">
      <w:pPr>
        <w:pStyle w:val="Ttulo2"/>
      </w:pPr>
      <w:proofErr w:type="gramStart"/>
      <w:r w:rsidRPr="00A024E1">
        <w:t>3.2 Modelo</w:t>
      </w:r>
      <w:proofErr w:type="gramEnd"/>
      <w:r w:rsidRPr="00A024E1">
        <w:t xml:space="preserve"> de eficiência aplicado a pesquisa</w:t>
      </w:r>
    </w:p>
    <w:p w:rsidR="00A024E1" w:rsidRPr="00A024E1" w:rsidRDefault="00A024E1" w:rsidP="00A024E1">
      <w:pPr>
        <w:autoSpaceDE w:val="0"/>
        <w:autoSpaceDN w:val="0"/>
        <w:adjustRightInd w:val="0"/>
        <w:rPr>
          <w:rFonts w:cs="Arial"/>
          <w:szCs w:val="24"/>
        </w:rPr>
      </w:pPr>
      <w:r>
        <w:rPr>
          <w:rFonts w:cs="Arial"/>
          <w:color w:val="000000"/>
          <w:szCs w:val="24"/>
          <w:shd w:val="clear" w:color="auto" w:fill="FFFFFF"/>
        </w:rPr>
        <w:tab/>
      </w:r>
      <w:r w:rsidRPr="00A024E1">
        <w:rPr>
          <w:rFonts w:cs="Arial"/>
          <w:color w:val="000000"/>
          <w:szCs w:val="24"/>
          <w:shd w:val="clear" w:color="auto" w:fill="FFFFFF"/>
        </w:rPr>
        <w:t>Farrell</w:t>
      </w:r>
      <w:r w:rsidRPr="00A024E1">
        <w:rPr>
          <w:rFonts w:cs="Arial"/>
          <w:szCs w:val="24"/>
        </w:rPr>
        <w:t xml:space="preserve"> (1957) foi precursor na utilização de métodos não paramétrios para medir eficiência. No modelo apresentado, Farel propôs que cada unidade produtiva fosse analisada em relação </w:t>
      </w:r>
      <w:proofErr w:type="gramStart"/>
      <w:r w:rsidRPr="00A024E1">
        <w:rPr>
          <w:rFonts w:cs="Arial"/>
          <w:szCs w:val="24"/>
        </w:rPr>
        <w:t>as</w:t>
      </w:r>
      <w:proofErr w:type="gramEnd"/>
      <w:r w:rsidRPr="00A024E1">
        <w:rPr>
          <w:rFonts w:cs="Arial"/>
          <w:szCs w:val="24"/>
        </w:rPr>
        <w:t xml:space="preserve"> demais unidades e que todas formassem um conjunto homogêneo e representativa de valores. Dessa maneira, a medida obtida, de caráter relativo, expressa um valor para a unidade em análise que corresponde apenas ao desvio observado em relação </w:t>
      </w:r>
      <w:proofErr w:type="gramStart"/>
      <w:r w:rsidRPr="00A024E1">
        <w:rPr>
          <w:rFonts w:cs="Arial"/>
          <w:szCs w:val="24"/>
        </w:rPr>
        <w:t>as</w:t>
      </w:r>
      <w:proofErr w:type="gramEnd"/>
      <w:r w:rsidRPr="00A024E1">
        <w:rPr>
          <w:rFonts w:cs="Arial"/>
          <w:szCs w:val="24"/>
        </w:rPr>
        <w:t xml:space="preserve"> unidades consideradas eficientes.</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As medidas de eficiência não paramétricas foram desenvolvidas em uma abordagem de eficiência conhecida como </w:t>
      </w:r>
      <w:r w:rsidRPr="00A024E1">
        <w:rPr>
          <w:rFonts w:cs="Arial"/>
          <w:i/>
          <w:iCs/>
          <w:szCs w:val="24"/>
        </w:rPr>
        <w:t xml:space="preserve">Data </w:t>
      </w:r>
      <w:proofErr w:type="spellStart"/>
      <w:r w:rsidRPr="00A024E1">
        <w:rPr>
          <w:rFonts w:cs="Arial"/>
          <w:i/>
          <w:iCs/>
          <w:szCs w:val="24"/>
        </w:rPr>
        <w:t>Envelopment</w:t>
      </w:r>
      <w:proofErr w:type="spellEnd"/>
      <w:r w:rsidRPr="00A024E1">
        <w:rPr>
          <w:rFonts w:cs="Arial"/>
          <w:i/>
          <w:iCs/>
          <w:szCs w:val="24"/>
        </w:rPr>
        <w:t xml:space="preserve"> </w:t>
      </w:r>
      <w:proofErr w:type="spellStart"/>
      <w:r w:rsidRPr="00A024E1">
        <w:rPr>
          <w:rFonts w:cs="Arial"/>
          <w:i/>
          <w:iCs/>
          <w:szCs w:val="24"/>
        </w:rPr>
        <w:t>Analysis</w:t>
      </w:r>
      <w:proofErr w:type="spellEnd"/>
      <w:r w:rsidRPr="00A024E1">
        <w:rPr>
          <w:rFonts w:cs="Arial"/>
          <w:i/>
          <w:iCs/>
          <w:szCs w:val="24"/>
        </w:rPr>
        <w:t xml:space="preserve"> (</w:t>
      </w:r>
      <w:proofErr w:type="spellStart"/>
      <w:r w:rsidRPr="00A024E1">
        <w:rPr>
          <w:rFonts w:cs="Arial"/>
          <w:i/>
          <w:iCs/>
          <w:szCs w:val="24"/>
        </w:rPr>
        <w:t>DEA</w:t>
      </w:r>
      <w:proofErr w:type="spellEnd"/>
      <w:r w:rsidRPr="00A024E1">
        <w:rPr>
          <w:rFonts w:cs="Arial"/>
          <w:i/>
          <w:iCs/>
          <w:szCs w:val="24"/>
        </w:rPr>
        <w:t xml:space="preserve">) ou </w:t>
      </w:r>
      <w:r w:rsidRPr="00A024E1">
        <w:rPr>
          <w:rFonts w:cs="Arial"/>
          <w:szCs w:val="24"/>
        </w:rPr>
        <w:t>Análise Envoltória de Dados.</w:t>
      </w:r>
    </w:p>
    <w:p w:rsidR="00A024E1" w:rsidRPr="00A024E1" w:rsidRDefault="00A024E1" w:rsidP="00A024E1">
      <w:pPr>
        <w:autoSpaceDE w:val="0"/>
        <w:autoSpaceDN w:val="0"/>
        <w:adjustRightInd w:val="0"/>
        <w:rPr>
          <w:rFonts w:cs="Arial"/>
          <w:szCs w:val="24"/>
        </w:rPr>
      </w:pPr>
      <w:r>
        <w:rPr>
          <w:rFonts w:cs="Arial"/>
          <w:szCs w:val="24"/>
        </w:rPr>
        <w:tab/>
      </w:r>
      <w:proofErr w:type="spellStart"/>
      <w:r w:rsidRPr="00A024E1">
        <w:rPr>
          <w:rFonts w:cs="Arial"/>
          <w:szCs w:val="24"/>
        </w:rPr>
        <w:t>Thimóteo</w:t>
      </w:r>
      <w:proofErr w:type="spellEnd"/>
      <w:r w:rsidRPr="00A024E1">
        <w:rPr>
          <w:rFonts w:cs="Arial"/>
          <w:szCs w:val="24"/>
        </w:rPr>
        <w:t xml:space="preserve"> (2005) indica que o desafio da metodologia era desenvolver um método sem recorrer ao arbítrio da fixação de pesos e sem converter os insumos e produtos em valores econômico-financeiros, o que possibilitou o trabalho com variáveis qualitativas e quantitativas. </w:t>
      </w:r>
    </w:p>
    <w:p w:rsidR="00A024E1" w:rsidRPr="00A024E1" w:rsidRDefault="00A024E1" w:rsidP="00A024E1">
      <w:pPr>
        <w:autoSpaceDE w:val="0"/>
        <w:autoSpaceDN w:val="0"/>
        <w:adjustRightInd w:val="0"/>
        <w:rPr>
          <w:rFonts w:cs="Arial"/>
          <w:szCs w:val="24"/>
        </w:rPr>
      </w:pPr>
      <w:r>
        <w:rPr>
          <w:rFonts w:cs="Arial"/>
          <w:szCs w:val="24"/>
        </w:rPr>
        <w:lastRenderedPageBreak/>
        <w:tab/>
      </w:r>
      <w:r w:rsidRPr="00A024E1">
        <w:rPr>
          <w:rFonts w:cs="Arial"/>
          <w:szCs w:val="24"/>
        </w:rPr>
        <w:t xml:space="preserve">Objetivando evidenciar a eficiência, o modelo proposto considera cada unidade produtora e a denomina como </w:t>
      </w:r>
      <w:proofErr w:type="spellStart"/>
      <w:r w:rsidRPr="00A024E1">
        <w:rPr>
          <w:rFonts w:cs="Arial"/>
          <w:i/>
          <w:iCs/>
          <w:szCs w:val="24"/>
        </w:rPr>
        <w:t>Decision</w:t>
      </w:r>
      <w:proofErr w:type="spellEnd"/>
      <w:r w:rsidRPr="00A024E1">
        <w:rPr>
          <w:rFonts w:cs="Arial"/>
          <w:i/>
          <w:iCs/>
          <w:szCs w:val="24"/>
        </w:rPr>
        <w:t xml:space="preserve"> </w:t>
      </w:r>
      <w:proofErr w:type="spellStart"/>
      <w:r w:rsidRPr="00A024E1">
        <w:rPr>
          <w:rFonts w:cs="Arial"/>
          <w:i/>
          <w:iCs/>
          <w:szCs w:val="24"/>
        </w:rPr>
        <w:t>Making</w:t>
      </w:r>
      <w:proofErr w:type="spellEnd"/>
      <w:r w:rsidRPr="00A024E1">
        <w:rPr>
          <w:rFonts w:cs="Arial"/>
          <w:i/>
          <w:iCs/>
          <w:szCs w:val="24"/>
        </w:rPr>
        <w:t xml:space="preserve"> Unit </w:t>
      </w:r>
      <w:r w:rsidRPr="00A024E1">
        <w:rPr>
          <w:rFonts w:cs="Arial"/>
          <w:szCs w:val="24"/>
        </w:rPr>
        <w:t>(</w:t>
      </w:r>
      <w:proofErr w:type="spellStart"/>
      <w:r w:rsidRPr="00A024E1">
        <w:rPr>
          <w:rFonts w:cs="Arial"/>
          <w:szCs w:val="24"/>
        </w:rPr>
        <w:t>DMU</w:t>
      </w:r>
      <w:proofErr w:type="spellEnd"/>
      <w:r w:rsidRPr="00A024E1">
        <w:rPr>
          <w:rFonts w:cs="Arial"/>
          <w:szCs w:val="24"/>
        </w:rPr>
        <w:t xml:space="preserve">), unidade de tomadora de decisão que fornece dados sobre como atingir a eficiência. </w:t>
      </w:r>
    </w:p>
    <w:p w:rsidR="00A024E1" w:rsidRPr="00A024E1" w:rsidRDefault="00A024E1" w:rsidP="00A024E1">
      <w:pPr>
        <w:autoSpaceDE w:val="0"/>
        <w:autoSpaceDN w:val="0"/>
        <w:adjustRightInd w:val="0"/>
        <w:rPr>
          <w:rFonts w:cs="Arial"/>
          <w:iCs/>
          <w:szCs w:val="24"/>
        </w:rPr>
      </w:pPr>
      <w:r w:rsidRPr="00A024E1">
        <w:rPr>
          <w:rFonts w:cs="Arial"/>
          <w:iCs/>
          <w:szCs w:val="24"/>
        </w:rPr>
        <w:t xml:space="preserve"> </w:t>
      </w:r>
      <w:r>
        <w:rPr>
          <w:rFonts w:cs="Arial"/>
          <w:iCs/>
          <w:szCs w:val="24"/>
        </w:rPr>
        <w:tab/>
      </w:r>
      <w:r w:rsidRPr="00A024E1">
        <w:rPr>
          <w:rFonts w:cs="Arial"/>
          <w:szCs w:val="24"/>
        </w:rPr>
        <w:t xml:space="preserve">O método </w:t>
      </w:r>
      <w:r w:rsidRPr="00A024E1">
        <w:rPr>
          <w:rFonts w:cs="Arial"/>
          <w:iCs/>
          <w:szCs w:val="24"/>
        </w:rPr>
        <w:t xml:space="preserve">emprega técnicas matemáticas de programação linear para medir modelos de fronteiras e obter </w:t>
      </w:r>
      <w:r w:rsidRPr="00A024E1">
        <w:rPr>
          <w:rFonts w:cs="Arial"/>
          <w:i/>
          <w:iCs/>
          <w:szCs w:val="24"/>
        </w:rPr>
        <w:t xml:space="preserve">scores </w:t>
      </w:r>
      <w:r w:rsidRPr="00A024E1">
        <w:rPr>
          <w:rFonts w:cs="Arial"/>
          <w:iCs/>
          <w:szCs w:val="24"/>
        </w:rPr>
        <w:t xml:space="preserve">de eficiência produtiva das unidades produtivas. Essas fronteiras podem ser definidas através de dois modelos: o modelo de Retornos Constantes de Escala – </w:t>
      </w:r>
      <w:r w:rsidRPr="00A024E1">
        <w:rPr>
          <w:rFonts w:cs="Arial"/>
          <w:i/>
          <w:iCs/>
          <w:szCs w:val="24"/>
        </w:rPr>
        <w:t xml:space="preserve">Constant </w:t>
      </w:r>
      <w:proofErr w:type="spellStart"/>
      <w:r w:rsidRPr="00A024E1">
        <w:rPr>
          <w:rFonts w:cs="Arial"/>
          <w:i/>
          <w:iCs/>
          <w:szCs w:val="24"/>
        </w:rPr>
        <w:t>Return</w:t>
      </w:r>
      <w:proofErr w:type="spellEnd"/>
      <w:r w:rsidRPr="00A024E1">
        <w:rPr>
          <w:rFonts w:cs="Arial"/>
          <w:i/>
          <w:iCs/>
          <w:szCs w:val="24"/>
        </w:rPr>
        <w:t xml:space="preserve"> </w:t>
      </w:r>
      <w:proofErr w:type="spellStart"/>
      <w:proofErr w:type="gramStart"/>
      <w:r w:rsidRPr="00A024E1">
        <w:rPr>
          <w:rFonts w:cs="Arial"/>
          <w:i/>
          <w:iCs/>
          <w:szCs w:val="24"/>
        </w:rPr>
        <w:t>StoScale</w:t>
      </w:r>
      <w:proofErr w:type="spellEnd"/>
      <w:proofErr w:type="gramEnd"/>
      <w:r w:rsidRPr="00A024E1">
        <w:rPr>
          <w:rFonts w:cs="Arial"/>
          <w:i/>
          <w:iCs/>
          <w:szCs w:val="24"/>
        </w:rPr>
        <w:t xml:space="preserve"> (</w:t>
      </w:r>
      <w:proofErr w:type="spellStart"/>
      <w:r w:rsidRPr="00A024E1">
        <w:rPr>
          <w:rFonts w:cs="Arial"/>
          <w:i/>
          <w:iCs/>
          <w:szCs w:val="24"/>
        </w:rPr>
        <w:t>CRS</w:t>
      </w:r>
      <w:proofErr w:type="spellEnd"/>
      <w:r w:rsidRPr="00A024E1">
        <w:rPr>
          <w:rFonts w:cs="Arial"/>
          <w:i/>
          <w:iCs/>
          <w:szCs w:val="24"/>
        </w:rPr>
        <w:t xml:space="preserve">) </w:t>
      </w:r>
      <w:r w:rsidRPr="00A024E1">
        <w:rPr>
          <w:rFonts w:cs="Arial"/>
          <w:iCs/>
          <w:szCs w:val="24"/>
        </w:rPr>
        <w:t xml:space="preserve">e o modelo de Retornos Variáveis de Escala – </w:t>
      </w:r>
      <w:proofErr w:type="spellStart"/>
      <w:r w:rsidRPr="00A024E1">
        <w:rPr>
          <w:rFonts w:cs="Arial"/>
          <w:i/>
          <w:iCs/>
          <w:szCs w:val="24"/>
        </w:rPr>
        <w:t>Variable</w:t>
      </w:r>
      <w:proofErr w:type="spellEnd"/>
      <w:r w:rsidRPr="00A024E1">
        <w:rPr>
          <w:rFonts w:cs="Arial"/>
          <w:i/>
          <w:iCs/>
          <w:szCs w:val="24"/>
        </w:rPr>
        <w:t xml:space="preserve"> </w:t>
      </w:r>
      <w:proofErr w:type="spellStart"/>
      <w:r w:rsidRPr="00A024E1">
        <w:rPr>
          <w:rFonts w:cs="Arial"/>
          <w:i/>
          <w:iCs/>
          <w:szCs w:val="24"/>
        </w:rPr>
        <w:t>Returns</w:t>
      </w:r>
      <w:proofErr w:type="spellEnd"/>
      <w:r w:rsidRPr="00A024E1">
        <w:rPr>
          <w:rFonts w:cs="Arial"/>
          <w:i/>
          <w:iCs/>
          <w:szCs w:val="24"/>
        </w:rPr>
        <w:t xml:space="preserve"> </w:t>
      </w:r>
      <w:proofErr w:type="spellStart"/>
      <w:r w:rsidRPr="00A024E1">
        <w:rPr>
          <w:rFonts w:cs="Arial"/>
          <w:i/>
          <w:iCs/>
          <w:szCs w:val="24"/>
        </w:rPr>
        <w:t>to</w:t>
      </w:r>
      <w:proofErr w:type="spellEnd"/>
      <w:r w:rsidRPr="00A024E1">
        <w:rPr>
          <w:rFonts w:cs="Arial"/>
          <w:i/>
          <w:iCs/>
          <w:szCs w:val="24"/>
        </w:rPr>
        <w:t xml:space="preserve"> </w:t>
      </w:r>
      <w:proofErr w:type="spellStart"/>
      <w:r w:rsidRPr="00A024E1">
        <w:rPr>
          <w:rFonts w:cs="Arial"/>
          <w:i/>
          <w:iCs/>
          <w:szCs w:val="24"/>
        </w:rPr>
        <w:t>Scale</w:t>
      </w:r>
      <w:proofErr w:type="spellEnd"/>
      <w:r w:rsidRPr="00A024E1">
        <w:rPr>
          <w:rFonts w:cs="Arial"/>
          <w:iCs/>
          <w:szCs w:val="24"/>
        </w:rPr>
        <w:t xml:space="preserve"> (VRS).</w:t>
      </w:r>
    </w:p>
    <w:p w:rsidR="00A024E1" w:rsidRPr="00A024E1" w:rsidRDefault="00A024E1" w:rsidP="00A024E1">
      <w:pPr>
        <w:autoSpaceDE w:val="0"/>
        <w:autoSpaceDN w:val="0"/>
        <w:adjustRightInd w:val="0"/>
        <w:rPr>
          <w:rFonts w:cs="Arial"/>
          <w:iCs/>
          <w:szCs w:val="24"/>
        </w:rPr>
      </w:pPr>
      <w:r>
        <w:rPr>
          <w:rFonts w:cs="Arial"/>
          <w:iCs/>
          <w:szCs w:val="24"/>
        </w:rPr>
        <w:tab/>
      </w:r>
      <w:r w:rsidRPr="00A024E1">
        <w:rPr>
          <w:rFonts w:cs="Arial"/>
          <w:iCs/>
          <w:szCs w:val="24"/>
        </w:rPr>
        <w:t xml:space="preserve">A presente pesquisa pretende medir a eficiência dos gastos públicos, maximizando suas variáveis de produto. Nesse contexto, o melhor método a ser utilizado é o VRS, o qual utiliza retornos variáveis de escala, permitindo que as </w:t>
      </w:r>
      <w:proofErr w:type="spellStart"/>
      <w:r w:rsidRPr="00A024E1">
        <w:rPr>
          <w:rFonts w:cs="Arial"/>
          <w:i/>
          <w:iCs/>
          <w:szCs w:val="24"/>
        </w:rPr>
        <w:t>DMU’s</w:t>
      </w:r>
      <w:proofErr w:type="spellEnd"/>
      <w:r w:rsidRPr="00A024E1">
        <w:rPr>
          <w:rFonts w:cs="Arial"/>
          <w:i/>
          <w:iCs/>
          <w:szCs w:val="24"/>
        </w:rPr>
        <w:t xml:space="preserve"> </w:t>
      </w:r>
      <w:r w:rsidRPr="00A024E1">
        <w:rPr>
          <w:rFonts w:cs="Arial"/>
          <w:iCs/>
          <w:szCs w:val="24"/>
        </w:rPr>
        <w:t>que</w:t>
      </w:r>
      <w:r w:rsidRPr="00A024E1">
        <w:rPr>
          <w:rFonts w:cs="Arial"/>
          <w:i/>
          <w:iCs/>
          <w:szCs w:val="24"/>
        </w:rPr>
        <w:t xml:space="preserve"> </w:t>
      </w:r>
      <w:r w:rsidRPr="00A024E1">
        <w:rPr>
          <w:rFonts w:cs="Arial"/>
          <w:iCs/>
          <w:szCs w:val="24"/>
        </w:rPr>
        <w:t xml:space="preserve">operam em um nível de insumos baixo tenham retornos crescentes de escala e as que operam em um nível de insumos alto tenham retornos decrescentes de escala. Além disso, no modelo VRS é possível adicionar variáveis, ao passo que no modelo </w:t>
      </w:r>
      <w:proofErr w:type="spellStart"/>
      <w:r w:rsidRPr="00A024E1">
        <w:rPr>
          <w:rFonts w:cs="Arial"/>
          <w:iCs/>
          <w:szCs w:val="24"/>
        </w:rPr>
        <w:t>CRS</w:t>
      </w:r>
      <w:proofErr w:type="spellEnd"/>
      <w:r w:rsidRPr="00A024E1">
        <w:rPr>
          <w:rFonts w:cs="Arial"/>
          <w:iCs/>
          <w:szCs w:val="24"/>
        </w:rPr>
        <w:t xml:space="preserve"> não. Dessa maneira, o modelo VRS é dado por:</w:t>
      </w:r>
    </w:p>
    <w:p w:rsidR="00A024E1" w:rsidRDefault="00A024E1" w:rsidP="00A024E1">
      <w:pPr>
        <w:autoSpaceDE w:val="0"/>
        <w:autoSpaceDN w:val="0"/>
        <w:adjustRightInd w:val="0"/>
        <w:ind w:left="709"/>
        <w:rPr>
          <w:rFonts w:cs="Arial"/>
          <w:iCs/>
          <w:szCs w:val="24"/>
        </w:rPr>
      </w:pPr>
      <w:r w:rsidRPr="00A024E1">
        <w:rPr>
          <w:rFonts w:cs="Arial"/>
          <w:iCs/>
          <w:noProof/>
          <w:szCs w:val="24"/>
        </w:rPr>
        <w:drawing>
          <wp:anchor distT="0" distB="0" distL="114300" distR="114300" simplePos="0" relativeHeight="251659264" behindDoc="0" locked="0" layoutInCell="1" allowOverlap="1" wp14:anchorId="08A6E661" wp14:editId="05E0D848">
            <wp:simplePos x="0" y="0"/>
            <wp:positionH relativeFrom="column">
              <wp:posOffset>1510665</wp:posOffset>
            </wp:positionH>
            <wp:positionV relativeFrom="paragraph">
              <wp:posOffset>42545</wp:posOffset>
            </wp:positionV>
            <wp:extent cx="2419350" cy="1943100"/>
            <wp:effectExtent l="0" t="0" r="0" b="0"/>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19350" cy="19431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A024E1">
        <w:rPr>
          <w:rFonts w:cs="Arial"/>
          <w:iCs/>
          <w:szCs w:val="24"/>
        </w:rPr>
        <w:br w:type="textWrapping" w:clear="all"/>
      </w:r>
    </w:p>
    <w:p w:rsidR="00A024E1" w:rsidRPr="00A024E1" w:rsidRDefault="00A024E1" w:rsidP="00A024E1">
      <w:pPr>
        <w:autoSpaceDE w:val="0"/>
        <w:autoSpaceDN w:val="0"/>
        <w:adjustRightInd w:val="0"/>
        <w:rPr>
          <w:rFonts w:cs="Arial"/>
          <w:iCs/>
          <w:szCs w:val="24"/>
        </w:rPr>
      </w:pPr>
      <w:r>
        <w:rPr>
          <w:rFonts w:cs="Arial"/>
          <w:iCs/>
          <w:szCs w:val="24"/>
        </w:rPr>
        <w:tab/>
      </w:r>
      <w:r w:rsidRPr="00A024E1">
        <w:rPr>
          <w:rFonts w:cs="Arial"/>
          <w:iCs/>
          <w:szCs w:val="24"/>
        </w:rPr>
        <w:t xml:space="preserve">Admite que </w:t>
      </w:r>
      <w:r w:rsidRPr="00A024E1">
        <w:rPr>
          <w:rFonts w:cs="Arial"/>
          <w:i/>
          <w:iCs/>
          <w:szCs w:val="24"/>
        </w:rPr>
        <w:t xml:space="preserve">n </w:t>
      </w:r>
      <w:proofErr w:type="spellStart"/>
      <w:r w:rsidRPr="00A024E1">
        <w:rPr>
          <w:rFonts w:cs="Arial"/>
          <w:i/>
          <w:iCs/>
          <w:szCs w:val="24"/>
        </w:rPr>
        <w:t>DMUs</w:t>
      </w:r>
      <w:proofErr w:type="spellEnd"/>
      <w:r w:rsidRPr="00A024E1">
        <w:rPr>
          <w:rFonts w:cs="Arial"/>
          <w:iCs/>
          <w:szCs w:val="24"/>
        </w:rPr>
        <w:t xml:space="preserve"> com </w:t>
      </w:r>
      <w:r w:rsidRPr="00A024E1">
        <w:rPr>
          <w:rFonts w:cs="Arial"/>
          <w:i/>
          <w:iCs/>
          <w:szCs w:val="24"/>
        </w:rPr>
        <w:t>s inputs</w:t>
      </w:r>
      <w:r w:rsidRPr="00A024E1">
        <w:rPr>
          <w:rFonts w:cs="Arial"/>
          <w:iCs/>
          <w:szCs w:val="24"/>
        </w:rPr>
        <w:t xml:space="preserve"> e </w:t>
      </w:r>
      <w:r w:rsidRPr="00A024E1">
        <w:rPr>
          <w:rFonts w:cs="Arial"/>
          <w:i/>
          <w:iCs/>
          <w:szCs w:val="24"/>
        </w:rPr>
        <w:t>m outputs</w:t>
      </w:r>
      <w:r w:rsidRPr="00A024E1">
        <w:rPr>
          <w:rFonts w:cs="Arial"/>
          <w:iCs/>
          <w:szCs w:val="24"/>
        </w:rPr>
        <w:t xml:space="preserve">, em que: é o escore de eficiência do </w:t>
      </w:r>
      <w:r w:rsidRPr="00A024E1">
        <w:rPr>
          <w:rFonts w:cs="Arial"/>
          <w:i/>
          <w:iCs/>
          <w:szCs w:val="24"/>
        </w:rPr>
        <w:t>o-</w:t>
      </w:r>
      <w:proofErr w:type="spellStart"/>
      <w:r w:rsidRPr="00A024E1">
        <w:rPr>
          <w:rFonts w:cs="Arial"/>
          <w:i/>
          <w:iCs/>
          <w:szCs w:val="24"/>
        </w:rPr>
        <w:t>ésimo</w:t>
      </w:r>
      <w:proofErr w:type="spellEnd"/>
      <w:r w:rsidRPr="00A024E1">
        <w:rPr>
          <w:rFonts w:cs="Arial"/>
          <w:iCs/>
          <w:szCs w:val="24"/>
        </w:rPr>
        <w:t xml:space="preserve"> estado, é o peso pelo </w:t>
      </w:r>
      <w:r w:rsidRPr="00A024E1">
        <w:rPr>
          <w:rFonts w:cs="Arial"/>
          <w:i/>
          <w:iCs/>
          <w:szCs w:val="24"/>
        </w:rPr>
        <w:t>r-</w:t>
      </w:r>
      <w:proofErr w:type="spellStart"/>
      <w:r w:rsidRPr="00A024E1">
        <w:rPr>
          <w:rFonts w:cs="Arial"/>
          <w:i/>
          <w:iCs/>
          <w:szCs w:val="24"/>
        </w:rPr>
        <w:t>ésimo</w:t>
      </w:r>
      <w:proofErr w:type="spellEnd"/>
      <w:r w:rsidRPr="00A024E1">
        <w:rPr>
          <w:rFonts w:cs="Arial"/>
          <w:i/>
          <w:iCs/>
          <w:szCs w:val="24"/>
        </w:rPr>
        <w:t xml:space="preserve"> input</w:t>
      </w:r>
      <w:r w:rsidRPr="00A024E1">
        <w:rPr>
          <w:rFonts w:cs="Arial"/>
          <w:iCs/>
          <w:szCs w:val="24"/>
        </w:rPr>
        <w:t xml:space="preserve"> do </w:t>
      </w:r>
      <w:r w:rsidRPr="00A024E1">
        <w:rPr>
          <w:rFonts w:cs="Arial"/>
          <w:i/>
          <w:iCs/>
          <w:szCs w:val="24"/>
        </w:rPr>
        <w:t>o-</w:t>
      </w:r>
      <w:proofErr w:type="spellStart"/>
      <w:r w:rsidRPr="00A024E1">
        <w:rPr>
          <w:rFonts w:cs="Arial"/>
          <w:i/>
          <w:iCs/>
          <w:szCs w:val="24"/>
        </w:rPr>
        <w:t>ésimo</w:t>
      </w:r>
      <w:proofErr w:type="spellEnd"/>
      <w:r w:rsidRPr="00A024E1">
        <w:rPr>
          <w:rFonts w:cs="Arial"/>
          <w:iCs/>
          <w:szCs w:val="24"/>
        </w:rPr>
        <w:t xml:space="preserve"> estado; é a quantidade r de </w:t>
      </w:r>
      <w:r w:rsidRPr="00A024E1">
        <w:rPr>
          <w:rFonts w:cs="Arial"/>
          <w:i/>
          <w:iCs/>
          <w:szCs w:val="24"/>
        </w:rPr>
        <w:t>input</w:t>
      </w:r>
      <w:r w:rsidRPr="00A024E1">
        <w:rPr>
          <w:rFonts w:cs="Arial"/>
          <w:iCs/>
          <w:szCs w:val="24"/>
        </w:rPr>
        <w:t xml:space="preserve"> utilizado pelo </w:t>
      </w:r>
      <w:r w:rsidRPr="00A024E1">
        <w:rPr>
          <w:rFonts w:cs="Arial"/>
          <w:i/>
          <w:iCs/>
          <w:szCs w:val="24"/>
        </w:rPr>
        <w:t>o-</w:t>
      </w:r>
      <w:proofErr w:type="spellStart"/>
      <w:r w:rsidRPr="00A024E1">
        <w:rPr>
          <w:rFonts w:cs="Arial"/>
          <w:i/>
          <w:iCs/>
          <w:szCs w:val="24"/>
        </w:rPr>
        <w:t>ésimo</w:t>
      </w:r>
      <w:proofErr w:type="spellEnd"/>
      <w:r w:rsidRPr="00A024E1">
        <w:rPr>
          <w:rFonts w:cs="Arial"/>
          <w:iCs/>
          <w:szCs w:val="24"/>
        </w:rPr>
        <w:t xml:space="preserve"> estado; é o peso dado ao </w:t>
      </w:r>
      <w:r w:rsidRPr="00A024E1">
        <w:rPr>
          <w:rFonts w:cs="Arial"/>
          <w:i/>
          <w:iCs/>
          <w:szCs w:val="24"/>
        </w:rPr>
        <w:t xml:space="preserve">i output </w:t>
      </w:r>
      <w:r w:rsidRPr="00A024E1">
        <w:rPr>
          <w:rFonts w:cs="Arial"/>
          <w:iCs/>
          <w:szCs w:val="24"/>
        </w:rPr>
        <w:t>pelo</w:t>
      </w:r>
      <w:r w:rsidRPr="00A024E1">
        <w:rPr>
          <w:rFonts w:cs="Arial"/>
          <w:i/>
          <w:iCs/>
          <w:szCs w:val="24"/>
        </w:rPr>
        <w:t xml:space="preserve"> o-</w:t>
      </w:r>
      <w:proofErr w:type="spellStart"/>
      <w:r w:rsidRPr="00A024E1">
        <w:rPr>
          <w:rFonts w:cs="Arial"/>
          <w:i/>
          <w:iCs/>
          <w:szCs w:val="24"/>
        </w:rPr>
        <w:t>ésimo</w:t>
      </w:r>
      <w:proofErr w:type="spellEnd"/>
      <w:r w:rsidRPr="00A024E1">
        <w:rPr>
          <w:rFonts w:cs="Arial"/>
          <w:iCs/>
          <w:szCs w:val="24"/>
        </w:rPr>
        <w:t xml:space="preserve"> estado; é a quantidade de </w:t>
      </w:r>
      <w:r w:rsidRPr="00A024E1">
        <w:rPr>
          <w:rFonts w:cs="Arial"/>
          <w:i/>
          <w:iCs/>
          <w:szCs w:val="24"/>
        </w:rPr>
        <w:t xml:space="preserve">i output </w:t>
      </w:r>
      <w:r w:rsidRPr="00A024E1">
        <w:rPr>
          <w:rFonts w:cs="Arial"/>
          <w:iCs/>
          <w:szCs w:val="24"/>
        </w:rPr>
        <w:t xml:space="preserve">produzido pelo </w:t>
      </w:r>
      <w:r w:rsidRPr="00A024E1">
        <w:rPr>
          <w:rFonts w:cs="Arial"/>
          <w:i/>
          <w:iCs/>
          <w:szCs w:val="24"/>
        </w:rPr>
        <w:t>o-</w:t>
      </w:r>
      <w:proofErr w:type="spellStart"/>
      <w:r w:rsidRPr="00A024E1">
        <w:rPr>
          <w:rFonts w:cs="Arial"/>
          <w:i/>
          <w:iCs/>
          <w:szCs w:val="24"/>
        </w:rPr>
        <w:t>ésimo</w:t>
      </w:r>
      <w:proofErr w:type="spellEnd"/>
      <w:r w:rsidRPr="00A024E1">
        <w:rPr>
          <w:rFonts w:cs="Arial"/>
          <w:iCs/>
          <w:szCs w:val="24"/>
        </w:rPr>
        <w:t xml:space="preserve"> estado; é o </w:t>
      </w:r>
      <w:r w:rsidRPr="00A024E1">
        <w:rPr>
          <w:rFonts w:cs="Arial"/>
          <w:i/>
          <w:iCs/>
          <w:szCs w:val="24"/>
        </w:rPr>
        <w:t>i-</w:t>
      </w:r>
      <w:proofErr w:type="spellStart"/>
      <w:r w:rsidRPr="00A024E1">
        <w:rPr>
          <w:rFonts w:cs="Arial"/>
          <w:i/>
          <w:iCs/>
          <w:szCs w:val="24"/>
        </w:rPr>
        <w:t>ésimo</w:t>
      </w:r>
      <w:proofErr w:type="spellEnd"/>
      <w:r w:rsidRPr="00A024E1">
        <w:rPr>
          <w:rFonts w:cs="Arial"/>
          <w:i/>
          <w:iCs/>
          <w:szCs w:val="24"/>
        </w:rPr>
        <w:t xml:space="preserve"> input </w:t>
      </w:r>
      <w:r w:rsidRPr="00A024E1">
        <w:rPr>
          <w:rFonts w:cs="Arial"/>
          <w:iCs/>
          <w:szCs w:val="24"/>
        </w:rPr>
        <w:t>do</w:t>
      </w:r>
      <w:r w:rsidRPr="00A024E1">
        <w:rPr>
          <w:rFonts w:cs="Arial"/>
          <w:i/>
          <w:iCs/>
          <w:szCs w:val="24"/>
        </w:rPr>
        <w:t xml:space="preserve"> j-</w:t>
      </w:r>
      <w:proofErr w:type="spellStart"/>
      <w:r w:rsidRPr="00A024E1">
        <w:rPr>
          <w:rFonts w:cs="Arial"/>
          <w:i/>
          <w:iCs/>
          <w:szCs w:val="24"/>
        </w:rPr>
        <w:t>ésimo</w:t>
      </w:r>
      <w:proofErr w:type="spellEnd"/>
      <w:r w:rsidRPr="00A024E1">
        <w:rPr>
          <w:rFonts w:cs="Arial"/>
          <w:i/>
          <w:iCs/>
          <w:szCs w:val="24"/>
        </w:rPr>
        <w:t xml:space="preserve"> estado; é o r-</w:t>
      </w:r>
      <w:proofErr w:type="spellStart"/>
      <w:r w:rsidRPr="00A024E1">
        <w:rPr>
          <w:rFonts w:cs="Arial"/>
          <w:i/>
          <w:iCs/>
          <w:szCs w:val="24"/>
        </w:rPr>
        <w:t>ésimo</w:t>
      </w:r>
      <w:proofErr w:type="spellEnd"/>
      <w:r w:rsidRPr="00A024E1">
        <w:rPr>
          <w:rFonts w:cs="Arial"/>
          <w:i/>
          <w:iCs/>
          <w:szCs w:val="24"/>
        </w:rPr>
        <w:t xml:space="preserve"> output do j-</w:t>
      </w:r>
      <w:proofErr w:type="spellStart"/>
      <w:r w:rsidRPr="00A024E1">
        <w:rPr>
          <w:rFonts w:cs="Arial"/>
          <w:i/>
          <w:iCs/>
          <w:szCs w:val="24"/>
        </w:rPr>
        <w:t>ésimo</w:t>
      </w:r>
      <w:proofErr w:type="spellEnd"/>
      <w:r w:rsidRPr="00A024E1">
        <w:rPr>
          <w:rFonts w:cs="Arial"/>
          <w:i/>
          <w:iCs/>
          <w:szCs w:val="24"/>
        </w:rPr>
        <w:t xml:space="preserve"> estado. </w:t>
      </w:r>
      <w:r w:rsidRPr="00A024E1">
        <w:rPr>
          <w:rFonts w:cs="Arial"/>
          <w:iCs/>
          <w:szCs w:val="24"/>
        </w:rPr>
        <w:t xml:space="preserve">Para </w:t>
      </w:r>
      <w:proofErr w:type="gramStart"/>
      <w:r w:rsidRPr="00A024E1">
        <w:rPr>
          <w:rFonts w:cs="Arial"/>
          <w:iCs/>
          <w:szCs w:val="24"/>
        </w:rPr>
        <w:t xml:space="preserve">o </w:t>
      </w:r>
      <w:r w:rsidRPr="00A024E1">
        <w:rPr>
          <w:rFonts w:cs="Arial"/>
          <w:i/>
          <w:iCs/>
          <w:szCs w:val="24"/>
        </w:rPr>
        <w:t>o</w:t>
      </w:r>
      <w:proofErr w:type="gramEnd"/>
      <w:r w:rsidRPr="00A024E1">
        <w:rPr>
          <w:rFonts w:cs="Arial"/>
          <w:i/>
          <w:iCs/>
          <w:szCs w:val="24"/>
        </w:rPr>
        <w:t>-</w:t>
      </w:r>
      <w:proofErr w:type="spellStart"/>
      <w:r w:rsidRPr="00A024E1">
        <w:rPr>
          <w:rFonts w:cs="Arial"/>
          <w:i/>
          <w:iCs/>
          <w:szCs w:val="24"/>
        </w:rPr>
        <w:t>ésimo</w:t>
      </w:r>
      <w:proofErr w:type="spellEnd"/>
      <w:r w:rsidRPr="00A024E1">
        <w:rPr>
          <w:rFonts w:cs="Arial"/>
          <w:i/>
          <w:iCs/>
          <w:szCs w:val="24"/>
        </w:rPr>
        <w:t xml:space="preserve"> estado, </w:t>
      </w:r>
      <w:proofErr w:type="spellStart"/>
      <w:r w:rsidRPr="00A024E1">
        <w:rPr>
          <w:rFonts w:cs="Arial"/>
          <w:i/>
          <w:iCs/>
          <w:color w:val="FF0000"/>
          <w:szCs w:val="24"/>
        </w:rPr>
        <w:t>yr</w:t>
      </w:r>
      <w:proofErr w:type="spellEnd"/>
      <w:r w:rsidRPr="00A024E1">
        <w:rPr>
          <w:rFonts w:cs="Arial"/>
          <w:i/>
          <w:iCs/>
          <w:color w:val="FF0000"/>
          <w:szCs w:val="24"/>
        </w:rPr>
        <w:t xml:space="preserve"> </w:t>
      </w:r>
      <w:r w:rsidRPr="00A024E1">
        <w:rPr>
          <w:rFonts w:cs="Arial"/>
          <w:iCs/>
          <w:szCs w:val="24"/>
        </w:rPr>
        <w:t xml:space="preserve">representa o gasto estadual em segurança pública em reais correntes, e o </w:t>
      </w:r>
      <w:r w:rsidRPr="00A024E1">
        <w:rPr>
          <w:rFonts w:cs="Arial"/>
          <w:i/>
          <w:iCs/>
          <w:color w:val="FF0000"/>
          <w:szCs w:val="24"/>
        </w:rPr>
        <w:t>xi</w:t>
      </w:r>
      <w:r w:rsidRPr="00A024E1">
        <w:rPr>
          <w:rFonts w:cs="Arial"/>
          <w:iCs/>
          <w:szCs w:val="24"/>
        </w:rPr>
        <w:t xml:space="preserve"> representa os resultados dessa despesa, ou seja, o inverso das taxas em números </w:t>
      </w:r>
      <w:r w:rsidRPr="00A024E1">
        <w:rPr>
          <w:rFonts w:cs="Arial"/>
          <w:iCs/>
          <w:szCs w:val="24"/>
        </w:rPr>
        <w:lastRenderedPageBreak/>
        <w:t>absolutos de homicídio doloso, latrocínio, lesão corporal seguida de morte e estupro. A matriz y representa as informações sobre os recursos a matriz x representa os resultados em segurança pública dos estados estudados.</w:t>
      </w:r>
    </w:p>
    <w:p w:rsidR="00A024E1" w:rsidRPr="00A024E1" w:rsidRDefault="00A024E1" w:rsidP="00A024E1">
      <w:pPr>
        <w:pStyle w:val="Ttulo2"/>
      </w:pPr>
      <w:r w:rsidRPr="00A024E1">
        <w:t xml:space="preserve">3.3 O índice </w:t>
      </w:r>
      <w:proofErr w:type="spellStart"/>
      <w:r w:rsidRPr="00A024E1">
        <w:rPr>
          <w:i/>
        </w:rPr>
        <w:t>Malmquist</w:t>
      </w:r>
      <w:proofErr w:type="spellEnd"/>
    </w:p>
    <w:p w:rsidR="00A024E1" w:rsidRPr="00A024E1" w:rsidRDefault="00A024E1" w:rsidP="00A024E1">
      <w:pPr>
        <w:pStyle w:val="Default"/>
        <w:tabs>
          <w:tab w:val="left" w:pos="851"/>
        </w:tabs>
        <w:spacing w:line="360" w:lineRule="auto"/>
        <w:jc w:val="both"/>
        <w:rPr>
          <w:rFonts w:ascii="Roboto Lt" w:hAnsi="Roboto Lt" w:cs="Arial"/>
          <w:iCs/>
          <w:color w:val="auto"/>
          <w:lang w:eastAsia="zh-CN"/>
        </w:rPr>
      </w:pPr>
      <w:r>
        <w:rPr>
          <w:rFonts w:ascii="Roboto Lt" w:hAnsi="Roboto Lt" w:cs="Arial"/>
          <w:iCs/>
          <w:color w:val="auto"/>
          <w:lang w:eastAsia="zh-CN"/>
        </w:rPr>
        <w:tab/>
      </w:r>
      <w:r w:rsidRPr="00A024E1">
        <w:rPr>
          <w:rFonts w:ascii="Roboto Lt" w:hAnsi="Roboto Lt" w:cs="Arial"/>
          <w:iCs/>
          <w:color w:val="auto"/>
          <w:lang w:eastAsia="zh-CN"/>
        </w:rPr>
        <w:t xml:space="preserve">Segundo Almeida (2010) o objetivo do índice </w:t>
      </w:r>
      <w:proofErr w:type="spellStart"/>
      <w:r w:rsidRPr="00A024E1">
        <w:rPr>
          <w:rFonts w:ascii="Roboto Lt" w:hAnsi="Roboto Lt" w:cs="Arial"/>
          <w:i/>
          <w:iCs/>
          <w:color w:val="auto"/>
          <w:lang w:eastAsia="zh-CN"/>
        </w:rPr>
        <w:t>Malmquist</w:t>
      </w:r>
      <w:proofErr w:type="spellEnd"/>
      <w:r w:rsidRPr="00A024E1">
        <w:rPr>
          <w:rFonts w:ascii="Roboto Lt" w:hAnsi="Roboto Lt" w:cs="Arial"/>
          <w:iCs/>
          <w:color w:val="auto"/>
          <w:lang w:eastAsia="zh-CN"/>
        </w:rPr>
        <w:t xml:space="preserve"> é comparar períodos adjacentes usando os dados de </w:t>
      </w:r>
      <w:r w:rsidRPr="00A024E1">
        <w:rPr>
          <w:rFonts w:ascii="Roboto Lt" w:hAnsi="Roboto Lt" w:cs="Arial"/>
          <w:i/>
          <w:iCs/>
          <w:color w:val="auto"/>
          <w:lang w:eastAsia="zh-CN"/>
        </w:rPr>
        <w:t>inputs</w:t>
      </w:r>
      <w:r w:rsidRPr="00A024E1">
        <w:rPr>
          <w:rFonts w:ascii="Roboto Lt" w:hAnsi="Roboto Lt" w:cs="Arial"/>
          <w:iCs/>
          <w:color w:val="auto"/>
          <w:lang w:eastAsia="zh-CN"/>
        </w:rPr>
        <w:t xml:space="preserve"> e </w:t>
      </w:r>
      <w:r w:rsidRPr="00A024E1">
        <w:rPr>
          <w:rFonts w:ascii="Roboto Lt" w:hAnsi="Roboto Lt" w:cs="Arial"/>
          <w:i/>
          <w:iCs/>
          <w:color w:val="auto"/>
          <w:lang w:eastAsia="zh-CN"/>
        </w:rPr>
        <w:t>outputs</w:t>
      </w:r>
      <w:r w:rsidRPr="00A024E1">
        <w:rPr>
          <w:rFonts w:ascii="Roboto Lt" w:hAnsi="Roboto Lt" w:cs="Arial"/>
          <w:iCs/>
          <w:color w:val="auto"/>
          <w:lang w:eastAsia="zh-CN"/>
        </w:rPr>
        <w:t xml:space="preserve"> de um período. A ferramenta é utilizada para medir a mudança de produtividade das </w:t>
      </w:r>
      <w:proofErr w:type="spellStart"/>
      <w:r w:rsidRPr="00A024E1">
        <w:rPr>
          <w:rFonts w:ascii="Roboto Lt" w:hAnsi="Roboto Lt" w:cs="Arial"/>
          <w:iCs/>
          <w:color w:val="auto"/>
          <w:lang w:eastAsia="zh-CN"/>
        </w:rPr>
        <w:t>DMUs</w:t>
      </w:r>
      <w:proofErr w:type="spellEnd"/>
      <w:r w:rsidRPr="00A024E1">
        <w:rPr>
          <w:rFonts w:ascii="Roboto Lt" w:hAnsi="Roboto Lt" w:cs="Arial"/>
          <w:iCs/>
          <w:color w:val="auto"/>
          <w:lang w:eastAsia="zh-CN"/>
        </w:rPr>
        <w:t xml:space="preserve">. É utilizada como um complemento ao modelo </w:t>
      </w:r>
      <w:proofErr w:type="spellStart"/>
      <w:r w:rsidRPr="00A024E1">
        <w:rPr>
          <w:rFonts w:ascii="Roboto Lt" w:hAnsi="Roboto Lt" w:cs="Arial"/>
          <w:iCs/>
          <w:color w:val="auto"/>
          <w:lang w:eastAsia="zh-CN"/>
        </w:rPr>
        <w:t>DEA</w:t>
      </w:r>
      <w:proofErr w:type="spellEnd"/>
      <w:r w:rsidRPr="00A024E1">
        <w:rPr>
          <w:rFonts w:ascii="Roboto Lt" w:hAnsi="Roboto Lt" w:cs="Arial"/>
          <w:iCs/>
          <w:color w:val="auto"/>
          <w:lang w:eastAsia="zh-CN"/>
        </w:rPr>
        <w:t>, o qual ignora a dinâmica de que as unidades podem ser eficientes para alguns períodos e ineficientes para outros.</w:t>
      </w:r>
    </w:p>
    <w:p w:rsidR="00A024E1" w:rsidRPr="00A024E1" w:rsidRDefault="00A024E1" w:rsidP="00A024E1">
      <w:pPr>
        <w:autoSpaceDE w:val="0"/>
        <w:autoSpaceDN w:val="0"/>
        <w:adjustRightInd w:val="0"/>
        <w:rPr>
          <w:rFonts w:cs="Arial"/>
          <w:iCs/>
          <w:szCs w:val="24"/>
        </w:rPr>
      </w:pPr>
      <w:r>
        <w:rPr>
          <w:rFonts w:cs="Arial"/>
          <w:iCs/>
          <w:szCs w:val="24"/>
        </w:rPr>
        <w:tab/>
      </w:r>
      <w:r w:rsidRPr="00A024E1">
        <w:rPr>
          <w:rFonts w:cs="Arial"/>
          <w:iCs/>
          <w:szCs w:val="24"/>
        </w:rPr>
        <w:t xml:space="preserve">De acordo com </w:t>
      </w:r>
      <w:proofErr w:type="spellStart"/>
      <w:r w:rsidRPr="00A024E1">
        <w:rPr>
          <w:rFonts w:cs="Arial"/>
          <w:i/>
          <w:iCs/>
          <w:szCs w:val="24"/>
        </w:rPr>
        <w:t>Malmquist</w:t>
      </w:r>
      <w:proofErr w:type="spellEnd"/>
      <w:r w:rsidRPr="00A024E1">
        <w:rPr>
          <w:rFonts w:cs="Arial"/>
          <w:iCs/>
          <w:szCs w:val="24"/>
        </w:rPr>
        <w:t xml:space="preserve"> (1953), o índice é definido pela razão entre funções distância, como está ilustrado na expressão:</w:t>
      </w:r>
    </w:p>
    <w:p w:rsidR="00A024E1" w:rsidRPr="00A024E1" w:rsidRDefault="00A024E1" w:rsidP="00A024E1">
      <w:pPr>
        <w:autoSpaceDE w:val="0"/>
        <w:autoSpaceDN w:val="0"/>
        <w:adjustRightInd w:val="0"/>
        <w:jc w:val="center"/>
        <w:rPr>
          <w:rFonts w:cs="Arial"/>
          <w:iCs/>
          <w:szCs w:val="24"/>
        </w:rPr>
      </w:pPr>
      <w:r w:rsidRPr="00A024E1">
        <w:rPr>
          <w:rFonts w:cs="Arial"/>
          <w:iCs/>
          <w:noProof/>
          <w:szCs w:val="24"/>
        </w:rPr>
        <w:drawing>
          <wp:inline distT="0" distB="0" distL="0" distR="0" wp14:anchorId="1DD5E8BF" wp14:editId="324EAFC5">
            <wp:extent cx="3685013" cy="485775"/>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712335" cy="489377"/>
                    </a:xfrm>
                    <a:prstGeom prst="rect">
                      <a:avLst/>
                    </a:prstGeom>
                    <a:noFill/>
                    <a:ln>
                      <a:noFill/>
                    </a:ln>
                  </pic:spPr>
                </pic:pic>
              </a:graphicData>
            </a:graphic>
          </wp:inline>
        </w:drawing>
      </w:r>
    </w:p>
    <w:p w:rsidR="00A024E1" w:rsidRPr="00A024E1" w:rsidRDefault="00A024E1" w:rsidP="00A024E1">
      <w:pPr>
        <w:autoSpaceDE w:val="0"/>
        <w:autoSpaceDN w:val="0"/>
        <w:adjustRightInd w:val="0"/>
        <w:rPr>
          <w:rFonts w:cs="Arial"/>
          <w:iCs/>
          <w:szCs w:val="24"/>
        </w:rPr>
      </w:pPr>
      <w:r>
        <w:rPr>
          <w:rFonts w:cs="Arial"/>
          <w:szCs w:val="24"/>
        </w:rPr>
        <w:tab/>
      </w:r>
      <w:r w:rsidRPr="00A024E1">
        <w:rPr>
          <w:rFonts w:cs="Arial"/>
          <w:szCs w:val="24"/>
        </w:rPr>
        <w:t>O</w:t>
      </w:r>
      <w:r w:rsidRPr="00A024E1">
        <w:rPr>
          <w:rFonts w:cs="Arial"/>
          <w:iCs/>
          <w:szCs w:val="24"/>
        </w:rPr>
        <w:t xml:space="preserve"> índice de </w:t>
      </w:r>
      <w:proofErr w:type="spellStart"/>
      <w:r w:rsidRPr="00A024E1">
        <w:rPr>
          <w:rFonts w:cs="Arial"/>
          <w:i/>
          <w:iCs/>
          <w:szCs w:val="24"/>
        </w:rPr>
        <w:t>Malmquist</w:t>
      </w:r>
      <w:proofErr w:type="spellEnd"/>
      <w:r w:rsidRPr="00A024E1">
        <w:rPr>
          <w:rFonts w:cs="Arial"/>
          <w:iCs/>
          <w:szCs w:val="24"/>
        </w:rPr>
        <w:t xml:space="preserve"> tem a capacidade de medir a mudança, em termos de produtividade total dos fatores, entre diferentes períodos e decompor esse índice em eficiência técnica e mudança de tecnologia.</w:t>
      </w:r>
    </w:p>
    <w:p w:rsidR="00A024E1" w:rsidRPr="00A024E1" w:rsidRDefault="00A024E1" w:rsidP="00A024E1">
      <w:pPr>
        <w:pStyle w:val="Default"/>
        <w:tabs>
          <w:tab w:val="left" w:pos="851"/>
        </w:tabs>
        <w:spacing w:line="360" w:lineRule="auto"/>
        <w:jc w:val="both"/>
        <w:rPr>
          <w:rFonts w:ascii="Roboto Lt" w:hAnsi="Roboto Lt" w:cs="Arial"/>
          <w:color w:val="auto"/>
          <w:lang w:eastAsia="zh-CN"/>
        </w:rPr>
      </w:pPr>
      <w:r>
        <w:rPr>
          <w:rFonts w:ascii="Roboto Lt" w:hAnsi="Roboto Lt" w:cs="Arial"/>
          <w:iCs/>
          <w:color w:val="auto"/>
          <w:lang w:eastAsia="zh-CN"/>
        </w:rPr>
        <w:tab/>
      </w:r>
      <w:r w:rsidRPr="00A024E1">
        <w:rPr>
          <w:rFonts w:ascii="Roboto Lt" w:hAnsi="Roboto Lt" w:cs="Arial"/>
          <w:iCs/>
          <w:color w:val="auto"/>
          <w:lang w:eastAsia="zh-CN"/>
        </w:rPr>
        <w:t>Em conformidade com Almeida (2010), o</w:t>
      </w:r>
      <w:r w:rsidRPr="00A024E1">
        <w:rPr>
          <w:rFonts w:ascii="Roboto Lt" w:hAnsi="Roboto Lt" w:cs="Arial"/>
          <w:color w:val="auto"/>
          <w:lang w:eastAsia="zh-CN"/>
        </w:rPr>
        <w:t xml:space="preserve">s resultados obtidos através do </w:t>
      </w:r>
      <w:r w:rsidRPr="00A024E1">
        <w:rPr>
          <w:rFonts w:ascii="Roboto Lt" w:hAnsi="Roboto Lt" w:cs="Arial"/>
          <w:iCs/>
        </w:rPr>
        <w:t xml:space="preserve">índice de </w:t>
      </w:r>
      <w:proofErr w:type="spellStart"/>
      <w:r w:rsidRPr="00A024E1">
        <w:rPr>
          <w:rFonts w:ascii="Roboto Lt" w:hAnsi="Roboto Lt" w:cs="Arial"/>
          <w:i/>
          <w:iCs/>
        </w:rPr>
        <w:t>Malmquist</w:t>
      </w:r>
      <w:proofErr w:type="spellEnd"/>
      <w:r w:rsidRPr="00A024E1">
        <w:rPr>
          <w:rFonts w:ascii="Roboto Lt" w:hAnsi="Roboto Lt" w:cs="Arial"/>
          <w:color w:val="auto"/>
          <w:lang w:eastAsia="zh-CN"/>
        </w:rPr>
        <w:t xml:space="preserve"> oferecem subsídio para a análise da produtividade, pois permitem identificar se houve a melhoria da eficiência total da </w:t>
      </w:r>
      <w:proofErr w:type="spellStart"/>
      <w:r w:rsidRPr="00A024E1">
        <w:rPr>
          <w:rFonts w:ascii="Roboto Lt" w:hAnsi="Roboto Lt" w:cs="Arial"/>
          <w:color w:val="auto"/>
          <w:lang w:eastAsia="zh-CN"/>
        </w:rPr>
        <w:t>DMU</w:t>
      </w:r>
      <w:proofErr w:type="spellEnd"/>
      <w:r w:rsidRPr="00A024E1">
        <w:rPr>
          <w:rFonts w:ascii="Roboto Lt" w:hAnsi="Roboto Lt" w:cs="Arial"/>
          <w:color w:val="auto"/>
          <w:lang w:eastAsia="zh-CN"/>
        </w:rPr>
        <w:t xml:space="preserve">. Nesse contexto, esse índice foi escolhido como o mais adequado para ser aplicado neste estudo. </w:t>
      </w:r>
    </w:p>
    <w:p w:rsidR="00A024E1" w:rsidRPr="00A024E1" w:rsidRDefault="00A024E1" w:rsidP="00A024E1">
      <w:pPr>
        <w:pStyle w:val="Default"/>
        <w:tabs>
          <w:tab w:val="left" w:pos="851"/>
        </w:tabs>
        <w:spacing w:line="360" w:lineRule="auto"/>
        <w:jc w:val="both"/>
        <w:rPr>
          <w:rFonts w:ascii="Roboto Lt" w:hAnsi="Roboto Lt" w:cs="Arial"/>
        </w:rPr>
      </w:pPr>
      <w:r>
        <w:rPr>
          <w:rFonts w:ascii="Roboto Lt" w:hAnsi="Roboto Lt" w:cs="Arial"/>
          <w:color w:val="auto"/>
          <w:lang w:eastAsia="zh-CN"/>
        </w:rPr>
        <w:tab/>
      </w:r>
      <w:r w:rsidRPr="00A024E1">
        <w:rPr>
          <w:rFonts w:ascii="Roboto Lt" w:hAnsi="Roboto Lt" w:cs="Arial"/>
          <w:color w:val="auto"/>
          <w:lang w:eastAsia="zh-CN"/>
        </w:rPr>
        <w:t xml:space="preserve">Os dados utilizados no presente trabalho foram compilados no Sistema </w:t>
      </w:r>
      <w:proofErr w:type="spellStart"/>
      <w:r w:rsidRPr="00A024E1">
        <w:rPr>
          <w:rFonts w:ascii="Roboto Lt" w:hAnsi="Roboto Lt" w:cs="Arial"/>
          <w:color w:val="auto"/>
          <w:lang w:eastAsia="zh-CN"/>
        </w:rPr>
        <w:t>DEA</w:t>
      </w:r>
      <w:proofErr w:type="spellEnd"/>
      <w:r w:rsidRPr="00A024E1">
        <w:rPr>
          <w:rFonts w:ascii="Roboto Lt" w:hAnsi="Roboto Lt" w:cs="Arial"/>
          <w:color w:val="auto"/>
          <w:lang w:eastAsia="zh-CN"/>
        </w:rPr>
        <w:t xml:space="preserve"> Professional Versão 2.1.</w:t>
      </w:r>
    </w:p>
    <w:p w:rsidR="00A024E1" w:rsidRPr="00A024E1" w:rsidRDefault="00A024E1" w:rsidP="00A024E1">
      <w:pPr>
        <w:pStyle w:val="Ttulo1"/>
      </w:pPr>
      <w:r w:rsidRPr="00A024E1">
        <w:t>4 RESULTADOS</w:t>
      </w:r>
    </w:p>
    <w:p w:rsidR="00A024E1" w:rsidRPr="00A024E1" w:rsidRDefault="00A024E1" w:rsidP="00A024E1">
      <w:pPr>
        <w:pStyle w:val="Ttulo2"/>
      </w:pPr>
      <w:proofErr w:type="gramStart"/>
      <w:r w:rsidRPr="00A024E1">
        <w:t>4.1 Análise</w:t>
      </w:r>
      <w:proofErr w:type="gramEnd"/>
      <w:r w:rsidRPr="00A024E1">
        <w:t xml:space="preserve"> descritiva</w:t>
      </w:r>
    </w:p>
    <w:p w:rsidR="00A024E1" w:rsidRPr="00A024E1" w:rsidRDefault="00A024E1" w:rsidP="00A024E1">
      <w:pPr>
        <w:autoSpaceDE w:val="0"/>
        <w:autoSpaceDN w:val="0"/>
        <w:adjustRightInd w:val="0"/>
        <w:rPr>
          <w:rFonts w:cs="Arial"/>
          <w:szCs w:val="24"/>
        </w:rPr>
      </w:pPr>
      <w:r>
        <w:rPr>
          <w:rFonts w:cs="Arial"/>
          <w:szCs w:val="24"/>
        </w:rPr>
        <w:tab/>
      </w:r>
      <w:r w:rsidRPr="00A024E1">
        <w:rPr>
          <w:rFonts w:cs="Arial"/>
          <w:szCs w:val="24"/>
        </w:rPr>
        <w:t xml:space="preserve">O presente trabalho buscou medir a eficiência dos estados da região Nordeste, nesse sentido, cada um dos 9 (nove) estados foi considerado uma </w:t>
      </w:r>
      <w:proofErr w:type="spellStart"/>
      <w:r w:rsidRPr="00A024E1">
        <w:rPr>
          <w:rFonts w:cs="Arial"/>
          <w:szCs w:val="24"/>
        </w:rPr>
        <w:t>DMU</w:t>
      </w:r>
      <w:proofErr w:type="spellEnd"/>
      <w:r w:rsidRPr="00A024E1">
        <w:rPr>
          <w:rFonts w:cs="Arial"/>
          <w:szCs w:val="24"/>
        </w:rPr>
        <w:t>.</w:t>
      </w:r>
    </w:p>
    <w:p w:rsidR="00A024E1" w:rsidRPr="00A024E1" w:rsidRDefault="00A024E1" w:rsidP="00A024E1">
      <w:pPr>
        <w:autoSpaceDE w:val="0"/>
        <w:autoSpaceDN w:val="0"/>
        <w:adjustRightInd w:val="0"/>
        <w:rPr>
          <w:rFonts w:cs="Arial"/>
          <w:iCs/>
          <w:szCs w:val="24"/>
        </w:rPr>
      </w:pPr>
      <w:r>
        <w:rPr>
          <w:rFonts w:cs="Arial"/>
          <w:szCs w:val="24"/>
        </w:rPr>
        <w:tab/>
      </w:r>
      <w:r w:rsidRPr="00A024E1">
        <w:rPr>
          <w:rFonts w:cs="Arial"/>
          <w:szCs w:val="24"/>
        </w:rPr>
        <w:t xml:space="preserve">Para realização da pesquisa foi necessário estabelecer o conjunto de variáveis: </w:t>
      </w:r>
      <w:r w:rsidRPr="00A024E1">
        <w:rPr>
          <w:rFonts w:cs="Arial"/>
          <w:i/>
          <w:szCs w:val="24"/>
        </w:rPr>
        <w:t>inputs</w:t>
      </w:r>
      <w:r w:rsidRPr="00A024E1">
        <w:rPr>
          <w:rFonts w:cs="Arial"/>
          <w:szCs w:val="24"/>
        </w:rPr>
        <w:t xml:space="preserve"> e </w:t>
      </w:r>
      <w:r w:rsidRPr="00A024E1">
        <w:rPr>
          <w:rFonts w:cs="Arial"/>
          <w:i/>
          <w:szCs w:val="24"/>
        </w:rPr>
        <w:t>outputs</w:t>
      </w:r>
      <w:r w:rsidRPr="00A024E1">
        <w:rPr>
          <w:rFonts w:cs="Arial"/>
          <w:szCs w:val="24"/>
        </w:rPr>
        <w:t xml:space="preserve">. O </w:t>
      </w:r>
      <w:r w:rsidRPr="00A024E1">
        <w:rPr>
          <w:rFonts w:cs="Arial"/>
          <w:i/>
          <w:szCs w:val="24"/>
        </w:rPr>
        <w:t>input</w:t>
      </w:r>
      <w:r w:rsidRPr="00A024E1">
        <w:rPr>
          <w:rFonts w:cs="Arial"/>
          <w:szCs w:val="24"/>
        </w:rPr>
        <w:t xml:space="preserve"> foi o gasto que cada estado destinou a área de </w:t>
      </w:r>
      <w:r w:rsidRPr="00A024E1">
        <w:rPr>
          <w:rFonts w:cs="Arial"/>
          <w:szCs w:val="24"/>
        </w:rPr>
        <w:lastRenderedPageBreak/>
        <w:t xml:space="preserve">segurança pública, em valores absolutos. Os </w:t>
      </w:r>
      <w:r w:rsidRPr="00A024E1">
        <w:rPr>
          <w:rFonts w:cs="Arial"/>
          <w:i/>
          <w:szCs w:val="24"/>
        </w:rPr>
        <w:t>outputs</w:t>
      </w:r>
      <w:r w:rsidRPr="00A024E1">
        <w:rPr>
          <w:rFonts w:cs="Arial"/>
          <w:szCs w:val="24"/>
        </w:rPr>
        <w:t xml:space="preserve"> foram os inversos das estatísticas das </w:t>
      </w:r>
      <w:r w:rsidRPr="00A024E1">
        <w:rPr>
          <w:rFonts w:cs="Arial"/>
          <w:iCs/>
          <w:szCs w:val="24"/>
        </w:rPr>
        <w:t>taxas de criminalidade, em números absolutos, de homicídio doloso, latrocínio, lesão corporal seguida de morte e estupro.</w:t>
      </w:r>
    </w:p>
    <w:p w:rsidR="00A024E1" w:rsidRPr="00A024E1" w:rsidRDefault="00A024E1" w:rsidP="00A024E1">
      <w:pPr>
        <w:autoSpaceDE w:val="0"/>
        <w:autoSpaceDN w:val="0"/>
        <w:adjustRightInd w:val="0"/>
        <w:rPr>
          <w:rFonts w:cs="Arial"/>
          <w:iCs/>
          <w:szCs w:val="24"/>
        </w:rPr>
      </w:pPr>
      <w:r>
        <w:rPr>
          <w:rFonts w:cs="Arial"/>
          <w:szCs w:val="24"/>
        </w:rPr>
        <w:tab/>
      </w:r>
      <w:r w:rsidRPr="00A024E1">
        <w:rPr>
          <w:rFonts w:cs="Arial"/>
          <w:szCs w:val="24"/>
        </w:rPr>
        <w:t>Para mensurar a eficiência foi utilizado o método não paramétrico de Análise Envoltória de Dados (</w:t>
      </w:r>
      <w:proofErr w:type="spellStart"/>
      <w:r w:rsidRPr="00A024E1">
        <w:rPr>
          <w:rFonts w:cs="Arial"/>
          <w:szCs w:val="24"/>
        </w:rPr>
        <w:t>DEA</w:t>
      </w:r>
      <w:proofErr w:type="spellEnd"/>
      <w:r w:rsidRPr="00A024E1">
        <w:rPr>
          <w:rFonts w:cs="Arial"/>
          <w:szCs w:val="24"/>
        </w:rPr>
        <w:t xml:space="preserve">), associado ao índice </w:t>
      </w:r>
      <w:proofErr w:type="spellStart"/>
      <w:r w:rsidRPr="00A024E1">
        <w:rPr>
          <w:rFonts w:cs="Arial"/>
          <w:i/>
          <w:szCs w:val="24"/>
        </w:rPr>
        <w:t>Malmquist</w:t>
      </w:r>
      <w:proofErr w:type="spellEnd"/>
      <w:r w:rsidRPr="00A024E1">
        <w:rPr>
          <w:rFonts w:cs="Arial"/>
          <w:szCs w:val="24"/>
        </w:rPr>
        <w:t>, com Retorno de Escalas Variáveis (VRS).</w:t>
      </w:r>
    </w:p>
    <w:p w:rsidR="00A024E1" w:rsidRPr="00A024E1" w:rsidRDefault="00A024E1" w:rsidP="00A024E1">
      <w:pPr>
        <w:autoSpaceDE w:val="0"/>
        <w:autoSpaceDN w:val="0"/>
        <w:adjustRightInd w:val="0"/>
        <w:rPr>
          <w:rFonts w:cs="Arial"/>
          <w:iCs/>
          <w:szCs w:val="24"/>
        </w:rPr>
      </w:pPr>
      <w:r>
        <w:rPr>
          <w:rFonts w:cs="Arial"/>
          <w:szCs w:val="24"/>
        </w:rPr>
        <w:tab/>
      </w:r>
      <w:r w:rsidRPr="00A024E1">
        <w:rPr>
          <w:rFonts w:cs="Arial"/>
          <w:szCs w:val="24"/>
        </w:rPr>
        <w:t xml:space="preserve">Os dados foram coletados dos Anuários de Segurança Pública de 2014 a 2017, onde foram divulgados os números relativos à segurança pública referente ao período de 2012 a 2016. </w:t>
      </w:r>
    </w:p>
    <w:p w:rsidR="00A024E1" w:rsidRPr="00A024E1" w:rsidRDefault="00A024E1" w:rsidP="00A024E1">
      <w:pPr>
        <w:pStyle w:val="Ttulo2"/>
      </w:pPr>
      <w:proofErr w:type="gramStart"/>
      <w:r w:rsidRPr="00A024E1">
        <w:t>4.2 Análise</w:t>
      </w:r>
      <w:proofErr w:type="gramEnd"/>
      <w:r w:rsidRPr="00A024E1">
        <w:t xml:space="preserve"> de Dados</w:t>
      </w:r>
    </w:p>
    <w:p w:rsidR="00A024E1" w:rsidRPr="00A024E1" w:rsidRDefault="00A024E1" w:rsidP="00A024E1">
      <w:pPr>
        <w:autoSpaceDE w:val="0"/>
        <w:autoSpaceDN w:val="0"/>
        <w:adjustRightInd w:val="0"/>
        <w:rPr>
          <w:rFonts w:cs="Arial"/>
          <w:iCs/>
          <w:szCs w:val="24"/>
        </w:rPr>
      </w:pPr>
      <w:r>
        <w:rPr>
          <w:rFonts w:cs="Arial"/>
          <w:szCs w:val="24"/>
        </w:rPr>
        <w:tab/>
      </w:r>
      <w:r w:rsidRPr="00A024E1">
        <w:rPr>
          <w:rFonts w:cs="Arial"/>
          <w:szCs w:val="24"/>
        </w:rPr>
        <w:t xml:space="preserve">Os resultados obtidos das estimações do modelo </w:t>
      </w:r>
      <w:proofErr w:type="spellStart"/>
      <w:r w:rsidRPr="00A024E1">
        <w:rPr>
          <w:rFonts w:cs="Arial"/>
          <w:szCs w:val="24"/>
        </w:rPr>
        <w:t>DEA</w:t>
      </w:r>
      <w:proofErr w:type="spellEnd"/>
      <w:r w:rsidRPr="00A024E1">
        <w:rPr>
          <w:rFonts w:cs="Arial"/>
          <w:szCs w:val="24"/>
        </w:rPr>
        <w:t>/</w:t>
      </w:r>
      <w:proofErr w:type="spellStart"/>
      <w:r w:rsidRPr="00A024E1">
        <w:rPr>
          <w:rFonts w:cs="Arial"/>
          <w:i/>
          <w:szCs w:val="24"/>
        </w:rPr>
        <w:t>Malmquist</w:t>
      </w:r>
      <w:proofErr w:type="spellEnd"/>
      <w:r w:rsidRPr="00A024E1">
        <w:rPr>
          <w:rFonts w:cs="Arial"/>
          <w:szCs w:val="24"/>
        </w:rPr>
        <w:t xml:space="preserve"> com retornos variáveis de escala, na mensuração da eficiência, utilizando como </w:t>
      </w:r>
      <w:r w:rsidRPr="00A024E1">
        <w:rPr>
          <w:rFonts w:cs="Arial"/>
          <w:i/>
          <w:szCs w:val="24"/>
        </w:rPr>
        <w:t>input</w:t>
      </w:r>
      <w:r w:rsidRPr="00A024E1">
        <w:rPr>
          <w:rFonts w:cs="Arial"/>
          <w:szCs w:val="24"/>
        </w:rPr>
        <w:t xml:space="preserve"> o gasto em segurança pública e como </w:t>
      </w:r>
      <w:r w:rsidRPr="00A024E1">
        <w:rPr>
          <w:rFonts w:cs="Arial"/>
          <w:i/>
          <w:szCs w:val="24"/>
        </w:rPr>
        <w:t>outputs</w:t>
      </w:r>
      <w:r w:rsidRPr="00A024E1">
        <w:rPr>
          <w:rFonts w:cs="Arial"/>
          <w:szCs w:val="24"/>
        </w:rPr>
        <w:t xml:space="preserve"> os inversos das estatísticas </w:t>
      </w:r>
      <w:r w:rsidRPr="00A024E1">
        <w:rPr>
          <w:rFonts w:cs="Arial"/>
          <w:iCs/>
          <w:szCs w:val="24"/>
        </w:rPr>
        <w:t>taxas de homicídio doloso, latrocínio, lesão corporal seguida de morte e estupro estão apresentados na Tabela 1.</w:t>
      </w:r>
    </w:p>
    <w:p w:rsidR="00A024E1" w:rsidRDefault="00A024E1" w:rsidP="00A024E1">
      <w:pPr>
        <w:pStyle w:val="Legenda"/>
        <w:keepNext/>
        <w:spacing w:after="0"/>
        <w:jc w:val="center"/>
        <w:rPr>
          <w:rFonts w:ascii="Roboto Lt" w:hAnsi="Roboto Lt" w:cs="Arial"/>
          <w:i w:val="0"/>
          <w:color w:val="auto"/>
          <w:sz w:val="22"/>
          <w:szCs w:val="22"/>
        </w:rPr>
      </w:pPr>
      <w:r w:rsidRPr="00A024E1">
        <w:rPr>
          <w:rFonts w:ascii="Roboto Lt" w:hAnsi="Roboto Lt" w:cs="Arial"/>
          <w:b/>
          <w:i w:val="0"/>
          <w:color w:val="auto"/>
          <w:sz w:val="22"/>
          <w:szCs w:val="22"/>
        </w:rPr>
        <w:t>Tabela 1</w:t>
      </w:r>
      <w:r w:rsidRPr="00A024E1">
        <w:rPr>
          <w:rFonts w:ascii="Roboto Lt" w:hAnsi="Roboto Lt" w:cs="Arial"/>
          <w:i w:val="0"/>
          <w:color w:val="auto"/>
          <w:sz w:val="22"/>
          <w:szCs w:val="22"/>
        </w:rPr>
        <w:t xml:space="preserve"> - Estimações das eficiências na alocação dos recursos públicos em segurança dos estados do nordeste no período de 2012 a 2016.</w:t>
      </w:r>
    </w:p>
    <w:p w:rsidR="00A024E1" w:rsidRPr="00A024E1" w:rsidRDefault="00A024E1" w:rsidP="00A024E1">
      <w:pPr>
        <w:rPr>
          <w:sz w:val="14"/>
          <w:lang w:eastAsia="en-US"/>
        </w:rPr>
      </w:pPr>
    </w:p>
    <w:tbl>
      <w:tblPr>
        <w:tblW w:w="2500" w:type="pct"/>
        <w:jc w:val="center"/>
        <w:tblCellMar>
          <w:left w:w="70" w:type="dxa"/>
          <w:right w:w="70" w:type="dxa"/>
        </w:tblCellMar>
        <w:tblLook w:val="04A0" w:firstRow="1" w:lastRow="0" w:firstColumn="1" w:lastColumn="0" w:noHBand="0" w:noVBand="1"/>
      </w:tblPr>
      <w:tblGrid>
        <w:gridCol w:w="1923"/>
        <w:gridCol w:w="622"/>
        <w:gridCol w:w="622"/>
        <w:gridCol w:w="622"/>
        <w:gridCol w:w="622"/>
        <w:gridCol w:w="622"/>
        <w:gridCol w:w="622"/>
      </w:tblGrid>
      <w:tr w:rsidR="00A024E1" w:rsidRPr="00A024E1" w:rsidTr="00534787">
        <w:trPr>
          <w:trHeight w:val="379"/>
          <w:jc w:val="center"/>
        </w:trPr>
        <w:tc>
          <w:tcPr>
            <w:tcW w:w="5000" w:type="pct"/>
            <w:gridSpan w:val="7"/>
            <w:tcBorders>
              <w:top w:val="single" w:sz="8" w:space="0" w:color="auto"/>
              <w:left w:val="single" w:sz="8" w:space="0" w:color="auto"/>
              <w:bottom w:val="nil"/>
              <w:right w:val="single" w:sz="8" w:space="0" w:color="000000"/>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Estimações de eficiência</w:t>
            </w:r>
          </w:p>
        </w:tc>
      </w:tr>
      <w:tr w:rsidR="00A024E1" w:rsidRPr="00A024E1" w:rsidTr="00534787">
        <w:trPr>
          <w:trHeight w:val="379"/>
          <w:jc w:val="center"/>
        </w:trPr>
        <w:tc>
          <w:tcPr>
            <w:tcW w:w="1716" w:type="pct"/>
            <w:tcBorders>
              <w:top w:val="nil"/>
              <w:left w:val="single" w:sz="8" w:space="0" w:color="auto"/>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Estado</w:t>
            </w:r>
          </w:p>
        </w:tc>
        <w:tc>
          <w:tcPr>
            <w:tcW w:w="555" w:type="pct"/>
            <w:tcBorders>
              <w:top w:val="nil"/>
              <w:left w:val="nil"/>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Geral</w:t>
            </w:r>
          </w:p>
        </w:tc>
        <w:tc>
          <w:tcPr>
            <w:tcW w:w="546" w:type="pct"/>
            <w:tcBorders>
              <w:top w:val="nil"/>
              <w:left w:val="nil"/>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2012</w:t>
            </w:r>
          </w:p>
        </w:tc>
        <w:tc>
          <w:tcPr>
            <w:tcW w:w="546" w:type="pct"/>
            <w:tcBorders>
              <w:top w:val="nil"/>
              <w:left w:val="nil"/>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2013</w:t>
            </w:r>
          </w:p>
        </w:tc>
        <w:tc>
          <w:tcPr>
            <w:tcW w:w="546" w:type="pct"/>
            <w:tcBorders>
              <w:top w:val="nil"/>
              <w:left w:val="nil"/>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2014</w:t>
            </w:r>
          </w:p>
        </w:tc>
        <w:tc>
          <w:tcPr>
            <w:tcW w:w="546" w:type="pct"/>
            <w:tcBorders>
              <w:top w:val="nil"/>
              <w:left w:val="nil"/>
              <w:bottom w:val="single" w:sz="8" w:space="0" w:color="auto"/>
              <w:right w:val="nil"/>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2015</w:t>
            </w:r>
          </w:p>
        </w:tc>
        <w:tc>
          <w:tcPr>
            <w:tcW w:w="546" w:type="pct"/>
            <w:tcBorders>
              <w:top w:val="nil"/>
              <w:left w:val="nil"/>
              <w:bottom w:val="single" w:sz="8" w:space="0" w:color="auto"/>
              <w:right w:val="single" w:sz="8" w:space="0" w:color="auto"/>
            </w:tcBorders>
            <w:shd w:val="clear" w:color="000000" w:fill="D9D9D9"/>
            <w:vAlign w:val="center"/>
            <w:hideMark/>
          </w:tcPr>
          <w:p w:rsidR="00A024E1" w:rsidRPr="00A024E1" w:rsidRDefault="00A024E1" w:rsidP="00A024E1">
            <w:pPr>
              <w:jc w:val="center"/>
              <w:rPr>
                <w:rFonts w:cs="Arial"/>
                <w:b/>
                <w:bCs/>
                <w:color w:val="000000"/>
                <w:sz w:val="20"/>
                <w:szCs w:val="20"/>
              </w:rPr>
            </w:pPr>
            <w:r w:rsidRPr="00A024E1">
              <w:rPr>
                <w:rFonts w:cs="Arial"/>
                <w:b/>
                <w:bCs/>
                <w:color w:val="000000"/>
                <w:sz w:val="20"/>
                <w:szCs w:val="20"/>
              </w:rPr>
              <w:t>2016</w:t>
            </w:r>
          </w:p>
        </w:tc>
      </w:tr>
      <w:tr w:rsidR="00A024E1" w:rsidRPr="00A024E1" w:rsidTr="00534787">
        <w:trPr>
          <w:trHeight w:val="380"/>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Alagoas</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0,807</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0,673</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0,727</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0,636</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1,000</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1,000</w:t>
            </w:r>
          </w:p>
        </w:tc>
      </w:tr>
      <w:tr w:rsidR="00A024E1" w:rsidRPr="00A024E1" w:rsidTr="00534787">
        <w:trPr>
          <w:trHeight w:val="379"/>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Bahia</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0,166</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0,131</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0,149</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0,153</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0,227</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0,168</w:t>
            </w:r>
          </w:p>
        </w:tc>
      </w:tr>
      <w:tr w:rsidR="00A024E1" w:rsidRPr="00A024E1" w:rsidTr="00534787">
        <w:trPr>
          <w:trHeight w:val="380"/>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Ceará</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0,363</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0,222</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0,212</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0,279</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0,723</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0,377</w:t>
            </w:r>
          </w:p>
        </w:tc>
      </w:tr>
      <w:tr w:rsidR="00A024E1" w:rsidRPr="00A024E1" w:rsidTr="00534787">
        <w:trPr>
          <w:trHeight w:val="379"/>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Maranhão</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0,395</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0,340</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0,378</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0,427</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0,410</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0,422</w:t>
            </w:r>
          </w:p>
        </w:tc>
      </w:tr>
      <w:tr w:rsidR="00A024E1" w:rsidRPr="00A024E1" w:rsidTr="00534787">
        <w:trPr>
          <w:trHeight w:val="380"/>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Paraíba</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r>
      <w:tr w:rsidR="00A024E1" w:rsidRPr="00A024E1" w:rsidTr="00534787">
        <w:trPr>
          <w:trHeight w:val="379"/>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Pernambuco</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0,284</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0,156</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0,284</w:t>
            </w:r>
          </w:p>
        </w:tc>
        <w:tc>
          <w:tcPr>
            <w:tcW w:w="546" w:type="pct"/>
            <w:tcBorders>
              <w:top w:val="nil"/>
              <w:left w:val="nil"/>
              <w:bottom w:val="nil"/>
              <w:right w:val="nil"/>
            </w:tcBorders>
            <w:shd w:val="clear" w:color="auto" w:fill="auto"/>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0,295</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0,409</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0,277</w:t>
            </w:r>
          </w:p>
        </w:tc>
      </w:tr>
      <w:tr w:rsidR="00A024E1" w:rsidRPr="00A024E1" w:rsidTr="00534787">
        <w:trPr>
          <w:trHeight w:val="380"/>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Piauí</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r>
      <w:tr w:rsidR="00A024E1" w:rsidRPr="00A024E1" w:rsidTr="00534787">
        <w:trPr>
          <w:trHeight w:val="379"/>
          <w:jc w:val="center"/>
        </w:trPr>
        <w:tc>
          <w:tcPr>
            <w:tcW w:w="1716" w:type="pct"/>
            <w:tcBorders>
              <w:top w:val="nil"/>
              <w:left w:val="single" w:sz="8" w:space="0" w:color="auto"/>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Rio Grande do Norte</w:t>
            </w:r>
          </w:p>
        </w:tc>
        <w:tc>
          <w:tcPr>
            <w:tcW w:w="55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nil"/>
              <w:right w:val="single" w:sz="8" w:space="0" w:color="auto"/>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r>
      <w:tr w:rsidR="00A024E1" w:rsidRPr="00A024E1" w:rsidTr="00534787">
        <w:trPr>
          <w:trHeight w:val="380"/>
          <w:jc w:val="center"/>
        </w:trPr>
        <w:tc>
          <w:tcPr>
            <w:tcW w:w="1716" w:type="pct"/>
            <w:tcBorders>
              <w:top w:val="nil"/>
              <w:left w:val="single" w:sz="8" w:space="0" w:color="auto"/>
              <w:bottom w:val="single" w:sz="8" w:space="0" w:color="auto"/>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Sergipe</w:t>
            </w:r>
          </w:p>
        </w:tc>
        <w:tc>
          <w:tcPr>
            <w:tcW w:w="555" w:type="pct"/>
            <w:tcBorders>
              <w:top w:val="nil"/>
              <w:left w:val="nil"/>
              <w:bottom w:val="single" w:sz="8" w:space="0" w:color="auto"/>
              <w:right w:val="nil"/>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0,954</w:t>
            </w:r>
          </w:p>
        </w:tc>
        <w:tc>
          <w:tcPr>
            <w:tcW w:w="546" w:type="pct"/>
            <w:tcBorders>
              <w:top w:val="nil"/>
              <w:left w:val="nil"/>
              <w:bottom w:val="single" w:sz="8" w:space="0" w:color="auto"/>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0,864</w:t>
            </w:r>
          </w:p>
        </w:tc>
        <w:tc>
          <w:tcPr>
            <w:tcW w:w="546" w:type="pct"/>
            <w:tcBorders>
              <w:top w:val="nil"/>
              <w:left w:val="nil"/>
              <w:bottom w:val="single" w:sz="8" w:space="0" w:color="auto"/>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single" w:sz="8" w:space="0" w:color="auto"/>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single" w:sz="8" w:space="0" w:color="auto"/>
              <w:right w:val="nil"/>
            </w:tcBorders>
            <w:shd w:val="clear" w:color="auto" w:fill="auto"/>
            <w:noWrap/>
            <w:vAlign w:val="center"/>
            <w:hideMark/>
          </w:tcPr>
          <w:p w:rsidR="00A024E1" w:rsidRPr="00A024E1" w:rsidRDefault="00A024E1" w:rsidP="00A024E1">
            <w:pPr>
              <w:jc w:val="center"/>
              <w:rPr>
                <w:rFonts w:cs="Arial"/>
                <w:sz w:val="20"/>
                <w:szCs w:val="20"/>
              </w:rPr>
            </w:pPr>
            <w:r w:rsidRPr="00A024E1">
              <w:rPr>
                <w:rFonts w:cs="Arial"/>
                <w:sz w:val="20"/>
                <w:szCs w:val="20"/>
              </w:rPr>
              <w:t>1,000</w:t>
            </w:r>
          </w:p>
        </w:tc>
        <w:tc>
          <w:tcPr>
            <w:tcW w:w="546" w:type="pct"/>
            <w:tcBorders>
              <w:top w:val="nil"/>
              <w:left w:val="nil"/>
              <w:bottom w:val="single" w:sz="8" w:space="0" w:color="auto"/>
              <w:right w:val="single" w:sz="8" w:space="0" w:color="auto"/>
            </w:tcBorders>
            <w:shd w:val="clear" w:color="auto" w:fill="auto"/>
            <w:noWrap/>
            <w:vAlign w:val="center"/>
            <w:hideMark/>
          </w:tcPr>
          <w:p w:rsidR="00A024E1" w:rsidRPr="00A024E1" w:rsidRDefault="00A024E1" w:rsidP="00A024E1">
            <w:pPr>
              <w:jc w:val="center"/>
              <w:rPr>
                <w:rFonts w:cs="Arial"/>
                <w:color w:val="000000"/>
                <w:sz w:val="20"/>
                <w:szCs w:val="20"/>
              </w:rPr>
            </w:pPr>
            <w:r w:rsidRPr="00A024E1">
              <w:rPr>
                <w:rFonts w:cs="Arial"/>
                <w:color w:val="000000"/>
                <w:sz w:val="20"/>
                <w:szCs w:val="20"/>
              </w:rPr>
              <w:t>0,904</w:t>
            </w:r>
          </w:p>
        </w:tc>
      </w:tr>
    </w:tbl>
    <w:p w:rsidR="00A024E1" w:rsidRPr="00A024E1" w:rsidRDefault="00A024E1" w:rsidP="00A024E1">
      <w:pPr>
        <w:autoSpaceDE w:val="0"/>
        <w:autoSpaceDN w:val="0"/>
        <w:adjustRightInd w:val="0"/>
        <w:jc w:val="center"/>
        <w:rPr>
          <w:rFonts w:cs="Arial"/>
          <w:szCs w:val="24"/>
        </w:rPr>
      </w:pPr>
      <w:r w:rsidRPr="00A024E1">
        <w:rPr>
          <w:rFonts w:cs="Arial"/>
          <w:b/>
          <w:sz w:val="20"/>
        </w:rPr>
        <w:t>Fonte:</w:t>
      </w:r>
      <w:r w:rsidRPr="00A024E1">
        <w:rPr>
          <w:rFonts w:cs="Arial"/>
          <w:sz w:val="20"/>
        </w:rPr>
        <w:t xml:space="preserve"> elaboração própria com base nas estimações do </w:t>
      </w:r>
      <w:proofErr w:type="spellStart"/>
      <w:r w:rsidRPr="00A024E1">
        <w:rPr>
          <w:rFonts w:cs="Arial"/>
          <w:sz w:val="20"/>
        </w:rPr>
        <w:t>DEA</w:t>
      </w:r>
      <w:proofErr w:type="spellEnd"/>
      <w:r w:rsidRPr="00A024E1">
        <w:rPr>
          <w:rFonts w:cs="Arial"/>
          <w:sz w:val="20"/>
          <w:szCs w:val="24"/>
        </w:rPr>
        <w:t>.</w:t>
      </w:r>
    </w:p>
    <w:p w:rsidR="00A024E1" w:rsidRDefault="00A024E1" w:rsidP="00A024E1">
      <w:pPr>
        <w:rPr>
          <w:rFonts w:cs="Arial"/>
          <w:iCs/>
          <w:szCs w:val="24"/>
        </w:rPr>
      </w:pPr>
    </w:p>
    <w:p w:rsidR="00A024E1" w:rsidRPr="00A024E1" w:rsidRDefault="00A024E1" w:rsidP="00A024E1">
      <w:pPr>
        <w:rPr>
          <w:rFonts w:cs="Arial"/>
          <w:bCs/>
          <w:color w:val="000000"/>
          <w:szCs w:val="24"/>
        </w:rPr>
      </w:pPr>
      <w:r>
        <w:rPr>
          <w:rFonts w:cs="Arial"/>
          <w:iCs/>
          <w:szCs w:val="24"/>
        </w:rPr>
        <w:lastRenderedPageBreak/>
        <w:tab/>
      </w:r>
      <w:r w:rsidRPr="00A024E1">
        <w:rPr>
          <w:rFonts w:cs="Arial"/>
          <w:iCs/>
          <w:szCs w:val="24"/>
        </w:rPr>
        <w:t xml:space="preserve">De acordo com a Tabela 1, no universo de 9 estados da região Nordeste estudadas, </w:t>
      </w:r>
      <w:r w:rsidRPr="00A024E1">
        <w:rPr>
          <w:rFonts w:cs="Arial"/>
          <w:bCs/>
          <w:color w:val="000000"/>
          <w:szCs w:val="24"/>
        </w:rPr>
        <w:t xml:space="preserve">apenas 3 estados </w:t>
      </w:r>
      <w:proofErr w:type="gramStart"/>
      <w:r w:rsidRPr="00A024E1">
        <w:rPr>
          <w:rFonts w:cs="Arial"/>
          <w:bCs/>
          <w:color w:val="000000"/>
          <w:szCs w:val="24"/>
        </w:rPr>
        <w:t>foram</w:t>
      </w:r>
      <w:proofErr w:type="gramEnd"/>
      <w:r w:rsidRPr="00A024E1">
        <w:rPr>
          <w:rFonts w:cs="Arial"/>
          <w:bCs/>
          <w:color w:val="000000"/>
          <w:szCs w:val="24"/>
        </w:rPr>
        <w:t xml:space="preserve"> eficientes no ano de 2012: Paraíba, Piauí e Rio Grande do Norte, o que representa 33,33% dos estados do Nordeste. Em 2013 e 2014, além dos 3 estados citados em 2012, Sergipe apresentou eficiência nos gastos públicos. Em 2015, Alagoas passou a ser eficiente. Por fim, em 2016 apresentaram eficiência os mesmos estados que em 2015, com exceção de Sergipe. Dessa maneira, 44,44% dos estados da região foram eficientes no último ano analisado.</w:t>
      </w:r>
    </w:p>
    <w:p w:rsidR="00A024E1" w:rsidRPr="00A024E1" w:rsidRDefault="00A024E1" w:rsidP="00A024E1">
      <w:pPr>
        <w:pStyle w:val="Ttulo3"/>
      </w:pPr>
      <w:r w:rsidRPr="00A024E1">
        <w:t>4.2.1 Distribuição por Quartis</w:t>
      </w:r>
    </w:p>
    <w:p w:rsidR="00A024E1" w:rsidRPr="00A024E1" w:rsidRDefault="00A024E1" w:rsidP="00A024E1">
      <w:pPr>
        <w:rPr>
          <w:rFonts w:cs="Arial"/>
          <w:bCs/>
          <w:color w:val="000000"/>
          <w:szCs w:val="24"/>
        </w:rPr>
      </w:pPr>
      <w:r>
        <w:rPr>
          <w:rFonts w:cs="Arial"/>
          <w:bCs/>
          <w:color w:val="000000"/>
          <w:szCs w:val="24"/>
        </w:rPr>
        <w:tab/>
      </w:r>
      <w:r w:rsidRPr="00A024E1">
        <w:rPr>
          <w:rFonts w:cs="Arial"/>
          <w:bCs/>
          <w:color w:val="000000"/>
          <w:szCs w:val="24"/>
        </w:rPr>
        <w:t xml:space="preserve">Ao observar os scores de eficiência apresentados pelas </w:t>
      </w:r>
      <w:proofErr w:type="spellStart"/>
      <w:r w:rsidRPr="00A024E1">
        <w:rPr>
          <w:rFonts w:cs="Arial"/>
          <w:bCs/>
          <w:color w:val="000000"/>
          <w:szCs w:val="24"/>
        </w:rPr>
        <w:t>DMU’s</w:t>
      </w:r>
      <w:proofErr w:type="spellEnd"/>
      <w:r w:rsidRPr="00A024E1">
        <w:rPr>
          <w:rFonts w:cs="Arial"/>
          <w:bCs/>
          <w:color w:val="000000"/>
          <w:szCs w:val="24"/>
        </w:rPr>
        <w:t xml:space="preserve"> foi possível estabelecer um quadro de desempenho utilizando a distribuição por quartil. Dessa maneira, foi possível classificar as eficiências em fraca, razoável, bom, muito bom e excelente.</w:t>
      </w:r>
    </w:p>
    <w:p w:rsidR="00A024E1" w:rsidRPr="00A024E1" w:rsidRDefault="00A024E1" w:rsidP="00A024E1">
      <w:pPr>
        <w:rPr>
          <w:rFonts w:cs="Arial"/>
          <w:bCs/>
          <w:color w:val="000000"/>
          <w:szCs w:val="24"/>
        </w:rPr>
      </w:pPr>
      <w:r>
        <w:rPr>
          <w:rFonts w:cs="Arial"/>
          <w:bCs/>
          <w:color w:val="000000"/>
          <w:szCs w:val="24"/>
        </w:rPr>
        <w:tab/>
      </w:r>
      <w:proofErr w:type="gramStart"/>
      <w:r w:rsidRPr="00A024E1">
        <w:rPr>
          <w:rFonts w:cs="Arial"/>
          <w:bCs/>
          <w:color w:val="000000"/>
          <w:szCs w:val="24"/>
        </w:rPr>
        <w:t>No ano de 2012 os estados da Bahia e Pernambuco apresentaram um score que foi classificado como fraco, o Ceará um desempenho razoável, o estado do Maranhão com um score de eficiência bom, Alagoas e Sergipe com scores classificados como muito bom e Paraíba, Piauí e Rio Grande do Norte alcançando o índice de eficiência máxima sendo classificado como excelente, conforme tabela abaixo.</w:t>
      </w:r>
      <w:proofErr w:type="gramEnd"/>
    </w:p>
    <w:p w:rsidR="00A024E1" w:rsidRPr="00A024E1" w:rsidRDefault="00A024E1" w:rsidP="00A024E1">
      <w:pPr>
        <w:pStyle w:val="Legenda"/>
        <w:keepNext/>
        <w:spacing w:after="0" w:line="360" w:lineRule="auto"/>
        <w:jc w:val="center"/>
        <w:rPr>
          <w:rFonts w:ascii="Roboto Lt" w:hAnsi="Roboto Lt" w:cs="Arial"/>
          <w:i w:val="0"/>
          <w:color w:val="auto"/>
          <w:sz w:val="22"/>
          <w:szCs w:val="22"/>
        </w:rPr>
      </w:pPr>
      <w:r w:rsidRPr="00A024E1">
        <w:rPr>
          <w:rFonts w:ascii="Roboto Lt" w:hAnsi="Roboto Lt" w:cs="Arial"/>
          <w:b/>
          <w:i w:val="0"/>
          <w:color w:val="auto"/>
          <w:sz w:val="22"/>
          <w:szCs w:val="22"/>
        </w:rPr>
        <w:t>Tabela 2</w:t>
      </w:r>
      <w:r w:rsidRPr="00A024E1">
        <w:rPr>
          <w:rFonts w:ascii="Roboto Lt" w:hAnsi="Roboto Lt" w:cs="Arial"/>
          <w:i w:val="0"/>
          <w:color w:val="auto"/>
          <w:sz w:val="22"/>
          <w:szCs w:val="22"/>
        </w:rPr>
        <w:t xml:space="preserve"> - Desempenho dos estados em 2012.</w:t>
      </w:r>
    </w:p>
    <w:tbl>
      <w:tblPr>
        <w:tblW w:w="3122" w:type="pct"/>
        <w:jc w:val="center"/>
        <w:tblCellMar>
          <w:left w:w="70" w:type="dxa"/>
          <w:right w:w="70" w:type="dxa"/>
        </w:tblCellMar>
        <w:tblLook w:val="04A0" w:firstRow="1" w:lastRow="0" w:firstColumn="1" w:lastColumn="0" w:noHBand="0" w:noVBand="1"/>
      </w:tblPr>
      <w:tblGrid>
        <w:gridCol w:w="1456"/>
        <w:gridCol w:w="1493"/>
        <w:gridCol w:w="1210"/>
        <w:gridCol w:w="1592"/>
      </w:tblGrid>
      <w:tr w:rsidR="00A024E1" w:rsidRPr="00A024E1" w:rsidTr="00534787">
        <w:trPr>
          <w:trHeight w:val="314"/>
          <w:jc w:val="center"/>
        </w:trPr>
        <w:tc>
          <w:tcPr>
            <w:tcW w:w="5000" w:type="pct"/>
            <w:gridSpan w:val="4"/>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2012</w:t>
            </w:r>
          </w:p>
        </w:tc>
      </w:tr>
      <w:tr w:rsidR="00A024E1" w:rsidRPr="00A024E1" w:rsidTr="00534787">
        <w:trPr>
          <w:trHeight w:val="329"/>
          <w:jc w:val="center"/>
        </w:trPr>
        <w:tc>
          <w:tcPr>
            <w:tcW w:w="126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Desempenho</w:t>
            </w:r>
          </w:p>
        </w:tc>
        <w:tc>
          <w:tcPr>
            <w:tcW w:w="129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Escore </w:t>
            </w:r>
          </w:p>
        </w:tc>
        <w:tc>
          <w:tcPr>
            <w:tcW w:w="105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Estados</w:t>
            </w:r>
          </w:p>
        </w:tc>
        <w:tc>
          <w:tcPr>
            <w:tcW w:w="1383"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 da Amostra</w:t>
            </w:r>
          </w:p>
        </w:tc>
      </w:tr>
      <w:tr w:rsidR="00A024E1" w:rsidRPr="00A024E1" w:rsidTr="00534787">
        <w:trPr>
          <w:trHeight w:val="344"/>
          <w:jc w:val="center"/>
        </w:trPr>
        <w:tc>
          <w:tcPr>
            <w:tcW w:w="126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Fraco</w:t>
            </w:r>
          </w:p>
        </w:tc>
        <w:tc>
          <w:tcPr>
            <w:tcW w:w="129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 a 0,173</w:t>
            </w:r>
          </w:p>
        </w:tc>
        <w:tc>
          <w:tcPr>
            <w:tcW w:w="105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BA e PE</w:t>
            </w:r>
          </w:p>
        </w:tc>
        <w:tc>
          <w:tcPr>
            <w:tcW w:w="138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22%</w:t>
            </w:r>
          </w:p>
        </w:tc>
      </w:tr>
      <w:tr w:rsidR="00A024E1" w:rsidRPr="00A024E1" w:rsidTr="00534787">
        <w:trPr>
          <w:trHeight w:val="314"/>
          <w:jc w:val="center"/>
        </w:trPr>
        <w:tc>
          <w:tcPr>
            <w:tcW w:w="126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Razoável</w:t>
            </w:r>
          </w:p>
        </w:tc>
        <w:tc>
          <w:tcPr>
            <w:tcW w:w="129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0,173 a 0,281</w:t>
            </w:r>
          </w:p>
        </w:tc>
        <w:tc>
          <w:tcPr>
            <w:tcW w:w="105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CE</w:t>
            </w:r>
          </w:p>
        </w:tc>
        <w:tc>
          <w:tcPr>
            <w:tcW w:w="138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4"/>
          <w:jc w:val="center"/>
        </w:trPr>
        <w:tc>
          <w:tcPr>
            <w:tcW w:w="126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Bom</w:t>
            </w:r>
          </w:p>
        </w:tc>
        <w:tc>
          <w:tcPr>
            <w:tcW w:w="129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0,281 a 0,590</w:t>
            </w:r>
          </w:p>
        </w:tc>
        <w:tc>
          <w:tcPr>
            <w:tcW w:w="105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MA</w:t>
            </w:r>
          </w:p>
        </w:tc>
        <w:tc>
          <w:tcPr>
            <w:tcW w:w="138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4"/>
          <w:jc w:val="center"/>
        </w:trPr>
        <w:tc>
          <w:tcPr>
            <w:tcW w:w="126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 xml:space="preserve">Muito Bom </w:t>
            </w:r>
          </w:p>
        </w:tc>
        <w:tc>
          <w:tcPr>
            <w:tcW w:w="129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0,590 a 0,864</w:t>
            </w:r>
          </w:p>
        </w:tc>
        <w:tc>
          <w:tcPr>
            <w:tcW w:w="105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AL e SE</w:t>
            </w:r>
          </w:p>
        </w:tc>
        <w:tc>
          <w:tcPr>
            <w:tcW w:w="138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22%</w:t>
            </w:r>
          </w:p>
        </w:tc>
      </w:tr>
      <w:tr w:rsidR="00A024E1" w:rsidRPr="00A024E1" w:rsidTr="00534787">
        <w:trPr>
          <w:trHeight w:val="329"/>
          <w:jc w:val="center"/>
        </w:trPr>
        <w:tc>
          <w:tcPr>
            <w:tcW w:w="126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Excelente</w:t>
            </w:r>
          </w:p>
        </w:tc>
        <w:tc>
          <w:tcPr>
            <w:tcW w:w="129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w:t>
            </w:r>
          </w:p>
        </w:tc>
        <w:tc>
          <w:tcPr>
            <w:tcW w:w="105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PB, PI, </w:t>
            </w:r>
            <w:proofErr w:type="gramStart"/>
            <w:r w:rsidRPr="00A024E1">
              <w:rPr>
                <w:rFonts w:cs="Arial"/>
                <w:color w:val="000000"/>
                <w:sz w:val="22"/>
              </w:rPr>
              <w:t>RN</w:t>
            </w:r>
            <w:proofErr w:type="gramEnd"/>
          </w:p>
        </w:tc>
        <w:tc>
          <w:tcPr>
            <w:tcW w:w="1383"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33%</w:t>
            </w:r>
          </w:p>
        </w:tc>
      </w:tr>
    </w:tbl>
    <w:p w:rsidR="00A024E1" w:rsidRPr="00A024E1" w:rsidRDefault="00A024E1" w:rsidP="00A024E1">
      <w:pPr>
        <w:jc w:val="center"/>
        <w:rPr>
          <w:rFonts w:cs="Arial"/>
          <w:sz w:val="18"/>
        </w:rPr>
      </w:pPr>
      <w:r w:rsidRPr="00A024E1">
        <w:rPr>
          <w:rFonts w:cs="Arial"/>
          <w:b/>
          <w:sz w:val="18"/>
        </w:rPr>
        <w:t>Fonte:</w:t>
      </w:r>
      <w:r w:rsidRPr="00A024E1">
        <w:rPr>
          <w:rFonts w:cs="Arial"/>
          <w:sz w:val="18"/>
        </w:rPr>
        <w:t xml:space="preserve"> elaboração própria.</w:t>
      </w:r>
    </w:p>
    <w:p w:rsidR="00A024E1" w:rsidRDefault="00A024E1" w:rsidP="00A024E1">
      <w:pPr>
        <w:rPr>
          <w:rFonts w:cs="Arial"/>
          <w:szCs w:val="24"/>
        </w:rPr>
      </w:pPr>
    </w:p>
    <w:p w:rsidR="00A024E1" w:rsidRPr="00A024E1" w:rsidRDefault="00A024E1" w:rsidP="00A024E1">
      <w:pPr>
        <w:rPr>
          <w:rFonts w:cs="Arial"/>
          <w:szCs w:val="24"/>
        </w:rPr>
      </w:pPr>
      <w:r>
        <w:rPr>
          <w:rFonts w:cs="Arial"/>
          <w:szCs w:val="24"/>
        </w:rPr>
        <w:tab/>
      </w:r>
      <w:proofErr w:type="gramStart"/>
      <w:r w:rsidRPr="00A024E1">
        <w:rPr>
          <w:rFonts w:cs="Arial"/>
          <w:szCs w:val="24"/>
        </w:rPr>
        <w:t xml:space="preserve">Em 2013 e 2014 o desempenho apresenta os mesmos estados, Bahia e Ceará são classificados com desempenho fraco, Pernambuco apresenta escore classificado </w:t>
      </w:r>
      <w:r w:rsidRPr="00A024E1">
        <w:rPr>
          <w:rFonts w:cs="Arial"/>
          <w:szCs w:val="24"/>
        </w:rPr>
        <w:lastRenderedPageBreak/>
        <w:t>como razoável, o Maranhão classificado com desempenho bom, o estado de Alagoas classificado como muito bom e além dos estados que apresentaram excelência no primeiro ano de estudo inclui-se agora para esses dois anos o estado de Sergipe, obtendo eficiência máxima.</w:t>
      </w:r>
      <w:proofErr w:type="gramEnd"/>
      <w:r w:rsidRPr="00A024E1">
        <w:rPr>
          <w:rFonts w:cs="Arial"/>
          <w:szCs w:val="24"/>
        </w:rPr>
        <w:t xml:space="preserve"> Para melhor ilustração pode-se observar-se as tabelas a seguir.</w:t>
      </w:r>
    </w:p>
    <w:p w:rsidR="00A024E1" w:rsidRPr="00A024E1" w:rsidRDefault="00A024E1" w:rsidP="00A024E1">
      <w:pPr>
        <w:pStyle w:val="Legenda"/>
        <w:keepNext/>
        <w:spacing w:after="0" w:line="360" w:lineRule="auto"/>
        <w:jc w:val="center"/>
        <w:rPr>
          <w:rFonts w:ascii="Roboto Lt" w:hAnsi="Roboto Lt" w:cs="Arial"/>
          <w:i w:val="0"/>
          <w:color w:val="auto"/>
          <w:sz w:val="22"/>
          <w:szCs w:val="22"/>
        </w:rPr>
      </w:pPr>
      <w:r w:rsidRPr="00A024E1">
        <w:rPr>
          <w:rFonts w:ascii="Roboto Lt" w:hAnsi="Roboto Lt" w:cs="Arial"/>
          <w:b/>
          <w:i w:val="0"/>
          <w:color w:val="auto"/>
          <w:sz w:val="22"/>
          <w:szCs w:val="22"/>
        </w:rPr>
        <w:t>Tabela 3</w:t>
      </w:r>
      <w:r w:rsidR="00022727">
        <w:rPr>
          <w:rFonts w:ascii="Roboto Lt" w:hAnsi="Roboto Lt" w:cs="Arial"/>
          <w:b/>
          <w:i w:val="0"/>
          <w:color w:val="auto"/>
          <w:sz w:val="22"/>
          <w:szCs w:val="22"/>
        </w:rPr>
        <w:t xml:space="preserve"> </w:t>
      </w:r>
      <w:r w:rsidRPr="00A024E1">
        <w:rPr>
          <w:rFonts w:ascii="Roboto Lt" w:hAnsi="Roboto Lt" w:cs="Arial"/>
          <w:b/>
          <w:i w:val="0"/>
          <w:color w:val="auto"/>
          <w:sz w:val="22"/>
          <w:szCs w:val="22"/>
        </w:rPr>
        <w:t>-</w:t>
      </w:r>
      <w:r w:rsidRPr="00A024E1">
        <w:rPr>
          <w:rFonts w:ascii="Roboto Lt" w:hAnsi="Roboto Lt" w:cs="Arial"/>
          <w:i w:val="0"/>
          <w:color w:val="auto"/>
          <w:sz w:val="22"/>
          <w:szCs w:val="22"/>
        </w:rPr>
        <w:t xml:space="preserve"> Desempenho dos estados em 2013.</w:t>
      </w:r>
    </w:p>
    <w:tbl>
      <w:tblPr>
        <w:tblW w:w="2500" w:type="pct"/>
        <w:jc w:val="center"/>
        <w:tblCellMar>
          <w:left w:w="70" w:type="dxa"/>
          <w:right w:w="70" w:type="dxa"/>
        </w:tblCellMar>
        <w:tblLook w:val="04A0" w:firstRow="1" w:lastRow="0" w:firstColumn="1" w:lastColumn="0" w:noHBand="0" w:noVBand="1"/>
      </w:tblPr>
      <w:tblGrid>
        <w:gridCol w:w="1425"/>
        <w:gridCol w:w="2505"/>
        <w:gridCol w:w="1571"/>
        <w:gridCol w:w="1533"/>
      </w:tblGrid>
      <w:tr w:rsidR="00A024E1" w:rsidRPr="00A024E1" w:rsidTr="00534787">
        <w:trPr>
          <w:trHeight w:val="314"/>
          <w:jc w:val="center"/>
        </w:trPr>
        <w:tc>
          <w:tcPr>
            <w:tcW w:w="5000" w:type="pct"/>
            <w:gridSpan w:val="4"/>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2013</w:t>
            </w:r>
          </w:p>
        </w:tc>
      </w:tr>
      <w:tr w:rsidR="00A024E1" w:rsidRPr="00A024E1" w:rsidTr="00534787">
        <w:trPr>
          <w:trHeight w:val="329"/>
          <w:jc w:val="center"/>
        </w:trPr>
        <w:tc>
          <w:tcPr>
            <w:tcW w:w="96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Desempenho</w:t>
            </w:r>
          </w:p>
        </w:tc>
        <w:tc>
          <w:tcPr>
            <w:tcW w:w="174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Escore </w:t>
            </w:r>
          </w:p>
        </w:tc>
        <w:tc>
          <w:tcPr>
            <w:tcW w:w="1195"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Estados</w:t>
            </w:r>
          </w:p>
        </w:tc>
        <w:tc>
          <w:tcPr>
            <w:tcW w:w="1089"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 da Amostra</w:t>
            </w:r>
          </w:p>
        </w:tc>
      </w:tr>
      <w:tr w:rsidR="00A024E1" w:rsidRPr="00A024E1" w:rsidTr="00534787">
        <w:trPr>
          <w:trHeight w:val="344"/>
          <w:jc w:val="center"/>
        </w:trPr>
        <w:tc>
          <w:tcPr>
            <w:tcW w:w="96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Fraco</w:t>
            </w:r>
          </w:p>
        </w:tc>
        <w:tc>
          <w:tcPr>
            <w:tcW w:w="174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 a 0,212</w:t>
            </w:r>
          </w:p>
        </w:tc>
        <w:tc>
          <w:tcPr>
            <w:tcW w:w="119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BA e CE</w:t>
            </w:r>
          </w:p>
        </w:tc>
        <w:tc>
          <w:tcPr>
            <w:tcW w:w="1089"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22%</w:t>
            </w:r>
          </w:p>
        </w:tc>
      </w:tr>
      <w:tr w:rsidR="00A024E1" w:rsidRPr="00A024E1" w:rsidTr="00534787">
        <w:trPr>
          <w:trHeight w:val="314"/>
          <w:jc w:val="center"/>
        </w:trPr>
        <w:tc>
          <w:tcPr>
            <w:tcW w:w="96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Razoável</w:t>
            </w:r>
          </w:p>
        </w:tc>
        <w:tc>
          <w:tcPr>
            <w:tcW w:w="174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0,212 a 0,284</w:t>
            </w:r>
          </w:p>
        </w:tc>
        <w:tc>
          <w:tcPr>
            <w:tcW w:w="119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PE</w:t>
            </w:r>
          </w:p>
        </w:tc>
        <w:tc>
          <w:tcPr>
            <w:tcW w:w="1089"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4"/>
          <w:jc w:val="center"/>
        </w:trPr>
        <w:tc>
          <w:tcPr>
            <w:tcW w:w="96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Bom</w:t>
            </w:r>
          </w:p>
        </w:tc>
        <w:tc>
          <w:tcPr>
            <w:tcW w:w="174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w:t>
            </w:r>
            <w:proofErr w:type="gramStart"/>
            <w:r w:rsidRPr="00A024E1">
              <w:rPr>
                <w:rFonts w:cs="Arial"/>
                <w:color w:val="000000"/>
                <w:sz w:val="22"/>
              </w:rPr>
              <w:t>a</w:t>
            </w:r>
            <w:proofErr w:type="gramEnd"/>
            <w:r w:rsidRPr="00A024E1">
              <w:rPr>
                <w:rFonts w:cs="Arial"/>
                <w:color w:val="000000"/>
                <w:sz w:val="22"/>
              </w:rPr>
              <w:t xml:space="preserve"> partir de 0,284 a 0,378</w:t>
            </w:r>
          </w:p>
        </w:tc>
        <w:tc>
          <w:tcPr>
            <w:tcW w:w="119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MA</w:t>
            </w:r>
          </w:p>
        </w:tc>
        <w:tc>
          <w:tcPr>
            <w:tcW w:w="1089"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4"/>
          <w:jc w:val="center"/>
        </w:trPr>
        <w:tc>
          <w:tcPr>
            <w:tcW w:w="96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 xml:space="preserve">Muito Bom </w:t>
            </w:r>
          </w:p>
        </w:tc>
        <w:tc>
          <w:tcPr>
            <w:tcW w:w="174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0,378 a 0,727</w:t>
            </w:r>
          </w:p>
        </w:tc>
        <w:tc>
          <w:tcPr>
            <w:tcW w:w="119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AL</w:t>
            </w:r>
          </w:p>
        </w:tc>
        <w:tc>
          <w:tcPr>
            <w:tcW w:w="1089"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29"/>
          <w:jc w:val="center"/>
        </w:trPr>
        <w:tc>
          <w:tcPr>
            <w:tcW w:w="96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Excelente</w:t>
            </w:r>
          </w:p>
        </w:tc>
        <w:tc>
          <w:tcPr>
            <w:tcW w:w="174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w:t>
            </w:r>
          </w:p>
        </w:tc>
        <w:tc>
          <w:tcPr>
            <w:tcW w:w="1195"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PB, PI, RN e </w:t>
            </w:r>
            <w:proofErr w:type="gramStart"/>
            <w:r w:rsidRPr="00A024E1">
              <w:rPr>
                <w:rFonts w:cs="Arial"/>
                <w:color w:val="000000"/>
                <w:sz w:val="22"/>
              </w:rPr>
              <w:t>SE</w:t>
            </w:r>
            <w:proofErr w:type="gramEnd"/>
          </w:p>
        </w:tc>
        <w:tc>
          <w:tcPr>
            <w:tcW w:w="1089"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44%</w:t>
            </w:r>
          </w:p>
        </w:tc>
      </w:tr>
    </w:tbl>
    <w:p w:rsidR="00A024E1" w:rsidRPr="00A024E1" w:rsidRDefault="00A024E1" w:rsidP="00A024E1">
      <w:pPr>
        <w:jc w:val="center"/>
        <w:rPr>
          <w:rFonts w:cs="Arial"/>
          <w:sz w:val="20"/>
        </w:rPr>
      </w:pPr>
      <w:r w:rsidRPr="00A024E1">
        <w:rPr>
          <w:rFonts w:cs="Arial"/>
          <w:b/>
          <w:sz w:val="20"/>
        </w:rPr>
        <w:t>Fonte:</w:t>
      </w:r>
      <w:r w:rsidRPr="00A024E1">
        <w:rPr>
          <w:rFonts w:cs="Arial"/>
          <w:sz w:val="20"/>
        </w:rPr>
        <w:t xml:space="preserve"> elaboração própria.</w:t>
      </w:r>
    </w:p>
    <w:p w:rsidR="00A024E1" w:rsidRDefault="00A024E1" w:rsidP="00A024E1">
      <w:pPr>
        <w:pStyle w:val="Legenda"/>
        <w:keepNext/>
        <w:spacing w:after="0" w:line="360" w:lineRule="auto"/>
        <w:jc w:val="center"/>
        <w:rPr>
          <w:rFonts w:ascii="Roboto Lt" w:hAnsi="Roboto Lt" w:cs="Arial"/>
          <w:b/>
          <w:i w:val="0"/>
          <w:color w:val="auto"/>
          <w:sz w:val="22"/>
          <w:szCs w:val="22"/>
        </w:rPr>
      </w:pPr>
    </w:p>
    <w:p w:rsidR="00A024E1" w:rsidRPr="00A024E1" w:rsidRDefault="00A024E1" w:rsidP="00A024E1">
      <w:pPr>
        <w:pStyle w:val="Legenda"/>
        <w:keepNext/>
        <w:spacing w:after="0" w:line="360" w:lineRule="auto"/>
        <w:jc w:val="center"/>
        <w:rPr>
          <w:rFonts w:ascii="Roboto Lt" w:hAnsi="Roboto Lt" w:cs="Arial"/>
          <w:i w:val="0"/>
          <w:color w:val="auto"/>
          <w:sz w:val="22"/>
          <w:szCs w:val="22"/>
        </w:rPr>
      </w:pPr>
      <w:r w:rsidRPr="00A024E1">
        <w:rPr>
          <w:rFonts w:ascii="Roboto Lt" w:hAnsi="Roboto Lt" w:cs="Arial"/>
          <w:b/>
          <w:i w:val="0"/>
          <w:color w:val="auto"/>
          <w:sz w:val="22"/>
          <w:szCs w:val="22"/>
        </w:rPr>
        <w:t>Tabela 4</w:t>
      </w:r>
      <w:r w:rsidR="00022727">
        <w:rPr>
          <w:rFonts w:ascii="Roboto Lt" w:hAnsi="Roboto Lt" w:cs="Arial"/>
          <w:b/>
          <w:i w:val="0"/>
          <w:color w:val="auto"/>
          <w:sz w:val="22"/>
          <w:szCs w:val="22"/>
        </w:rPr>
        <w:t xml:space="preserve"> </w:t>
      </w:r>
      <w:r w:rsidRPr="00A024E1">
        <w:rPr>
          <w:rFonts w:ascii="Roboto Lt" w:hAnsi="Roboto Lt" w:cs="Arial"/>
          <w:i w:val="0"/>
          <w:color w:val="auto"/>
          <w:sz w:val="22"/>
          <w:szCs w:val="22"/>
        </w:rPr>
        <w:t>- Desempenho dos estados em 2014.</w:t>
      </w:r>
    </w:p>
    <w:tbl>
      <w:tblPr>
        <w:tblW w:w="2500" w:type="pct"/>
        <w:jc w:val="center"/>
        <w:tblCellMar>
          <w:left w:w="70" w:type="dxa"/>
          <w:right w:w="70" w:type="dxa"/>
        </w:tblCellMar>
        <w:tblLook w:val="04A0" w:firstRow="1" w:lastRow="0" w:firstColumn="1" w:lastColumn="0" w:noHBand="0" w:noVBand="1"/>
      </w:tblPr>
      <w:tblGrid>
        <w:gridCol w:w="1425"/>
        <w:gridCol w:w="2451"/>
        <w:gridCol w:w="1571"/>
        <w:gridCol w:w="1533"/>
      </w:tblGrid>
      <w:tr w:rsidR="00A024E1" w:rsidRPr="00A024E1" w:rsidTr="00534787">
        <w:trPr>
          <w:trHeight w:val="315"/>
          <w:jc w:val="center"/>
        </w:trPr>
        <w:tc>
          <w:tcPr>
            <w:tcW w:w="5000" w:type="pct"/>
            <w:gridSpan w:val="4"/>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2014</w:t>
            </w:r>
          </w:p>
        </w:tc>
      </w:tr>
      <w:tr w:rsidR="00A024E1" w:rsidRPr="00A024E1" w:rsidTr="00534787">
        <w:trPr>
          <w:trHeight w:val="330"/>
          <w:jc w:val="center"/>
        </w:trPr>
        <w:tc>
          <w:tcPr>
            <w:tcW w:w="94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Desempenho</w:t>
            </w:r>
          </w:p>
        </w:tc>
        <w:tc>
          <w:tcPr>
            <w:tcW w:w="176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Escore </w:t>
            </w:r>
          </w:p>
        </w:tc>
        <w:tc>
          <w:tcPr>
            <w:tcW w:w="1200"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Estados</w:t>
            </w:r>
          </w:p>
        </w:tc>
        <w:tc>
          <w:tcPr>
            <w:tcW w:w="1084"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 da Amostra</w:t>
            </w:r>
          </w:p>
        </w:tc>
      </w:tr>
      <w:tr w:rsidR="00A024E1" w:rsidRPr="00A024E1" w:rsidTr="00534787">
        <w:trPr>
          <w:trHeight w:val="345"/>
          <w:jc w:val="center"/>
        </w:trPr>
        <w:tc>
          <w:tcPr>
            <w:tcW w:w="94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Fraco</w:t>
            </w:r>
          </w:p>
        </w:tc>
        <w:tc>
          <w:tcPr>
            <w:tcW w:w="176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 a 0,279</w:t>
            </w:r>
          </w:p>
        </w:tc>
        <w:tc>
          <w:tcPr>
            <w:tcW w:w="1200"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BA e CE</w:t>
            </w:r>
          </w:p>
        </w:tc>
        <w:tc>
          <w:tcPr>
            <w:tcW w:w="1084"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22%</w:t>
            </w:r>
          </w:p>
        </w:tc>
      </w:tr>
      <w:tr w:rsidR="00A024E1" w:rsidRPr="00A024E1" w:rsidTr="00534787">
        <w:trPr>
          <w:trHeight w:val="315"/>
          <w:jc w:val="center"/>
        </w:trPr>
        <w:tc>
          <w:tcPr>
            <w:tcW w:w="94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Razoável</w:t>
            </w:r>
          </w:p>
        </w:tc>
        <w:tc>
          <w:tcPr>
            <w:tcW w:w="176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0,279 a 0,295</w:t>
            </w:r>
          </w:p>
        </w:tc>
        <w:tc>
          <w:tcPr>
            <w:tcW w:w="1200"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PE</w:t>
            </w:r>
          </w:p>
        </w:tc>
        <w:tc>
          <w:tcPr>
            <w:tcW w:w="1084"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94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Bom</w:t>
            </w:r>
          </w:p>
        </w:tc>
        <w:tc>
          <w:tcPr>
            <w:tcW w:w="176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0,295 a 0,427</w:t>
            </w:r>
          </w:p>
        </w:tc>
        <w:tc>
          <w:tcPr>
            <w:tcW w:w="1200"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MA</w:t>
            </w:r>
          </w:p>
        </w:tc>
        <w:tc>
          <w:tcPr>
            <w:tcW w:w="1084"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948"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 xml:space="preserve">Muito Bom </w:t>
            </w:r>
          </w:p>
        </w:tc>
        <w:tc>
          <w:tcPr>
            <w:tcW w:w="176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0,427 a 0,636</w:t>
            </w:r>
          </w:p>
        </w:tc>
        <w:tc>
          <w:tcPr>
            <w:tcW w:w="1200"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AL</w:t>
            </w:r>
          </w:p>
        </w:tc>
        <w:tc>
          <w:tcPr>
            <w:tcW w:w="1084"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30"/>
          <w:jc w:val="center"/>
        </w:trPr>
        <w:tc>
          <w:tcPr>
            <w:tcW w:w="94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Excelente</w:t>
            </w:r>
          </w:p>
        </w:tc>
        <w:tc>
          <w:tcPr>
            <w:tcW w:w="176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w:t>
            </w:r>
          </w:p>
        </w:tc>
        <w:tc>
          <w:tcPr>
            <w:tcW w:w="1200"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PB, PI, RN e </w:t>
            </w:r>
            <w:proofErr w:type="gramStart"/>
            <w:r w:rsidRPr="00A024E1">
              <w:rPr>
                <w:rFonts w:cs="Arial"/>
                <w:color w:val="000000"/>
                <w:sz w:val="22"/>
              </w:rPr>
              <w:t>SE</w:t>
            </w:r>
            <w:proofErr w:type="gramEnd"/>
          </w:p>
        </w:tc>
        <w:tc>
          <w:tcPr>
            <w:tcW w:w="1084"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44%</w:t>
            </w:r>
          </w:p>
        </w:tc>
      </w:tr>
    </w:tbl>
    <w:p w:rsidR="00A024E1" w:rsidRPr="00A024E1" w:rsidRDefault="00A024E1" w:rsidP="00A024E1">
      <w:pPr>
        <w:jc w:val="center"/>
        <w:rPr>
          <w:rFonts w:cs="Arial"/>
          <w:sz w:val="20"/>
        </w:rPr>
      </w:pPr>
      <w:r w:rsidRPr="00A024E1">
        <w:rPr>
          <w:rFonts w:cs="Arial"/>
          <w:b/>
          <w:sz w:val="20"/>
        </w:rPr>
        <w:t>Fonte:</w:t>
      </w:r>
      <w:r w:rsidRPr="00A024E1">
        <w:rPr>
          <w:rFonts w:cs="Arial"/>
          <w:sz w:val="20"/>
        </w:rPr>
        <w:t xml:space="preserve"> elaboração própria.</w:t>
      </w:r>
    </w:p>
    <w:p w:rsidR="00A024E1" w:rsidRDefault="00A024E1" w:rsidP="00A024E1">
      <w:pPr>
        <w:rPr>
          <w:rFonts w:cs="Arial"/>
          <w:szCs w:val="24"/>
        </w:rPr>
      </w:pPr>
    </w:p>
    <w:p w:rsidR="00A024E1" w:rsidRPr="00A024E1" w:rsidRDefault="00A024E1" w:rsidP="00A024E1">
      <w:pPr>
        <w:rPr>
          <w:rFonts w:cs="Arial"/>
          <w:szCs w:val="24"/>
        </w:rPr>
      </w:pPr>
      <w:r>
        <w:rPr>
          <w:rFonts w:cs="Arial"/>
          <w:szCs w:val="24"/>
        </w:rPr>
        <w:tab/>
      </w:r>
      <w:r w:rsidRPr="00A024E1">
        <w:rPr>
          <w:rFonts w:cs="Arial"/>
          <w:szCs w:val="24"/>
        </w:rPr>
        <w:t xml:space="preserve">Em 2015 as mudanças ocorridas nos desempenhos dos estados foram poucas em relação ao que já vinha se apresentando, apenas o estado do Ceará passou de desempenho fraco para muito bom, um comportamento diferente da tendência de desempenho que esse estado vinha apresentado e o estado de Alagoas, sempre classificado com eficiência muito boa, passou nesse ano a ter uma classificação excelente. </w:t>
      </w:r>
    </w:p>
    <w:p w:rsidR="00A024E1" w:rsidRPr="00A024E1" w:rsidRDefault="00A024E1" w:rsidP="00A024E1">
      <w:pPr>
        <w:rPr>
          <w:rFonts w:cs="Arial"/>
          <w:szCs w:val="24"/>
        </w:rPr>
      </w:pPr>
      <w:r>
        <w:rPr>
          <w:rFonts w:cs="Arial"/>
          <w:szCs w:val="24"/>
        </w:rPr>
        <w:lastRenderedPageBreak/>
        <w:tab/>
      </w:r>
      <w:r w:rsidRPr="00A024E1">
        <w:rPr>
          <w:rFonts w:cs="Arial"/>
          <w:szCs w:val="24"/>
        </w:rPr>
        <w:t>O ano de 2015 foi o único em que os estados mais eficientes superaram os menos eficientes. Nesse período, 56% dos estados da região nordeste apresentaram escore de eficiência excelente, como mostra a tabela a seguir.</w:t>
      </w:r>
    </w:p>
    <w:p w:rsidR="00A024E1" w:rsidRPr="00A024E1" w:rsidRDefault="00A024E1" w:rsidP="00A024E1">
      <w:pPr>
        <w:pStyle w:val="Legenda"/>
        <w:keepNext/>
        <w:spacing w:after="0" w:line="360" w:lineRule="auto"/>
        <w:jc w:val="center"/>
        <w:rPr>
          <w:rFonts w:ascii="Roboto Lt" w:hAnsi="Roboto Lt" w:cs="Arial"/>
          <w:i w:val="0"/>
          <w:color w:val="auto"/>
          <w:sz w:val="22"/>
          <w:szCs w:val="22"/>
        </w:rPr>
      </w:pPr>
      <w:r w:rsidRPr="00A024E1">
        <w:rPr>
          <w:rFonts w:ascii="Roboto Lt" w:hAnsi="Roboto Lt" w:cs="Arial"/>
          <w:b/>
          <w:i w:val="0"/>
          <w:color w:val="auto"/>
          <w:sz w:val="22"/>
          <w:szCs w:val="22"/>
        </w:rPr>
        <w:t>Tabela 5</w:t>
      </w:r>
      <w:r w:rsidR="00022727">
        <w:rPr>
          <w:rFonts w:ascii="Roboto Lt" w:hAnsi="Roboto Lt" w:cs="Arial"/>
          <w:b/>
          <w:i w:val="0"/>
          <w:color w:val="auto"/>
          <w:sz w:val="22"/>
          <w:szCs w:val="22"/>
        </w:rPr>
        <w:t xml:space="preserve"> </w:t>
      </w:r>
      <w:r w:rsidRPr="00A024E1">
        <w:rPr>
          <w:rFonts w:ascii="Roboto Lt" w:hAnsi="Roboto Lt" w:cs="Arial"/>
          <w:b/>
          <w:i w:val="0"/>
          <w:color w:val="auto"/>
          <w:sz w:val="22"/>
          <w:szCs w:val="22"/>
        </w:rPr>
        <w:t>-</w:t>
      </w:r>
      <w:r w:rsidRPr="00A024E1">
        <w:rPr>
          <w:rFonts w:ascii="Roboto Lt" w:hAnsi="Roboto Lt" w:cs="Arial"/>
          <w:i w:val="0"/>
          <w:color w:val="auto"/>
          <w:sz w:val="22"/>
          <w:szCs w:val="22"/>
        </w:rPr>
        <w:t xml:space="preserve"> Desempenho dos estados em 2015.</w:t>
      </w:r>
    </w:p>
    <w:tbl>
      <w:tblPr>
        <w:tblW w:w="2500" w:type="pct"/>
        <w:jc w:val="center"/>
        <w:tblCellMar>
          <w:left w:w="70" w:type="dxa"/>
          <w:right w:w="70" w:type="dxa"/>
        </w:tblCellMar>
        <w:tblLook w:val="04A0" w:firstRow="1" w:lastRow="0" w:firstColumn="1" w:lastColumn="0" w:noHBand="0" w:noVBand="1"/>
      </w:tblPr>
      <w:tblGrid>
        <w:gridCol w:w="1425"/>
        <w:gridCol w:w="2451"/>
        <w:gridCol w:w="1923"/>
        <w:gridCol w:w="1533"/>
      </w:tblGrid>
      <w:tr w:rsidR="00A024E1" w:rsidRPr="00A024E1" w:rsidTr="00534787">
        <w:trPr>
          <w:trHeight w:val="315"/>
          <w:jc w:val="center"/>
        </w:trPr>
        <w:tc>
          <w:tcPr>
            <w:tcW w:w="5000" w:type="pct"/>
            <w:gridSpan w:val="4"/>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2015</w:t>
            </w:r>
          </w:p>
        </w:tc>
      </w:tr>
      <w:tr w:rsidR="00A024E1" w:rsidRPr="00A024E1" w:rsidTr="00534787">
        <w:trPr>
          <w:trHeight w:val="330"/>
          <w:jc w:val="center"/>
        </w:trPr>
        <w:tc>
          <w:tcPr>
            <w:tcW w:w="889"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Desempenho</w:t>
            </w:r>
          </w:p>
        </w:tc>
        <w:tc>
          <w:tcPr>
            <w:tcW w:w="165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Escore </w:t>
            </w:r>
          </w:p>
        </w:tc>
        <w:tc>
          <w:tcPr>
            <w:tcW w:w="143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Estados</w:t>
            </w:r>
          </w:p>
        </w:tc>
        <w:tc>
          <w:tcPr>
            <w:tcW w:w="101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 da Amostra</w:t>
            </w:r>
          </w:p>
        </w:tc>
      </w:tr>
      <w:tr w:rsidR="00A024E1" w:rsidRPr="00A024E1" w:rsidTr="00534787">
        <w:trPr>
          <w:trHeight w:val="345"/>
          <w:jc w:val="center"/>
        </w:trPr>
        <w:tc>
          <w:tcPr>
            <w:tcW w:w="889"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Fraco</w:t>
            </w:r>
          </w:p>
        </w:tc>
        <w:tc>
          <w:tcPr>
            <w:tcW w:w="16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0 a 0,363</w:t>
            </w:r>
          </w:p>
        </w:tc>
        <w:tc>
          <w:tcPr>
            <w:tcW w:w="143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BA </w:t>
            </w:r>
          </w:p>
        </w:tc>
        <w:tc>
          <w:tcPr>
            <w:tcW w:w="101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889"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Razoável</w:t>
            </w:r>
          </w:p>
        </w:tc>
        <w:tc>
          <w:tcPr>
            <w:tcW w:w="16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0,363 a 0,409</w:t>
            </w:r>
          </w:p>
        </w:tc>
        <w:tc>
          <w:tcPr>
            <w:tcW w:w="143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PE</w:t>
            </w:r>
          </w:p>
        </w:tc>
        <w:tc>
          <w:tcPr>
            <w:tcW w:w="101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889"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Bom</w:t>
            </w:r>
          </w:p>
        </w:tc>
        <w:tc>
          <w:tcPr>
            <w:tcW w:w="16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0,409 a 0,488</w:t>
            </w:r>
          </w:p>
        </w:tc>
        <w:tc>
          <w:tcPr>
            <w:tcW w:w="143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MA</w:t>
            </w:r>
          </w:p>
        </w:tc>
        <w:tc>
          <w:tcPr>
            <w:tcW w:w="101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889"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 xml:space="preserve">Muito Bom </w:t>
            </w:r>
          </w:p>
        </w:tc>
        <w:tc>
          <w:tcPr>
            <w:tcW w:w="16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0,488 a 0,723</w:t>
            </w:r>
          </w:p>
        </w:tc>
        <w:tc>
          <w:tcPr>
            <w:tcW w:w="143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CE</w:t>
            </w:r>
          </w:p>
        </w:tc>
        <w:tc>
          <w:tcPr>
            <w:tcW w:w="1016"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30"/>
          <w:jc w:val="center"/>
        </w:trPr>
        <w:tc>
          <w:tcPr>
            <w:tcW w:w="889"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Excelente</w:t>
            </w:r>
          </w:p>
        </w:tc>
        <w:tc>
          <w:tcPr>
            <w:tcW w:w="165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w:t>
            </w:r>
          </w:p>
        </w:tc>
        <w:tc>
          <w:tcPr>
            <w:tcW w:w="143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lang w:val="es-CR"/>
              </w:rPr>
            </w:pPr>
            <w:r w:rsidRPr="00A024E1">
              <w:rPr>
                <w:rFonts w:cs="Arial"/>
                <w:color w:val="000000"/>
                <w:sz w:val="22"/>
                <w:lang w:val="es-CR"/>
              </w:rPr>
              <w:t>PB, PI, RN, SE e AL</w:t>
            </w:r>
          </w:p>
        </w:tc>
        <w:tc>
          <w:tcPr>
            <w:tcW w:w="101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56%</w:t>
            </w:r>
          </w:p>
        </w:tc>
      </w:tr>
    </w:tbl>
    <w:p w:rsidR="00A024E1" w:rsidRPr="00A024E1" w:rsidRDefault="00A024E1" w:rsidP="00A024E1">
      <w:pPr>
        <w:jc w:val="center"/>
        <w:rPr>
          <w:rFonts w:cs="Arial"/>
          <w:sz w:val="20"/>
        </w:rPr>
      </w:pPr>
      <w:r w:rsidRPr="00A024E1">
        <w:rPr>
          <w:rFonts w:cs="Arial"/>
          <w:sz w:val="20"/>
        </w:rPr>
        <w:t>Fonte: elaboração própria.</w:t>
      </w:r>
    </w:p>
    <w:p w:rsidR="00A024E1" w:rsidRDefault="00A024E1" w:rsidP="00A024E1">
      <w:pPr>
        <w:rPr>
          <w:rFonts w:cs="Arial"/>
          <w:szCs w:val="24"/>
        </w:rPr>
      </w:pPr>
    </w:p>
    <w:p w:rsidR="00A024E1" w:rsidRPr="00A024E1" w:rsidRDefault="00A024E1" w:rsidP="00A024E1">
      <w:pPr>
        <w:rPr>
          <w:rFonts w:cs="Arial"/>
          <w:szCs w:val="24"/>
        </w:rPr>
      </w:pPr>
      <w:r>
        <w:rPr>
          <w:rFonts w:cs="Arial"/>
          <w:szCs w:val="24"/>
        </w:rPr>
        <w:tab/>
      </w:r>
      <w:r w:rsidRPr="00A024E1">
        <w:rPr>
          <w:rFonts w:cs="Arial"/>
          <w:szCs w:val="24"/>
        </w:rPr>
        <w:t>No último ano não houve muitas alterações no comportamento dos dados, observando a tendência de classificação de desempenho, os estados que apareceram na classificação em fraco e razoável permaneceram, assim como na classificação bom. No ano em questão, Sergipe deixou de ser classificado como excelente e passou a ser classificado em muito bom, como pode ser observado na Tabela abaixo.</w:t>
      </w:r>
    </w:p>
    <w:p w:rsidR="00A024E1" w:rsidRPr="00A024E1" w:rsidRDefault="00A024E1" w:rsidP="00A024E1">
      <w:pPr>
        <w:pStyle w:val="Legenda"/>
        <w:keepNext/>
        <w:spacing w:after="0" w:line="360" w:lineRule="auto"/>
        <w:jc w:val="center"/>
        <w:rPr>
          <w:rFonts w:ascii="Roboto Lt" w:hAnsi="Roboto Lt" w:cs="Arial"/>
          <w:i w:val="0"/>
          <w:color w:val="auto"/>
          <w:sz w:val="22"/>
          <w:szCs w:val="22"/>
        </w:rPr>
      </w:pPr>
      <w:r w:rsidRPr="00A024E1">
        <w:rPr>
          <w:rFonts w:ascii="Roboto Lt" w:hAnsi="Roboto Lt" w:cs="Arial"/>
          <w:b/>
          <w:i w:val="0"/>
          <w:color w:val="auto"/>
          <w:sz w:val="22"/>
          <w:szCs w:val="22"/>
        </w:rPr>
        <w:t>Tabela 6</w:t>
      </w:r>
      <w:r w:rsidR="00022727">
        <w:rPr>
          <w:rFonts w:ascii="Roboto Lt" w:hAnsi="Roboto Lt" w:cs="Arial"/>
          <w:b/>
          <w:i w:val="0"/>
          <w:color w:val="auto"/>
          <w:sz w:val="22"/>
          <w:szCs w:val="22"/>
        </w:rPr>
        <w:t xml:space="preserve"> </w:t>
      </w:r>
      <w:r w:rsidRPr="00A024E1">
        <w:rPr>
          <w:rFonts w:ascii="Roboto Lt" w:hAnsi="Roboto Lt" w:cs="Arial"/>
          <w:b/>
          <w:i w:val="0"/>
          <w:color w:val="auto"/>
          <w:sz w:val="22"/>
          <w:szCs w:val="22"/>
        </w:rPr>
        <w:t>-</w:t>
      </w:r>
      <w:r w:rsidRPr="00A024E1">
        <w:rPr>
          <w:rFonts w:ascii="Roboto Lt" w:hAnsi="Roboto Lt" w:cs="Arial"/>
          <w:i w:val="0"/>
          <w:color w:val="auto"/>
          <w:sz w:val="22"/>
          <w:szCs w:val="22"/>
        </w:rPr>
        <w:t xml:space="preserve"> Desempenho dos estados em 2016.</w:t>
      </w:r>
    </w:p>
    <w:tbl>
      <w:tblPr>
        <w:tblW w:w="2500" w:type="pct"/>
        <w:jc w:val="center"/>
        <w:tblCellMar>
          <w:left w:w="70" w:type="dxa"/>
          <w:right w:w="70" w:type="dxa"/>
        </w:tblCellMar>
        <w:tblLook w:val="04A0" w:firstRow="1" w:lastRow="0" w:firstColumn="1" w:lastColumn="0" w:noHBand="0" w:noVBand="1"/>
      </w:tblPr>
      <w:tblGrid>
        <w:gridCol w:w="1425"/>
        <w:gridCol w:w="2451"/>
        <w:gridCol w:w="1573"/>
        <w:gridCol w:w="1533"/>
      </w:tblGrid>
      <w:tr w:rsidR="00A024E1" w:rsidRPr="00A024E1" w:rsidTr="00534787">
        <w:trPr>
          <w:trHeight w:val="315"/>
          <w:jc w:val="center"/>
        </w:trPr>
        <w:tc>
          <w:tcPr>
            <w:tcW w:w="5000" w:type="pct"/>
            <w:gridSpan w:val="4"/>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2016</w:t>
            </w:r>
          </w:p>
        </w:tc>
      </w:tr>
      <w:tr w:rsidR="00A024E1" w:rsidRPr="00A024E1" w:rsidTr="00534787">
        <w:trPr>
          <w:trHeight w:val="330"/>
          <w:jc w:val="center"/>
        </w:trPr>
        <w:tc>
          <w:tcPr>
            <w:tcW w:w="94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Desempenho</w:t>
            </w:r>
          </w:p>
        </w:tc>
        <w:tc>
          <w:tcPr>
            <w:tcW w:w="175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Escore </w:t>
            </w:r>
          </w:p>
        </w:tc>
        <w:tc>
          <w:tcPr>
            <w:tcW w:w="1223"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Estados</w:t>
            </w:r>
          </w:p>
        </w:tc>
        <w:tc>
          <w:tcPr>
            <w:tcW w:w="107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 da Amostra</w:t>
            </w:r>
          </w:p>
        </w:tc>
      </w:tr>
      <w:tr w:rsidR="00A024E1" w:rsidRPr="00A024E1" w:rsidTr="00534787">
        <w:trPr>
          <w:trHeight w:val="345"/>
          <w:jc w:val="center"/>
        </w:trPr>
        <w:tc>
          <w:tcPr>
            <w:tcW w:w="942"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Fraco</w:t>
            </w:r>
          </w:p>
        </w:tc>
        <w:tc>
          <w:tcPr>
            <w:tcW w:w="17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 0 a 0,277</w:t>
            </w:r>
          </w:p>
        </w:tc>
        <w:tc>
          <w:tcPr>
            <w:tcW w:w="122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BA e PE</w:t>
            </w:r>
          </w:p>
        </w:tc>
        <w:tc>
          <w:tcPr>
            <w:tcW w:w="10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22%</w:t>
            </w:r>
          </w:p>
        </w:tc>
      </w:tr>
      <w:tr w:rsidR="00A024E1" w:rsidRPr="00A024E1" w:rsidTr="00534787">
        <w:trPr>
          <w:trHeight w:val="315"/>
          <w:jc w:val="center"/>
        </w:trPr>
        <w:tc>
          <w:tcPr>
            <w:tcW w:w="942"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Razoável</w:t>
            </w:r>
          </w:p>
        </w:tc>
        <w:tc>
          <w:tcPr>
            <w:tcW w:w="17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0,277 a 0,377</w:t>
            </w:r>
          </w:p>
        </w:tc>
        <w:tc>
          <w:tcPr>
            <w:tcW w:w="122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CE</w:t>
            </w:r>
          </w:p>
        </w:tc>
        <w:tc>
          <w:tcPr>
            <w:tcW w:w="10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942"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Bom</w:t>
            </w:r>
          </w:p>
        </w:tc>
        <w:tc>
          <w:tcPr>
            <w:tcW w:w="17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0,377 a 0,422</w:t>
            </w:r>
          </w:p>
        </w:tc>
        <w:tc>
          <w:tcPr>
            <w:tcW w:w="122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MA</w:t>
            </w:r>
          </w:p>
        </w:tc>
        <w:tc>
          <w:tcPr>
            <w:tcW w:w="10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15"/>
          <w:jc w:val="center"/>
        </w:trPr>
        <w:tc>
          <w:tcPr>
            <w:tcW w:w="942"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sz w:val="22"/>
              </w:rPr>
            </w:pPr>
            <w:r w:rsidRPr="00A024E1">
              <w:rPr>
                <w:rFonts w:cs="Arial"/>
                <w:color w:val="000000"/>
                <w:sz w:val="22"/>
              </w:rPr>
              <w:t xml:space="preserve">Muito Bom </w:t>
            </w:r>
          </w:p>
        </w:tc>
        <w:tc>
          <w:tcPr>
            <w:tcW w:w="1758"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proofErr w:type="gramStart"/>
            <w:r w:rsidRPr="00A024E1">
              <w:rPr>
                <w:rFonts w:cs="Arial"/>
                <w:color w:val="000000"/>
                <w:sz w:val="22"/>
              </w:rPr>
              <w:t>a</w:t>
            </w:r>
            <w:proofErr w:type="gramEnd"/>
            <w:r w:rsidRPr="00A024E1">
              <w:rPr>
                <w:rFonts w:cs="Arial"/>
                <w:color w:val="000000"/>
                <w:sz w:val="22"/>
              </w:rPr>
              <w:t xml:space="preserve"> partir de 0,422 a 0,904</w:t>
            </w:r>
          </w:p>
        </w:tc>
        <w:tc>
          <w:tcPr>
            <w:tcW w:w="1223"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SE</w:t>
            </w:r>
          </w:p>
        </w:tc>
        <w:tc>
          <w:tcPr>
            <w:tcW w:w="10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11%</w:t>
            </w:r>
          </w:p>
        </w:tc>
      </w:tr>
      <w:tr w:rsidR="00A024E1" w:rsidRPr="00A024E1" w:rsidTr="00534787">
        <w:trPr>
          <w:trHeight w:val="330"/>
          <w:jc w:val="center"/>
        </w:trPr>
        <w:tc>
          <w:tcPr>
            <w:tcW w:w="94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Excelente</w:t>
            </w:r>
          </w:p>
        </w:tc>
        <w:tc>
          <w:tcPr>
            <w:tcW w:w="1758"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1</w:t>
            </w:r>
          </w:p>
        </w:tc>
        <w:tc>
          <w:tcPr>
            <w:tcW w:w="1223"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 xml:space="preserve">PB, PI, RN e </w:t>
            </w:r>
            <w:proofErr w:type="gramStart"/>
            <w:r w:rsidRPr="00A024E1">
              <w:rPr>
                <w:rFonts w:cs="Arial"/>
                <w:color w:val="000000"/>
                <w:sz w:val="22"/>
              </w:rPr>
              <w:t>AL</w:t>
            </w:r>
            <w:proofErr w:type="gramEnd"/>
          </w:p>
        </w:tc>
        <w:tc>
          <w:tcPr>
            <w:tcW w:w="107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sz w:val="22"/>
              </w:rPr>
            </w:pPr>
            <w:r w:rsidRPr="00A024E1">
              <w:rPr>
                <w:rFonts w:cs="Arial"/>
                <w:color w:val="000000"/>
                <w:sz w:val="22"/>
              </w:rPr>
              <w:t>44%</w:t>
            </w:r>
          </w:p>
        </w:tc>
      </w:tr>
    </w:tbl>
    <w:p w:rsidR="00A024E1" w:rsidRPr="00A024E1" w:rsidRDefault="00A024E1" w:rsidP="00A024E1">
      <w:pPr>
        <w:jc w:val="center"/>
        <w:rPr>
          <w:rFonts w:cs="Arial"/>
          <w:sz w:val="20"/>
        </w:rPr>
      </w:pPr>
      <w:r w:rsidRPr="00A024E1">
        <w:rPr>
          <w:rFonts w:cs="Arial"/>
          <w:b/>
          <w:sz w:val="20"/>
        </w:rPr>
        <w:t>Fonte:</w:t>
      </w:r>
      <w:r w:rsidRPr="00A024E1">
        <w:rPr>
          <w:rFonts w:cs="Arial"/>
          <w:sz w:val="20"/>
        </w:rPr>
        <w:t xml:space="preserve"> elaboração própria.</w:t>
      </w:r>
    </w:p>
    <w:p w:rsidR="00A024E1" w:rsidRDefault="00A024E1" w:rsidP="00A024E1">
      <w:pPr>
        <w:rPr>
          <w:rFonts w:cs="Arial"/>
          <w:szCs w:val="24"/>
        </w:rPr>
      </w:pPr>
    </w:p>
    <w:p w:rsidR="00A024E1" w:rsidRPr="00A024E1" w:rsidRDefault="00A024E1" w:rsidP="00A024E1">
      <w:pPr>
        <w:rPr>
          <w:rFonts w:cs="Arial"/>
          <w:szCs w:val="24"/>
        </w:rPr>
      </w:pPr>
      <w:r>
        <w:rPr>
          <w:rFonts w:cs="Arial"/>
          <w:szCs w:val="24"/>
        </w:rPr>
        <w:tab/>
      </w:r>
      <w:r w:rsidRPr="00A024E1">
        <w:rPr>
          <w:rFonts w:cs="Arial"/>
          <w:szCs w:val="24"/>
        </w:rPr>
        <w:t xml:space="preserve">Por fim, fazendo uma análise geral de classificação, observa-se que durante a janela temporal estudada, 33% dos estados da região Nordeste, quais sejam, Bahia, Pernambuco e Ceará, apresentam desempenho fraco ou razoável. Dos nove estados </w:t>
      </w:r>
      <w:r w:rsidRPr="00A024E1">
        <w:rPr>
          <w:rFonts w:cs="Arial"/>
          <w:szCs w:val="24"/>
        </w:rPr>
        <w:lastRenderedPageBreak/>
        <w:t xml:space="preserve">analisados apenas 3 se classificaram com desempenho bom ou muito bom, que foram Maranhão, Sergipe e Alagoas. No padrão de desempenho, apenas 33% alcançaram a marca de classificação de excelência, apresentando escore 1 para todos os anos analisados. </w:t>
      </w:r>
    </w:p>
    <w:p w:rsidR="00A024E1" w:rsidRPr="00022727" w:rsidRDefault="00A024E1" w:rsidP="00022727">
      <w:pPr>
        <w:pStyle w:val="Legenda"/>
        <w:keepNext/>
        <w:spacing w:after="0" w:line="360" w:lineRule="auto"/>
        <w:jc w:val="center"/>
        <w:rPr>
          <w:rFonts w:ascii="Roboto Lt" w:hAnsi="Roboto Lt" w:cs="Arial"/>
          <w:i w:val="0"/>
          <w:color w:val="auto"/>
          <w:sz w:val="22"/>
          <w:szCs w:val="22"/>
        </w:rPr>
      </w:pPr>
      <w:r w:rsidRPr="00022727">
        <w:rPr>
          <w:rFonts w:ascii="Roboto Lt" w:hAnsi="Roboto Lt" w:cs="Arial"/>
          <w:b/>
          <w:i w:val="0"/>
          <w:color w:val="auto"/>
          <w:sz w:val="22"/>
          <w:szCs w:val="22"/>
        </w:rPr>
        <w:t>Tabela 7 -</w:t>
      </w:r>
      <w:r w:rsidRPr="00022727">
        <w:rPr>
          <w:rFonts w:ascii="Roboto Lt" w:hAnsi="Roboto Lt" w:cs="Arial"/>
          <w:i w:val="0"/>
          <w:color w:val="auto"/>
          <w:sz w:val="22"/>
          <w:szCs w:val="22"/>
        </w:rPr>
        <w:t xml:space="preserve"> Desempenho geral dos estados da região nordeste.</w:t>
      </w:r>
    </w:p>
    <w:tbl>
      <w:tblPr>
        <w:tblW w:w="2500" w:type="pct"/>
        <w:jc w:val="center"/>
        <w:tblCellMar>
          <w:left w:w="70" w:type="dxa"/>
          <w:right w:w="70" w:type="dxa"/>
        </w:tblCellMar>
        <w:tblLook w:val="04A0" w:firstRow="1" w:lastRow="0" w:firstColumn="1" w:lastColumn="0" w:noHBand="0" w:noVBand="1"/>
      </w:tblPr>
      <w:tblGrid>
        <w:gridCol w:w="1542"/>
        <w:gridCol w:w="2720"/>
        <w:gridCol w:w="1320"/>
        <w:gridCol w:w="1659"/>
      </w:tblGrid>
      <w:tr w:rsidR="00A024E1" w:rsidRPr="00A024E1" w:rsidTr="00022727">
        <w:trPr>
          <w:trHeight w:val="300"/>
          <w:jc w:val="center"/>
        </w:trPr>
        <w:tc>
          <w:tcPr>
            <w:tcW w:w="5000" w:type="pct"/>
            <w:gridSpan w:val="4"/>
            <w:tcBorders>
              <w:top w:val="single" w:sz="4" w:space="0" w:color="auto"/>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GERAL</w:t>
            </w:r>
          </w:p>
        </w:tc>
      </w:tr>
      <w:tr w:rsidR="00A024E1" w:rsidRPr="00A024E1" w:rsidTr="00534787">
        <w:trPr>
          <w:trHeight w:val="315"/>
          <w:jc w:val="center"/>
        </w:trPr>
        <w:tc>
          <w:tcPr>
            <w:tcW w:w="101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Desempenho</w:t>
            </w:r>
          </w:p>
        </w:tc>
        <w:tc>
          <w:tcPr>
            <w:tcW w:w="1945"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 xml:space="preserve"> Escore </w:t>
            </w:r>
          </w:p>
        </w:tc>
        <w:tc>
          <w:tcPr>
            <w:tcW w:w="87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Estados</w:t>
            </w:r>
          </w:p>
        </w:tc>
        <w:tc>
          <w:tcPr>
            <w:tcW w:w="116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 xml:space="preserve"> % da Amostra</w:t>
            </w:r>
          </w:p>
        </w:tc>
      </w:tr>
      <w:tr w:rsidR="00A024E1" w:rsidRPr="00A024E1" w:rsidTr="00534787">
        <w:trPr>
          <w:trHeight w:val="315"/>
          <w:jc w:val="center"/>
        </w:trPr>
        <w:tc>
          <w:tcPr>
            <w:tcW w:w="101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Fraco</w:t>
            </w:r>
          </w:p>
        </w:tc>
        <w:tc>
          <w:tcPr>
            <w:tcW w:w="194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0 a 0,303</w:t>
            </w:r>
          </w:p>
        </w:tc>
        <w:tc>
          <w:tcPr>
            <w:tcW w:w="8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BA e PE</w:t>
            </w:r>
          </w:p>
        </w:tc>
        <w:tc>
          <w:tcPr>
            <w:tcW w:w="116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22%</w:t>
            </w:r>
          </w:p>
        </w:tc>
      </w:tr>
      <w:tr w:rsidR="00A024E1" w:rsidRPr="00A024E1" w:rsidTr="00534787">
        <w:trPr>
          <w:trHeight w:val="300"/>
          <w:jc w:val="center"/>
        </w:trPr>
        <w:tc>
          <w:tcPr>
            <w:tcW w:w="101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Razoável</w:t>
            </w:r>
          </w:p>
        </w:tc>
        <w:tc>
          <w:tcPr>
            <w:tcW w:w="194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 xml:space="preserve"> </w:t>
            </w:r>
            <w:proofErr w:type="gramStart"/>
            <w:r w:rsidRPr="00A024E1">
              <w:rPr>
                <w:rFonts w:cs="Arial"/>
                <w:color w:val="000000"/>
              </w:rPr>
              <w:t>a</w:t>
            </w:r>
            <w:proofErr w:type="gramEnd"/>
            <w:r w:rsidRPr="00A024E1">
              <w:rPr>
                <w:rFonts w:cs="Arial"/>
                <w:color w:val="000000"/>
              </w:rPr>
              <w:t xml:space="preserve"> partir de 0,303 a 0,379</w:t>
            </w:r>
          </w:p>
        </w:tc>
        <w:tc>
          <w:tcPr>
            <w:tcW w:w="8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CE</w:t>
            </w:r>
          </w:p>
        </w:tc>
        <w:tc>
          <w:tcPr>
            <w:tcW w:w="116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11%</w:t>
            </w:r>
          </w:p>
        </w:tc>
      </w:tr>
      <w:tr w:rsidR="00A024E1" w:rsidRPr="00A024E1" w:rsidTr="00534787">
        <w:trPr>
          <w:trHeight w:val="300"/>
          <w:jc w:val="center"/>
        </w:trPr>
        <w:tc>
          <w:tcPr>
            <w:tcW w:w="101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Bom</w:t>
            </w:r>
          </w:p>
        </w:tc>
        <w:tc>
          <w:tcPr>
            <w:tcW w:w="194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proofErr w:type="gramStart"/>
            <w:r w:rsidRPr="00A024E1">
              <w:rPr>
                <w:rFonts w:cs="Arial"/>
                <w:color w:val="000000"/>
              </w:rPr>
              <w:t>a</w:t>
            </w:r>
            <w:proofErr w:type="gramEnd"/>
            <w:r w:rsidRPr="00A024E1">
              <w:rPr>
                <w:rFonts w:cs="Arial"/>
                <w:color w:val="000000"/>
              </w:rPr>
              <w:t xml:space="preserve"> partir de 0,379 a 0,704</w:t>
            </w:r>
          </w:p>
        </w:tc>
        <w:tc>
          <w:tcPr>
            <w:tcW w:w="8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MA</w:t>
            </w:r>
          </w:p>
        </w:tc>
        <w:tc>
          <w:tcPr>
            <w:tcW w:w="116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11%</w:t>
            </w:r>
          </w:p>
        </w:tc>
      </w:tr>
      <w:tr w:rsidR="00A024E1" w:rsidRPr="00A024E1" w:rsidTr="00534787">
        <w:trPr>
          <w:trHeight w:val="315"/>
          <w:jc w:val="center"/>
        </w:trPr>
        <w:tc>
          <w:tcPr>
            <w:tcW w:w="1016"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 xml:space="preserve">Muito Bom </w:t>
            </w:r>
          </w:p>
        </w:tc>
        <w:tc>
          <w:tcPr>
            <w:tcW w:w="1945"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proofErr w:type="gramStart"/>
            <w:r w:rsidRPr="00A024E1">
              <w:rPr>
                <w:rFonts w:cs="Arial"/>
                <w:color w:val="000000"/>
              </w:rPr>
              <w:t>a</w:t>
            </w:r>
            <w:proofErr w:type="gramEnd"/>
            <w:r w:rsidRPr="00A024E1">
              <w:rPr>
                <w:rFonts w:cs="Arial"/>
                <w:color w:val="000000"/>
              </w:rPr>
              <w:t xml:space="preserve"> partir de 0,704 a 0,954</w:t>
            </w:r>
          </w:p>
        </w:tc>
        <w:tc>
          <w:tcPr>
            <w:tcW w:w="877"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SE e AL</w:t>
            </w:r>
          </w:p>
        </w:tc>
        <w:tc>
          <w:tcPr>
            <w:tcW w:w="1162" w:type="pct"/>
            <w:tcBorders>
              <w:top w:val="nil"/>
              <w:left w:val="nil"/>
              <w:bottom w:val="nil"/>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22%</w:t>
            </w:r>
          </w:p>
        </w:tc>
      </w:tr>
      <w:tr w:rsidR="00A024E1" w:rsidRPr="00A024E1" w:rsidTr="00534787">
        <w:trPr>
          <w:trHeight w:val="315"/>
          <w:jc w:val="center"/>
        </w:trPr>
        <w:tc>
          <w:tcPr>
            <w:tcW w:w="1016"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Excelente</w:t>
            </w:r>
          </w:p>
        </w:tc>
        <w:tc>
          <w:tcPr>
            <w:tcW w:w="1945"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1</w:t>
            </w:r>
          </w:p>
        </w:tc>
        <w:tc>
          <w:tcPr>
            <w:tcW w:w="877"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 xml:space="preserve">PB, PI e </w:t>
            </w:r>
            <w:proofErr w:type="gramStart"/>
            <w:r w:rsidRPr="00A024E1">
              <w:rPr>
                <w:rFonts w:cs="Arial"/>
                <w:color w:val="000000"/>
              </w:rPr>
              <w:t>RN</w:t>
            </w:r>
            <w:proofErr w:type="gramEnd"/>
          </w:p>
        </w:tc>
        <w:tc>
          <w:tcPr>
            <w:tcW w:w="1162" w:type="pct"/>
            <w:tcBorders>
              <w:top w:val="nil"/>
              <w:left w:val="nil"/>
              <w:bottom w:val="double" w:sz="6" w:space="0" w:color="auto"/>
              <w:right w:val="nil"/>
            </w:tcBorders>
            <w:shd w:val="clear" w:color="auto" w:fill="auto"/>
            <w:noWrap/>
            <w:vAlign w:val="center"/>
            <w:hideMark/>
          </w:tcPr>
          <w:p w:rsidR="00A024E1" w:rsidRPr="00A024E1" w:rsidRDefault="00A024E1" w:rsidP="00A024E1">
            <w:pPr>
              <w:jc w:val="center"/>
              <w:rPr>
                <w:rFonts w:cs="Arial"/>
                <w:color w:val="000000"/>
              </w:rPr>
            </w:pPr>
            <w:r w:rsidRPr="00A024E1">
              <w:rPr>
                <w:rFonts w:cs="Arial"/>
                <w:color w:val="000000"/>
              </w:rPr>
              <w:t>33%</w:t>
            </w:r>
          </w:p>
        </w:tc>
      </w:tr>
    </w:tbl>
    <w:p w:rsidR="00A024E1" w:rsidRDefault="00A024E1" w:rsidP="00022727">
      <w:pPr>
        <w:jc w:val="center"/>
        <w:rPr>
          <w:rFonts w:cs="Arial"/>
          <w:sz w:val="20"/>
        </w:rPr>
      </w:pPr>
      <w:r w:rsidRPr="00022727">
        <w:rPr>
          <w:rFonts w:cs="Arial"/>
          <w:b/>
          <w:sz w:val="20"/>
        </w:rPr>
        <w:t>Fonte:</w:t>
      </w:r>
      <w:r w:rsidRPr="00022727">
        <w:rPr>
          <w:rFonts w:cs="Arial"/>
          <w:sz w:val="20"/>
        </w:rPr>
        <w:t xml:space="preserve"> elaboração própria.</w:t>
      </w:r>
    </w:p>
    <w:p w:rsidR="00022727" w:rsidRPr="00022727" w:rsidRDefault="00022727" w:rsidP="00022727">
      <w:pPr>
        <w:jc w:val="center"/>
        <w:rPr>
          <w:rFonts w:cs="Arial"/>
          <w:sz w:val="20"/>
        </w:rPr>
      </w:pPr>
    </w:p>
    <w:p w:rsidR="00A024E1" w:rsidRPr="00022727" w:rsidRDefault="00A024E1" w:rsidP="00022727">
      <w:pPr>
        <w:pStyle w:val="Legenda"/>
        <w:keepNext/>
        <w:spacing w:after="0" w:line="360" w:lineRule="auto"/>
        <w:jc w:val="center"/>
        <w:rPr>
          <w:rFonts w:ascii="Roboto Lt" w:hAnsi="Roboto Lt" w:cs="Arial"/>
          <w:i w:val="0"/>
          <w:color w:val="auto"/>
          <w:sz w:val="22"/>
          <w:szCs w:val="22"/>
        </w:rPr>
      </w:pPr>
      <w:r w:rsidRPr="00022727">
        <w:rPr>
          <w:rFonts w:ascii="Roboto Lt" w:hAnsi="Roboto Lt" w:cs="Arial"/>
          <w:b/>
          <w:i w:val="0"/>
          <w:color w:val="auto"/>
          <w:sz w:val="22"/>
          <w:szCs w:val="22"/>
        </w:rPr>
        <w:t xml:space="preserve">Tabela </w:t>
      </w:r>
      <w:r w:rsidR="00022727" w:rsidRPr="00022727">
        <w:rPr>
          <w:rFonts w:ascii="Roboto Lt" w:hAnsi="Roboto Lt" w:cs="Arial"/>
          <w:b/>
          <w:i w:val="0"/>
          <w:color w:val="auto"/>
          <w:sz w:val="22"/>
          <w:szCs w:val="22"/>
        </w:rPr>
        <w:t>8</w:t>
      </w:r>
      <w:r w:rsidRPr="00022727">
        <w:rPr>
          <w:rFonts w:ascii="Roboto Lt" w:hAnsi="Roboto Lt" w:cs="Arial"/>
          <w:b/>
          <w:i w:val="0"/>
          <w:color w:val="auto"/>
          <w:sz w:val="22"/>
          <w:szCs w:val="22"/>
        </w:rPr>
        <w:t xml:space="preserve"> -</w:t>
      </w:r>
      <w:r w:rsidRPr="00022727">
        <w:rPr>
          <w:rFonts w:ascii="Roboto Lt" w:hAnsi="Roboto Lt" w:cs="Arial"/>
          <w:i w:val="0"/>
          <w:color w:val="auto"/>
          <w:sz w:val="22"/>
          <w:szCs w:val="22"/>
        </w:rPr>
        <w:t xml:space="preserve"> Índice </w:t>
      </w:r>
      <w:proofErr w:type="spellStart"/>
      <w:r w:rsidRPr="00022727">
        <w:rPr>
          <w:rFonts w:ascii="Roboto Lt" w:hAnsi="Roboto Lt" w:cs="Arial"/>
          <w:i w:val="0"/>
          <w:color w:val="auto"/>
          <w:sz w:val="22"/>
          <w:szCs w:val="22"/>
        </w:rPr>
        <w:t>Malmquist</w:t>
      </w:r>
      <w:proofErr w:type="spellEnd"/>
    </w:p>
    <w:tbl>
      <w:tblPr>
        <w:tblW w:w="2500" w:type="pct"/>
        <w:jc w:val="center"/>
        <w:tblCellMar>
          <w:left w:w="70" w:type="dxa"/>
          <w:right w:w="70" w:type="dxa"/>
        </w:tblCellMar>
        <w:tblLook w:val="04A0" w:firstRow="1" w:lastRow="0" w:firstColumn="1" w:lastColumn="0" w:noHBand="0" w:noVBand="1"/>
      </w:tblPr>
      <w:tblGrid>
        <w:gridCol w:w="2280"/>
        <w:gridCol w:w="718"/>
        <w:gridCol w:w="718"/>
        <w:gridCol w:w="718"/>
        <w:gridCol w:w="718"/>
      </w:tblGrid>
      <w:tr w:rsidR="00A024E1" w:rsidRPr="00A024E1" w:rsidTr="00534787">
        <w:trPr>
          <w:trHeight w:val="330"/>
          <w:jc w:val="center"/>
        </w:trPr>
        <w:tc>
          <w:tcPr>
            <w:tcW w:w="5000" w:type="pct"/>
            <w:gridSpan w:val="5"/>
            <w:tcBorders>
              <w:top w:val="single" w:sz="8" w:space="0" w:color="auto"/>
              <w:left w:val="single" w:sz="8" w:space="0" w:color="auto"/>
              <w:bottom w:val="nil"/>
              <w:right w:val="single" w:sz="8" w:space="0" w:color="000000"/>
            </w:tcBorders>
            <w:shd w:val="clear" w:color="000000" w:fill="D8D8D8"/>
            <w:vAlign w:val="center"/>
            <w:hideMark/>
          </w:tcPr>
          <w:p w:rsidR="00A024E1" w:rsidRPr="00A024E1" w:rsidRDefault="00A024E1" w:rsidP="00A024E1">
            <w:pPr>
              <w:jc w:val="center"/>
              <w:rPr>
                <w:rFonts w:cs="Arial"/>
                <w:b/>
                <w:bCs/>
                <w:color w:val="000000"/>
              </w:rPr>
            </w:pPr>
            <w:r w:rsidRPr="00A024E1">
              <w:rPr>
                <w:rFonts w:cs="Arial"/>
                <w:b/>
                <w:bCs/>
                <w:color w:val="000000"/>
              </w:rPr>
              <w:t>Índice</w:t>
            </w:r>
            <w:r w:rsidRPr="00A024E1">
              <w:rPr>
                <w:rFonts w:cs="Arial"/>
                <w:b/>
                <w:bCs/>
                <w:i/>
                <w:iCs/>
                <w:color w:val="000000"/>
              </w:rPr>
              <w:t xml:space="preserve"> </w:t>
            </w:r>
            <w:proofErr w:type="spellStart"/>
            <w:r w:rsidRPr="00A024E1">
              <w:rPr>
                <w:rFonts w:cs="Arial"/>
                <w:b/>
                <w:bCs/>
                <w:i/>
                <w:iCs/>
                <w:color w:val="000000"/>
              </w:rPr>
              <w:t>Malmquist</w:t>
            </w:r>
            <w:proofErr w:type="spellEnd"/>
          </w:p>
        </w:tc>
      </w:tr>
      <w:tr w:rsidR="00A024E1" w:rsidRPr="00A024E1" w:rsidTr="00534787">
        <w:trPr>
          <w:trHeight w:val="330"/>
          <w:jc w:val="center"/>
        </w:trPr>
        <w:tc>
          <w:tcPr>
            <w:tcW w:w="2179" w:type="pct"/>
            <w:tcBorders>
              <w:top w:val="nil"/>
              <w:left w:val="single" w:sz="8" w:space="0" w:color="auto"/>
              <w:bottom w:val="single" w:sz="8" w:space="0" w:color="auto"/>
              <w:right w:val="nil"/>
            </w:tcBorders>
            <w:shd w:val="clear" w:color="000000" w:fill="D9D9D9"/>
            <w:noWrap/>
            <w:vAlign w:val="center"/>
            <w:hideMark/>
          </w:tcPr>
          <w:p w:rsidR="00A024E1" w:rsidRPr="00A024E1" w:rsidRDefault="00A024E1" w:rsidP="00A024E1">
            <w:pPr>
              <w:jc w:val="center"/>
              <w:rPr>
                <w:rFonts w:cs="Arial"/>
                <w:b/>
                <w:bCs/>
                <w:color w:val="000000"/>
              </w:rPr>
            </w:pPr>
            <w:r w:rsidRPr="00A024E1">
              <w:rPr>
                <w:rFonts w:cs="Arial"/>
                <w:b/>
                <w:bCs/>
                <w:color w:val="000000"/>
              </w:rPr>
              <w:t>Estado</w:t>
            </w:r>
          </w:p>
        </w:tc>
        <w:tc>
          <w:tcPr>
            <w:tcW w:w="705" w:type="pct"/>
            <w:tcBorders>
              <w:top w:val="nil"/>
              <w:left w:val="nil"/>
              <w:bottom w:val="single" w:sz="8" w:space="0" w:color="auto"/>
              <w:right w:val="nil"/>
            </w:tcBorders>
            <w:shd w:val="clear" w:color="000000" w:fill="D9D9D9"/>
            <w:noWrap/>
            <w:vAlign w:val="center"/>
            <w:hideMark/>
          </w:tcPr>
          <w:p w:rsidR="00A024E1" w:rsidRPr="00A024E1" w:rsidRDefault="00A024E1" w:rsidP="00A024E1">
            <w:pPr>
              <w:jc w:val="center"/>
              <w:rPr>
                <w:rFonts w:cs="Arial"/>
                <w:b/>
                <w:bCs/>
                <w:color w:val="000000"/>
              </w:rPr>
            </w:pPr>
            <w:r w:rsidRPr="00A024E1">
              <w:rPr>
                <w:rFonts w:cs="Arial"/>
                <w:b/>
                <w:bCs/>
                <w:color w:val="000000"/>
              </w:rPr>
              <w:t>2013</w:t>
            </w:r>
          </w:p>
        </w:tc>
        <w:tc>
          <w:tcPr>
            <w:tcW w:w="705" w:type="pct"/>
            <w:tcBorders>
              <w:top w:val="nil"/>
              <w:left w:val="nil"/>
              <w:bottom w:val="single" w:sz="8" w:space="0" w:color="auto"/>
              <w:right w:val="nil"/>
            </w:tcBorders>
            <w:shd w:val="clear" w:color="000000" w:fill="D9D9D9"/>
            <w:noWrap/>
            <w:vAlign w:val="center"/>
            <w:hideMark/>
          </w:tcPr>
          <w:p w:rsidR="00A024E1" w:rsidRPr="00A024E1" w:rsidRDefault="00A024E1" w:rsidP="00A024E1">
            <w:pPr>
              <w:jc w:val="center"/>
              <w:rPr>
                <w:rFonts w:cs="Arial"/>
                <w:b/>
                <w:bCs/>
                <w:color w:val="000000"/>
              </w:rPr>
            </w:pPr>
            <w:r w:rsidRPr="00A024E1">
              <w:rPr>
                <w:rFonts w:cs="Arial"/>
                <w:b/>
                <w:bCs/>
                <w:color w:val="000000"/>
              </w:rPr>
              <w:t>2014</w:t>
            </w:r>
          </w:p>
        </w:tc>
        <w:tc>
          <w:tcPr>
            <w:tcW w:w="705" w:type="pct"/>
            <w:tcBorders>
              <w:top w:val="nil"/>
              <w:left w:val="nil"/>
              <w:bottom w:val="single" w:sz="8" w:space="0" w:color="auto"/>
              <w:right w:val="nil"/>
            </w:tcBorders>
            <w:shd w:val="clear" w:color="000000" w:fill="D9D9D9"/>
            <w:noWrap/>
            <w:vAlign w:val="center"/>
            <w:hideMark/>
          </w:tcPr>
          <w:p w:rsidR="00A024E1" w:rsidRPr="00A024E1" w:rsidRDefault="00A024E1" w:rsidP="00A024E1">
            <w:pPr>
              <w:jc w:val="center"/>
              <w:rPr>
                <w:rFonts w:cs="Arial"/>
                <w:b/>
                <w:bCs/>
                <w:color w:val="000000"/>
              </w:rPr>
            </w:pPr>
            <w:r w:rsidRPr="00A024E1">
              <w:rPr>
                <w:rFonts w:cs="Arial"/>
                <w:b/>
                <w:bCs/>
                <w:color w:val="000000"/>
              </w:rPr>
              <w:t>2015</w:t>
            </w:r>
          </w:p>
        </w:tc>
        <w:tc>
          <w:tcPr>
            <w:tcW w:w="705" w:type="pct"/>
            <w:tcBorders>
              <w:top w:val="nil"/>
              <w:left w:val="nil"/>
              <w:bottom w:val="single" w:sz="8" w:space="0" w:color="auto"/>
              <w:right w:val="single" w:sz="8" w:space="0" w:color="auto"/>
            </w:tcBorders>
            <w:shd w:val="clear" w:color="000000" w:fill="D9D9D9"/>
            <w:noWrap/>
            <w:vAlign w:val="center"/>
            <w:hideMark/>
          </w:tcPr>
          <w:p w:rsidR="00A024E1" w:rsidRPr="00A024E1" w:rsidRDefault="00A024E1" w:rsidP="00A024E1">
            <w:pPr>
              <w:jc w:val="center"/>
              <w:rPr>
                <w:rFonts w:cs="Arial"/>
                <w:b/>
                <w:bCs/>
                <w:color w:val="000000"/>
              </w:rPr>
            </w:pPr>
            <w:r w:rsidRPr="00A024E1">
              <w:rPr>
                <w:rFonts w:cs="Arial"/>
                <w:b/>
                <w:bCs/>
                <w:color w:val="000000"/>
              </w:rPr>
              <w:t>2016</w:t>
            </w:r>
          </w:p>
        </w:tc>
      </w:tr>
      <w:tr w:rsidR="00A024E1" w:rsidRPr="00A024E1" w:rsidTr="00534787">
        <w:trPr>
          <w:trHeight w:val="300"/>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Alagoas</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1,116</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0,709</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1,617</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0,966</w:t>
            </w:r>
          </w:p>
        </w:tc>
      </w:tr>
      <w:tr w:rsidR="00A024E1" w:rsidRPr="00A024E1" w:rsidTr="00534787">
        <w:trPr>
          <w:trHeight w:val="315"/>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Bahia</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0,995</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0,681</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0,858</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0,952</w:t>
            </w:r>
          </w:p>
        </w:tc>
      </w:tr>
      <w:tr w:rsidR="00A024E1" w:rsidRPr="00A024E1" w:rsidTr="00534787">
        <w:trPr>
          <w:trHeight w:val="315"/>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Ceará</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0,906</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1,228</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0,995</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0,764</w:t>
            </w:r>
          </w:p>
        </w:tc>
      </w:tr>
      <w:tr w:rsidR="00A024E1" w:rsidRPr="00A024E1" w:rsidTr="00534787">
        <w:trPr>
          <w:trHeight w:val="300"/>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Maranhão</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0,848</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0,751</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0,827</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0,911</w:t>
            </w:r>
          </w:p>
        </w:tc>
      </w:tr>
      <w:tr w:rsidR="00A024E1" w:rsidRPr="00A024E1" w:rsidTr="00534787">
        <w:trPr>
          <w:trHeight w:val="300"/>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Paraíba</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0,359</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1,992</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0,596</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0,708</w:t>
            </w:r>
          </w:p>
        </w:tc>
      </w:tr>
      <w:tr w:rsidR="00A024E1" w:rsidRPr="00A024E1" w:rsidTr="00534787">
        <w:trPr>
          <w:trHeight w:val="315"/>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Pernambuco</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1,133</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0,89</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1,015</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0,678</w:t>
            </w:r>
          </w:p>
        </w:tc>
      </w:tr>
      <w:tr w:rsidR="00A024E1" w:rsidRPr="00A024E1" w:rsidTr="00534787">
        <w:trPr>
          <w:trHeight w:val="315"/>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Piauí</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2,244</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1,472</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0,231</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0,325</w:t>
            </w:r>
          </w:p>
        </w:tc>
      </w:tr>
      <w:tr w:rsidR="00A024E1" w:rsidRPr="00A024E1" w:rsidTr="00534787">
        <w:trPr>
          <w:trHeight w:val="300"/>
          <w:jc w:val="center"/>
        </w:trPr>
        <w:tc>
          <w:tcPr>
            <w:tcW w:w="2179" w:type="pct"/>
            <w:tcBorders>
              <w:top w:val="nil"/>
              <w:left w:val="single" w:sz="8" w:space="0" w:color="auto"/>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Rio Grande do Norte</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0,809</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0,674</w:t>
            </w:r>
          </w:p>
        </w:tc>
        <w:tc>
          <w:tcPr>
            <w:tcW w:w="705" w:type="pct"/>
            <w:tcBorders>
              <w:top w:val="nil"/>
              <w:left w:val="nil"/>
              <w:bottom w:val="nil"/>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0,866</w:t>
            </w:r>
          </w:p>
        </w:tc>
        <w:tc>
          <w:tcPr>
            <w:tcW w:w="705" w:type="pct"/>
            <w:tcBorders>
              <w:top w:val="nil"/>
              <w:left w:val="nil"/>
              <w:bottom w:val="nil"/>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1,192</w:t>
            </w:r>
          </w:p>
        </w:tc>
      </w:tr>
      <w:tr w:rsidR="00A024E1" w:rsidRPr="00A024E1" w:rsidTr="00534787">
        <w:trPr>
          <w:trHeight w:val="315"/>
          <w:jc w:val="center"/>
        </w:trPr>
        <w:tc>
          <w:tcPr>
            <w:tcW w:w="2179" w:type="pct"/>
            <w:tcBorders>
              <w:top w:val="nil"/>
              <w:left w:val="single" w:sz="8" w:space="0" w:color="auto"/>
              <w:bottom w:val="single" w:sz="8" w:space="0" w:color="auto"/>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Sergipe</w:t>
            </w:r>
          </w:p>
        </w:tc>
        <w:tc>
          <w:tcPr>
            <w:tcW w:w="705" w:type="pct"/>
            <w:tcBorders>
              <w:top w:val="nil"/>
              <w:left w:val="nil"/>
              <w:bottom w:val="single" w:sz="8" w:space="0" w:color="auto"/>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0,844</w:t>
            </w:r>
          </w:p>
        </w:tc>
        <w:tc>
          <w:tcPr>
            <w:tcW w:w="705" w:type="pct"/>
            <w:tcBorders>
              <w:top w:val="nil"/>
              <w:left w:val="nil"/>
              <w:bottom w:val="single" w:sz="8" w:space="0" w:color="auto"/>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3,779</w:t>
            </w:r>
          </w:p>
        </w:tc>
        <w:tc>
          <w:tcPr>
            <w:tcW w:w="705" w:type="pct"/>
            <w:tcBorders>
              <w:top w:val="nil"/>
              <w:left w:val="nil"/>
              <w:bottom w:val="single" w:sz="8" w:space="0" w:color="auto"/>
              <w:right w:val="nil"/>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0,161</w:t>
            </w:r>
          </w:p>
        </w:tc>
        <w:tc>
          <w:tcPr>
            <w:tcW w:w="705" w:type="pct"/>
            <w:tcBorders>
              <w:top w:val="nil"/>
              <w:left w:val="nil"/>
              <w:bottom w:val="single" w:sz="8" w:space="0" w:color="auto"/>
              <w:right w:val="single" w:sz="8" w:space="0" w:color="auto"/>
            </w:tcBorders>
            <w:shd w:val="clear" w:color="auto" w:fill="auto"/>
            <w:noWrap/>
            <w:vAlign w:val="bottom"/>
            <w:hideMark/>
          </w:tcPr>
          <w:p w:rsidR="00A024E1" w:rsidRPr="00A024E1" w:rsidRDefault="00A024E1" w:rsidP="00A024E1">
            <w:pPr>
              <w:jc w:val="center"/>
              <w:rPr>
                <w:rFonts w:cs="Arial"/>
                <w:color w:val="000000"/>
              </w:rPr>
            </w:pPr>
            <w:r w:rsidRPr="00A024E1">
              <w:rPr>
                <w:rFonts w:cs="Arial"/>
                <w:color w:val="000000"/>
              </w:rPr>
              <w:t>0,78</w:t>
            </w:r>
          </w:p>
        </w:tc>
      </w:tr>
    </w:tbl>
    <w:p w:rsidR="00A024E1" w:rsidRDefault="00A024E1" w:rsidP="00022727">
      <w:pPr>
        <w:autoSpaceDE w:val="0"/>
        <w:autoSpaceDN w:val="0"/>
        <w:adjustRightInd w:val="0"/>
        <w:jc w:val="center"/>
        <w:rPr>
          <w:rFonts w:cs="Arial"/>
          <w:sz w:val="20"/>
        </w:rPr>
      </w:pPr>
      <w:r w:rsidRPr="00022727">
        <w:rPr>
          <w:rFonts w:cs="Arial"/>
          <w:b/>
          <w:sz w:val="20"/>
        </w:rPr>
        <w:t>Fonte:</w:t>
      </w:r>
      <w:r w:rsidRPr="00022727">
        <w:rPr>
          <w:rFonts w:cs="Arial"/>
          <w:sz w:val="20"/>
        </w:rPr>
        <w:t xml:space="preserve"> elaboração própria.</w:t>
      </w:r>
    </w:p>
    <w:p w:rsidR="00022727" w:rsidRPr="00022727" w:rsidRDefault="00022727" w:rsidP="00022727">
      <w:pPr>
        <w:autoSpaceDE w:val="0"/>
        <w:autoSpaceDN w:val="0"/>
        <w:adjustRightInd w:val="0"/>
        <w:jc w:val="center"/>
        <w:rPr>
          <w:rFonts w:cs="Arial"/>
          <w:sz w:val="20"/>
        </w:rPr>
      </w:pPr>
    </w:p>
    <w:p w:rsidR="00A024E1" w:rsidRPr="00A024E1" w:rsidRDefault="00022727" w:rsidP="00A024E1">
      <w:pPr>
        <w:autoSpaceDE w:val="0"/>
        <w:autoSpaceDN w:val="0"/>
        <w:adjustRightInd w:val="0"/>
        <w:rPr>
          <w:rFonts w:cs="Arial"/>
          <w:iCs/>
          <w:szCs w:val="24"/>
        </w:rPr>
      </w:pPr>
      <w:r>
        <w:rPr>
          <w:rFonts w:cs="Arial"/>
          <w:szCs w:val="24"/>
        </w:rPr>
        <w:tab/>
      </w:r>
      <w:r w:rsidR="00A024E1" w:rsidRPr="00A024E1">
        <w:rPr>
          <w:rFonts w:cs="Arial"/>
          <w:szCs w:val="24"/>
        </w:rPr>
        <w:t xml:space="preserve">Os dados extraídos da aplicação do índice </w:t>
      </w:r>
      <w:proofErr w:type="spellStart"/>
      <w:r w:rsidR="00A024E1" w:rsidRPr="00A024E1">
        <w:rPr>
          <w:rFonts w:cs="Arial"/>
          <w:i/>
          <w:szCs w:val="24"/>
        </w:rPr>
        <w:t>Malmquist</w:t>
      </w:r>
      <w:proofErr w:type="spellEnd"/>
      <w:r w:rsidR="00A024E1" w:rsidRPr="00A024E1">
        <w:rPr>
          <w:rFonts w:cs="Arial"/>
          <w:szCs w:val="24"/>
        </w:rPr>
        <w:t xml:space="preserve"> nos permite analisar a mudança de produtividade das </w:t>
      </w:r>
      <w:proofErr w:type="spellStart"/>
      <w:r w:rsidR="00A024E1" w:rsidRPr="00A024E1">
        <w:rPr>
          <w:rFonts w:cs="Arial"/>
          <w:szCs w:val="24"/>
        </w:rPr>
        <w:t>DMUs</w:t>
      </w:r>
      <w:proofErr w:type="spellEnd"/>
      <w:r w:rsidR="00A024E1" w:rsidRPr="00A024E1">
        <w:rPr>
          <w:rFonts w:cs="Arial"/>
          <w:szCs w:val="24"/>
        </w:rPr>
        <w:t xml:space="preserve">, comparando períodos vizinhos, utilizando os dados de inputs e outputs de um período. Diante disso, foi possível depreender que os </w:t>
      </w:r>
      <w:r w:rsidR="00A024E1" w:rsidRPr="00A024E1">
        <w:rPr>
          <w:rFonts w:cs="Arial"/>
          <w:szCs w:val="24"/>
        </w:rPr>
        <w:lastRenderedPageBreak/>
        <w:t xml:space="preserve">estado de Alagoas e Pernambuco foram mais produtivos em 2013 e 2015, em relação aos anos 2012 e 2014, respectivamente. Já em 2016 houve redução da produtividade. O Ceará, Paraíba e Sergipe foram mais produtivos no ano de 2014, em relação a 2013, mas apresentaram redução da produtividade nos anos seguintes. O Piauí foi produtivo em 2013 em relação a 2012, mas apresentou redução da produtividade nos demais anos. O Rio Grande do Norte apresentou maior produtividade no ano de 2016 em relação ao ano anterior. </w:t>
      </w:r>
    </w:p>
    <w:p w:rsidR="00A024E1" w:rsidRPr="00A024E1" w:rsidRDefault="00A024E1" w:rsidP="00022727">
      <w:pPr>
        <w:pStyle w:val="Ttulo1"/>
      </w:pPr>
      <w:r w:rsidRPr="00A024E1">
        <w:t>5 CONSIDERAÇÕES FINAIS</w:t>
      </w:r>
    </w:p>
    <w:p w:rsidR="00A024E1" w:rsidRPr="00A024E1" w:rsidRDefault="00022727" w:rsidP="00A024E1">
      <w:pPr>
        <w:autoSpaceDE w:val="0"/>
        <w:autoSpaceDN w:val="0"/>
        <w:adjustRightInd w:val="0"/>
        <w:rPr>
          <w:rFonts w:cs="Arial"/>
          <w:bCs/>
          <w:color w:val="000000"/>
          <w:szCs w:val="24"/>
        </w:rPr>
      </w:pPr>
      <w:r>
        <w:rPr>
          <w:rFonts w:cs="Arial"/>
          <w:szCs w:val="24"/>
        </w:rPr>
        <w:tab/>
      </w:r>
      <w:r w:rsidR="00A024E1" w:rsidRPr="00A024E1">
        <w:rPr>
          <w:rFonts w:cs="Arial"/>
          <w:szCs w:val="24"/>
        </w:rPr>
        <w:t xml:space="preserve">Objetivando mensurar o grau de eficiência na alocação dos gastos com segurança pública dos estados da região nordeste, esta pesquisa utilizou o modelo não paramétrico </w:t>
      </w:r>
      <w:proofErr w:type="spellStart"/>
      <w:r w:rsidR="00A024E1" w:rsidRPr="00A024E1">
        <w:rPr>
          <w:rFonts w:cs="Arial"/>
          <w:szCs w:val="24"/>
        </w:rPr>
        <w:t>DEA</w:t>
      </w:r>
      <w:proofErr w:type="spellEnd"/>
      <w:r w:rsidR="00A024E1" w:rsidRPr="00A024E1">
        <w:rPr>
          <w:rFonts w:cs="Arial"/>
          <w:szCs w:val="24"/>
        </w:rPr>
        <w:t xml:space="preserve">, </w:t>
      </w:r>
      <w:r w:rsidR="00A024E1" w:rsidRPr="00A024E1">
        <w:rPr>
          <w:rFonts w:cs="Arial"/>
          <w:bCs/>
          <w:color w:val="000000"/>
          <w:szCs w:val="24"/>
        </w:rPr>
        <w:t xml:space="preserve">associado ao índice </w:t>
      </w:r>
      <w:proofErr w:type="spellStart"/>
      <w:r w:rsidR="00A024E1" w:rsidRPr="00A024E1">
        <w:rPr>
          <w:rFonts w:cs="Arial"/>
          <w:bCs/>
          <w:i/>
          <w:color w:val="000000"/>
          <w:szCs w:val="24"/>
        </w:rPr>
        <w:t>Malmquist</w:t>
      </w:r>
      <w:proofErr w:type="spellEnd"/>
      <w:r w:rsidR="00A024E1" w:rsidRPr="00A024E1">
        <w:rPr>
          <w:rFonts w:cs="Arial"/>
          <w:bCs/>
          <w:color w:val="000000"/>
          <w:szCs w:val="24"/>
        </w:rPr>
        <w:t>, orientado pelos Retornos de Escala Variáveis (VRS).</w:t>
      </w:r>
    </w:p>
    <w:p w:rsidR="00A024E1" w:rsidRPr="00A024E1" w:rsidRDefault="00022727" w:rsidP="00A024E1">
      <w:pPr>
        <w:autoSpaceDE w:val="0"/>
        <w:autoSpaceDN w:val="0"/>
        <w:adjustRightInd w:val="0"/>
        <w:rPr>
          <w:rFonts w:cs="Arial"/>
          <w:iCs/>
          <w:szCs w:val="24"/>
        </w:rPr>
      </w:pPr>
      <w:r>
        <w:rPr>
          <w:rFonts w:cs="Arial"/>
          <w:bCs/>
          <w:color w:val="000000"/>
          <w:szCs w:val="24"/>
        </w:rPr>
        <w:tab/>
      </w:r>
      <w:r w:rsidR="00A024E1" w:rsidRPr="00A024E1">
        <w:rPr>
          <w:rFonts w:cs="Arial"/>
          <w:bCs/>
          <w:color w:val="000000"/>
          <w:szCs w:val="24"/>
        </w:rPr>
        <w:t xml:space="preserve">A utilização de variáveis de entrada e saída são fundamentais no resultado da eficiência, assim foram utilizados como </w:t>
      </w:r>
      <w:r w:rsidR="00A024E1" w:rsidRPr="00A024E1">
        <w:rPr>
          <w:rFonts w:cs="Arial"/>
          <w:i/>
          <w:szCs w:val="24"/>
        </w:rPr>
        <w:t>input</w:t>
      </w:r>
      <w:r w:rsidR="00A024E1" w:rsidRPr="00A024E1">
        <w:rPr>
          <w:rFonts w:cs="Arial"/>
          <w:szCs w:val="24"/>
        </w:rPr>
        <w:t xml:space="preserve"> o gasto que cada estado destinou a área de segurança pública e como </w:t>
      </w:r>
      <w:r w:rsidR="00A024E1" w:rsidRPr="00A024E1">
        <w:rPr>
          <w:rFonts w:cs="Arial"/>
          <w:i/>
          <w:szCs w:val="24"/>
        </w:rPr>
        <w:t>outputs</w:t>
      </w:r>
      <w:r w:rsidR="00A024E1" w:rsidRPr="00A024E1">
        <w:rPr>
          <w:rFonts w:cs="Arial"/>
          <w:szCs w:val="24"/>
        </w:rPr>
        <w:t xml:space="preserve"> os inversos das estatísticas das </w:t>
      </w:r>
      <w:r w:rsidR="00A024E1" w:rsidRPr="00A024E1">
        <w:rPr>
          <w:rFonts w:cs="Arial"/>
          <w:iCs/>
          <w:szCs w:val="24"/>
        </w:rPr>
        <w:t>taxas de criminalidade, de homicídio doloso, latrocínio, lesão corporal seguida de morte e estupro.</w:t>
      </w:r>
    </w:p>
    <w:p w:rsidR="00A024E1" w:rsidRPr="00A024E1" w:rsidRDefault="00022727" w:rsidP="00A024E1">
      <w:pPr>
        <w:rPr>
          <w:rFonts w:cs="Arial"/>
          <w:bCs/>
          <w:color w:val="000000"/>
          <w:szCs w:val="24"/>
        </w:rPr>
      </w:pPr>
      <w:r>
        <w:rPr>
          <w:rFonts w:cs="Arial"/>
          <w:iCs/>
          <w:szCs w:val="24"/>
        </w:rPr>
        <w:tab/>
      </w:r>
      <w:r w:rsidR="00A024E1" w:rsidRPr="00A024E1">
        <w:rPr>
          <w:rFonts w:cs="Arial"/>
          <w:iCs/>
          <w:szCs w:val="24"/>
        </w:rPr>
        <w:t xml:space="preserve">Ao analisar os dados verificou-se que no ano de 2012 apenas 3 estados foram eficientes, </w:t>
      </w:r>
      <w:r w:rsidR="00A024E1" w:rsidRPr="00A024E1">
        <w:rPr>
          <w:rFonts w:cs="Arial"/>
          <w:bCs/>
          <w:color w:val="000000"/>
          <w:szCs w:val="24"/>
        </w:rPr>
        <w:t>Paraíba, Piauí e Rio Grande do Norte. Em 2013 e 2014, além dos 3 estados que atingiram a eficiência em 2012, Sergipe apresentou eficiência nos gastos públicos. Em 2015, foi o ano que apresentou mais estados eficientes, pois além dos 4 que já apresentavam esse comportamento, Alagoas passou a ser eficiente. Dessa forma, 56% dos estados nesse ano foram eficientes. Em 2016, Alagoas, Paraíba, Piauí e Rio Grande do Norte apresentaram eficiência, representando 44,44% dos estados da região nordeste.</w:t>
      </w:r>
    </w:p>
    <w:p w:rsidR="00A024E1" w:rsidRPr="00A024E1" w:rsidRDefault="00022727" w:rsidP="00A024E1">
      <w:pPr>
        <w:rPr>
          <w:rFonts w:cs="Arial"/>
          <w:bCs/>
          <w:color w:val="000000"/>
          <w:szCs w:val="24"/>
        </w:rPr>
      </w:pPr>
      <w:r>
        <w:rPr>
          <w:rFonts w:cs="Arial"/>
          <w:bCs/>
          <w:color w:val="000000"/>
          <w:szCs w:val="24"/>
        </w:rPr>
        <w:tab/>
      </w:r>
      <w:r w:rsidR="00A024E1" w:rsidRPr="00A024E1">
        <w:rPr>
          <w:rFonts w:cs="Arial"/>
          <w:bCs/>
          <w:color w:val="000000"/>
          <w:szCs w:val="24"/>
        </w:rPr>
        <w:t>Como sugestão de novos estudos, a pesquisa pode ser aplicada em todos os estados do País com o intuito de analisar o grau de eficiência na aplicada de recursos públicos na área de segurança no Brasil, inclusive relacionando outras variáveis, não apenas as utilizadas neste estudo.</w:t>
      </w:r>
    </w:p>
    <w:p w:rsidR="00A024E1" w:rsidRPr="00A024E1" w:rsidRDefault="00A024E1" w:rsidP="00BF272F">
      <w:pPr>
        <w:pStyle w:val="Ttulo1"/>
        <w:rPr>
          <w:iCs/>
          <w:lang w:val="en-US"/>
        </w:rPr>
      </w:pPr>
      <w:proofErr w:type="spellStart"/>
      <w:r w:rsidRPr="00A024E1">
        <w:rPr>
          <w:lang w:val="en-US"/>
        </w:rPr>
        <w:lastRenderedPageBreak/>
        <w:t>REFERÊNCIAS</w:t>
      </w:r>
      <w:proofErr w:type="spellEnd"/>
    </w:p>
    <w:p w:rsidR="00A024E1" w:rsidRDefault="00A024E1" w:rsidP="00BF272F">
      <w:pPr>
        <w:spacing w:line="240" w:lineRule="auto"/>
        <w:jc w:val="left"/>
        <w:rPr>
          <w:rFonts w:cs="Arial"/>
          <w:szCs w:val="24"/>
          <w:lang w:val="en-US"/>
        </w:rPr>
      </w:pPr>
      <w:r w:rsidRPr="00A024E1">
        <w:rPr>
          <w:rFonts w:cs="Arial"/>
          <w:szCs w:val="24"/>
        </w:rPr>
        <w:t xml:space="preserve">ALMEIDA, Mariana </w:t>
      </w:r>
      <w:proofErr w:type="gramStart"/>
      <w:r w:rsidRPr="00A024E1">
        <w:rPr>
          <w:rFonts w:cs="Arial"/>
          <w:szCs w:val="24"/>
        </w:rPr>
        <w:t>R.</w:t>
      </w:r>
      <w:proofErr w:type="gramEnd"/>
      <w:r w:rsidRPr="00A024E1">
        <w:rPr>
          <w:rFonts w:cs="Arial"/>
          <w:szCs w:val="24"/>
        </w:rPr>
        <w:t xml:space="preserve"> de. A eficiência dos investimentos do programa de inovação tecnológica em pequena empresa (</w:t>
      </w:r>
      <w:proofErr w:type="spellStart"/>
      <w:r w:rsidRPr="00A024E1">
        <w:rPr>
          <w:rFonts w:cs="Arial"/>
          <w:szCs w:val="24"/>
        </w:rPr>
        <w:t>PIPE</w:t>
      </w:r>
      <w:proofErr w:type="spellEnd"/>
      <w:r w:rsidRPr="00A024E1">
        <w:rPr>
          <w:rFonts w:cs="Arial"/>
          <w:szCs w:val="24"/>
        </w:rPr>
        <w:t xml:space="preserve">): uma integração da Análise Envoltória de Dados e Índice </w:t>
      </w:r>
      <w:proofErr w:type="spellStart"/>
      <w:r w:rsidRPr="00A024E1">
        <w:rPr>
          <w:rFonts w:cs="Arial"/>
          <w:szCs w:val="24"/>
        </w:rPr>
        <w:t>Malmquist</w:t>
      </w:r>
      <w:proofErr w:type="spellEnd"/>
      <w:r w:rsidRPr="00A024E1">
        <w:rPr>
          <w:rFonts w:cs="Arial"/>
          <w:szCs w:val="24"/>
        </w:rPr>
        <w:t xml:space="preserve">. </w:t>
      </w:r>
      <w:r w:rsidRPr="00A024E1">
        <w:rPr>
          <w:rFonts w:cs="Arial"/>
          <w:b/>
          <w:bCs/>
          <w:szCs w:val="24"/>
        </w:rPr>
        <w:t>Tese de Doutorado da Escola de Engenharia de São Carlos da Universidade de São Paulo</w:t>
      </w:r>
      <w:r w:rsidRPr="00A024E1">
        <w:rPr>
          <w:rFonts w:cs="Arial"/>
          <w:szCs w:val="24"/>
        </w:rPr>
        <w:t xml:space="preserve">. </w:t>
      </w:r>
      <w:proofErr w:type="gramStart"/>
      <w:r w:rsidRPr="00A024E1">
        <w:rPr>
          <w:rFonts w:cs="Arial"/>
          <w:szCs w:val="24"/>
          <w:lang w:val="en-US"/>
        </w:rPr>
        <w:t>São Carlos, 2010.</w:t>
      </w:r>
      <w:proofErr w:type="gramEnd"/>
      <w:r w:rsidRPr="00A024E1">
        <w:rPr>
          <w:rFonts w:cs="Arial"/>
          <w:szCs w:val="24"/>
          <w:lang w:val="en-US"/>
        </w:rPr>
        <w:t xml:space="preserve"> </w:t>
      </w:r>
    </w:p>
    <w:p w:rsidR="00022727" w:rsidRPr="00A024E1" w:rsidRDefault="00022727" w:rsidP="00BF272F">
      <w:pPr>
        <w:spacing w:line="240" w:lineRule="auto"/>
        <w:jc w:val="left"/>
        <w:rPr>
          <w:rFonts w:cs="Arial"/>
          <w:szCs w:val="24"/>
          <w:lang w:val="en-US"/>
        </w:rPr>
      </w:pPr>
    </w:p>
    <w:p w:rsidR="00A024E1" w:rsidRDefault="00A024E1" w:rsidP="00BF272F">
      <w:pPr>
        <w:spacing w:line="240" w:lineRule="auto"/>
        <w:jc w:val="left"/>
        <w:rPr>
          <w:rFonts w:cs="Arial"/>
          <w:szCs w:val="24"/>
        </w:rPr>
      </w:pPr>
      <w:proofErr w:type="spellStart"/>
      <w:r w:rsidRPr="00A024E1">
        <w:rPr>
          <w:rFonts w:cs="Arial"/>
          <w:szCs w:val="24"/>
          <w:lang w:val="en-US"/>
        </w:rPr>
        <w:t>AFONSO</w:t>
      </w:r>
      <w:proofErr w:type="spellEnd"/>
      <w:r w:rsidRPr="00A024E1">
        <w:rPr>
          <w:rFonts w:cs="Arial"/>
          <w:szCs w:val="24"/>
          <w:lang w:val="en-US"/>
        </w:rPr>
        <w:t xml:space="preserve">, A; </w:t>
      </w:r>
      <w:proofErr w:type="spellStart"/>
      <w:r w:rsidRPr="00A024E1">
        <w:rPr>
          <w:rFonts w:cs="Arial"/>
          <w:szCs w:val="24"/>
          <w:lang w:val="en-US"/>
        </w:rPr>
        <w:t>SCHUKNECHT</w:t>
      </w:r>
      <w:proofErr w:type="spellEnd"/>
      <w:r w:rsidRPr="00A024E1">
        <w:rPr>
          <w:rFonts w:cs="Arial"/>
          <w:szCs w:val="24"/>
          <w:lang w:val="en-US"/>
        </w:rPr>
        <w:t xml:space="preserve">, L; </w:t>
      </w:r>
      <w:proofErr w:type="spellStart"/>
      <w:r w:rsidRPr="00A024E1">
        <w:rPr>
          <w:rFonts w:cs="Arial"/>
          <w:szCs w:val="24"/>
          <w:lang w:val="en-US"/>
        </w:rPr>
        <w:t>TANZI</w:t>
      </w:r>
      <w:proofErr w:type="spellEnd"/>
      <w:r w:rsidRPr="00A024E1">
        <w:rPr>
          <w:rFonts w:cs="Arial"/>
          <w:szCs w:val="24"/>
          <w:lang w:val="en-US"/>
        </w:rPr>
        <w:t xml:space="preserve">, V. Public sector efficiency: evidence for new EU member states and emerging markets. </w:t>
      </w:r>
      <w:proofErr w:type="spellStart"/>
      <w:r w:rsidRPr="00A024E1">
        <w:rPr>
          <w:rFonts w:cs="Arial"/>
          <w:b/>
          <w:bCs/>
          <w:szCs w:val="24"/>
        </w:rPr>
        <w:t>Working</w:t>
      </w:r>
      <w:proofErr w:type="spellEnd"/>
      <w:r w:rsidRPr="00A024E1">
        <w:rPr>
          <w:rFonts w:cs="Arial"/>
          <w:b/>
          <w:bCs/>
          <w:szCs w:val="24"/>
        </w:rPr>
        <w:t xml:space="preserve"> </w:t>
      </w:r>
      <w:proofErr w:type="spellStart"/>
      <w:r w:rsidRPr="00A024E1">
        <w:rPr>
          <w:rFonts w:cs="Arial"/>
          <w:b/>
          <w:bCs/>
          <w:szCs w:val="24"/>
        </w:rPr>
        <w:t>Paper</w:t>
      </w:r>
      <w:proofErr w:type="spellEnd"/>
      <w:r w:rsidRPr="00A024E1">
        <w:rPr>
          <w:rFonts w:cs="Arial"/>
          <w:b/>
          <w:bCs/>
          <w:szCs w:val="24"/>
        </w:rPr>
        <w:t xml:space="preserve"> Series</w:t>
      </w:r>
      <w:r w:rsidRPr="00A024E1">
        <w:rPr>
          <w:rFonts w:cs="Arial"/>
          <w:szCs w:val="24"/>
        </w:rPr>
        <w:t xml:space="preserve">, n. 581. </w:t>
      </w:r>
      <w:proofErr w:type="spellStart"/>
      <w:r w:rsidRPr="00A024E1">
        <w:rPr>
          <w:rFonts w:cs="Arial"/>
          <w:szCs w:val="24"/>
        </w:rPr>
        <w:t>European</w:t>
      </w:r>
      <w:proofErr w:type="spellEnd"/>
      <w:r w:rsidRPr="00A024E1">
        <w:rPr>
          <w:rFonts w:cs="Arial"/>
          <w:szCs w:val="24"/>
        </w:rPr>
        <w:t xml:space="preserve"> Central Bank. </w:t>
      </w:r>
      <w:proofErr w:type="spellStart"/>
      <w:r w:rsidRPr="00A024E1">
        <w:rPr>
          <w:rFonts w:cs="Arial"/>
          <w:szCs w:val="24"/>
        </w:rPr>
        <w:t>January</w:t>
      </w:r>
      <w:proofErr w:type="spellEnd"/>
      <w:r w:rsidRPr="00A024E1">
        <w:rPr>
          <w:rFonts w:cs="Arial"/>
          <w:szCs w:val="24"/>
        </w:rPr>
        <w:t>, 2006.</w:t>
      </w:r>
    </w:p>
    <w:p w:rsidR="00022727" w:rsidRPr="00A024E1" w:rsidRDefault="00022727" w:rsidP="00BF272F">
      <w:pPr>
        <w:spacing w:line="240" w:lineRule="auto"/>
        <w:jc w:val="left"/>
        <w:rPr>
          <w:rFonts w:cs="Arial"/>
          <w:szCs w:val="24"/>
        </w:rPr>
      </w:pPr>
    </w:p>
    <w:p w:rsidR="00A024E1" w:rsidRDefault="00A024E1" w:rsidP="00BF272F">
      <w:pPr>
        <w:spacing w:line="240" w:lineRule="auto"/>
        <w:jc w:val="left"/>
        <w:rPr>
          <w:rFonts w:eastAsiaTheme="minorHAnsi" w:cs="Arial"/>
          <w:szCs w:val="24"/>
          <w:lang w:eastAsia="en-US"/>
        </w:rPr>
      </w:pPr>
      <w:r w:rsidRPr="00A024E1">
        <w:rPr>
          <w:rFonts w:eastAsiaTheme="minorHAnsi" w:cs="Arial"/>
          <w:szCs w:val="24"/>
          <w:lang w:eastAsia="en-US"/>
        </w:rPr>
        <w:t xml:space="preserve">ANUÁRIO BRASILEIRO EM SEGURANÇA PÚBLICA. </w:t>
      </w:r>
      <w:proofErr w:type="gramStart"/>
      <w:r w:rsidRPr="00A024E1">
        <w:rPr>
          <w:rFonts w:eastAsiaTheme="minorHAnsi" w:cs="Arial"/>
          <w:b/>
          <w:szCs w:val="24"/>
          <w:lang w:eastAsia="en-US"/>
        </w:rPr>
        <w:t>Estatísticas criminais e gastos com segurança pública</w:t>
      </w:r>
      <w:proofErr w:type="gramEnd"/>
      <w:r w:rsidRPr="00A024E1">
        <w:rPr>
          <w:rFonts w:eastAsiaTheme="minorHAnsi" w:cs="Arial"/>
          <w:b/>
          <w:szCs w:val="24"/>
          <w:lang w:eastAsia="en-US"/>
        </w:rPr>
        <w:t>.</w:t>
      </w:r>
      <w:r w:rsidRPr="00A024E1">
        <w:rPr>
          <w:rFonts w:eastAsiaTheme="minorHAnsi" w:cs="Arial"/>
          <w:szCs w:val="24"/>
          <w:lang w:eastAsia="en-US"/>
        </w:rPr>
        <w:t xml:space="preserve"> Fórum Brasileiro de Segurança Pública, ano 10, 2016. Disponível em: &lt;</w:t>
      </w:r>
      <w:hyperlink r:id="rId11">
        <w:r w:rsidRPr="00A024E1">
          <w:rPr>
            <w:rStyle w:val="LinkdaInternet"/>
            <w:rFonts w:eastAsiaTheme="minorHAnsi" w:cs="Arial"/>
            <w:szCs w:val="24"/>
            <w:lang w:eastAsia="en-US"/>
          </w:rPr>
          <w:t>http://www.forumseguranca.org.br/storage/10_anuario_site_18-11-2016-retificado.pdf</w:t>
        </w:r>
      </w:hyperlink>
      <w:r w:rsidRPr="00A024E1">
        <w:rPr>
          <w:rFonts w:eastAsiaTheme="minorHAnsi" w:cs="Arial"/>
          <w:szCs w:val="24"/>
          <w:lang w:eastAsia="en-US"/>
        </w:rPr>
        <w:t>&gt;.  Acesso em 29 jul. 2017.</w:t>
      </w:r>
    </w:p>
    <w:p w:rsidR="00022727" w:rsidRPr="00A024E1" w:rsidRDefault="00022727" w:rsidP="00BF272F">
      <w:pPr>
        <w:spacing w:line="240" w:lineRule="auto"/>
        <w:jc w:val="left"/>
        <w:rPr>
          <w:rFonts w:eastAsiaTheme="minorHAnsi" w:cs="Arial"/>
          <w:szCs w:val="24"/>
          <w:lang w:eastAsia="en-US"/>
        </w:rPr>
      </w:pPr>
    </w:p>
    <w:p w:rsidR="00A024E1" w:rsidRDefault="00A024E1" w:rsidP="00BF272F">
      <w:pPr>
        <w:spacing w:line="240" w:lineRule="auto"/>
        <w:jc w:val="left"/>
        <w:rPr>
          <w:rFonts w:eastAsiaTheme="minorHAnsi" w:cs="Arial"/>
          <w:szCs w:val="24"/>
          <w:lang w:eastAsia="en-US"/>
        </w:rPr>
      </w:pPr>
      <w:r w:rsidRPr="00A024E1">
        <w:rPr>
          <w:rFonts w:eastAsiaTheme="minorHAnsi" w:cs="Arial"/>
          <w:szCs w:val="24"/>
          <w:lang w:eastAsia="en-US"/>
        </w:rPr>
        <w:t xml:space="preserve">ANUÁRIO BRASILEIRO EM SEGURANÇA PÚBLICA. </w:t>
      </w:r>
      <w:proofErr w:type="gramStart"/>
      <w:r w:rsidRPr="00A024E1">
        <w:rPr>
          <w:rFonts w:eastAsiaTheme="minorHAnsi" w:cs="Arial"/>
          <w:b/>
          <w:szCs w:val="24"/>
          <w:lang w:eastAsia="en-US"/>
        </w:rPr>
        <w:t>Estatísticas criminais e gastos com segurança pública</w:t>
      </w:r>
      <w:proofErr w:type="gramEnd"/>
      <w:r w:rsidRPr="00A024E1">
        <w:rPr>
          <w:rFonts w:eastAsiaTheme="minorHAnsi" w:cs="Arial"/>
          <w:b/>
          <w:szCs w:val="24"/>
          <w:lang w:eastAsia="en-US"/>
        </w:rPr>
        <w:t>.</w:t>
      </w:r>
      <w:r w:rsidRPr="00A024E1">
        <w:rPr>
          <w:rFonts w:eastAsiaTheme="minorHAnsi" w:cs="Arial"/>
          <w:szCs w:val="24"/>
          <w:lang w:eastAsia="en-US"/>
        </w:rPr>
        <w:t xml:space="preserve"> Fórum Brasileiro de Segurança Pública, ano 11, 2017. Disponível em: &lt;</w:t>
      </w:r>
      <w:hyperlink r:id="rId12" w:history="1">
        <w:r w:rsidRPr="00A024E1">
          <w:rPr>
            <w:rFonts w:eastAsiaTheme="minorHAnsi" w:cs="Arial"/>
            <w:szCs w:val="24"/>
            <w:lang w:eastAsia="en-US"/>
          </w:rPr>
          <w:t>http://www.forumseguranca.org.br/wp-content/uploads/2017/12/ANUARIO_11_2017.pdf</w:t>
        </w:r>
      </w:hyperlink>
      <w:r w:rsidRPr="00A024E1">
        <w:rPr>
          <w:rFonts w:eastAsiaTheme="minorHAnsi" w:cs="Arial"/>
          <w:szCs w:val="24"/>
          <w:lang w:eastAsia="en-US"/>
        </w:rPr>
        <w:t>&gt;. Acesso em 22 abr. 2018.</w:t>
      </w:r>
    </w:p>
    <w:p w:rsidR="00022727" w:rsidRPr="00A024E1" w:rsidRDefault="00022727" w:rsidP="00BF272F">
      <w:pPr>
        <w:spacing w:line="240" w:lineRule="auto"/>
        <w:jc w:val="left"/>
        <w:rPr>
          <w:rFonts w:eastAsiaTheme="minorHAnsi" w:cs="Arial"/>
          <w:szCs w:val="24"/>
          <w:lang w:eastAsia="en-US"/>
        </w:rPr>
      </w:pPr>
    </w:p>
    <w:p w:rsidR="00A024E1" w:rsidRDefault="00A024E1" w:rsidP="00BF272F">
      <w:pPr>
        <w:spacing w:line="240" w:lineRule="auto"/>
        <w:jc w:val="left"/>
        <w:rPr>
          <w:rFonts w:eastAsiaTheme="minorHAnsi" w:cs="Arial"/>
          <w:szCs w:val="24"/>
          <w:lang w:eastAsia="en-US"/>
        </w:rPr>
      </w:pPr>
      <w:r w:rsidRPr="00A024E1">
        <w:rPr>
          <w:rFonts w:eastAsiaTheme="minorHAnsi" w:cs="Arial"/>
          <w:szCs w:val="24"/>
          <w:lang w:eastAsia="en-US"/>
        </w:rPr>
        <w:t xml:space="preserve">ANUÁRIO BRASILEIRO EM SEGURANÇA PÚBLICA. </w:t>
      </w:r>
      <w:proofErr w:type="gramStart"/>
      <w:r w:rsidRPr="00A024E1">
        <w:rPr>
          <w:rFonts w:eastAsiaTheme="minorHAnsi" w:cs="Arial"/>
          <w:b/>
          <w:szCs w:val="24"/>
          <w:lang w:eastAsia="en-US"/>
        </w:rPr>
        <w:t>Estatísticas criminais e gastos com segurança pública</w:t>
      </w:r>
      <w:proofErr w:type="gramEnd"/>
      <w:r w:rsidRPr="00A024E1">
        <w:rPr>
          <w:rFonts w:eastAsiaTheme="minorHAnsi" w:cs="Arial"/>
          <w:b/>
          <w:szCs w:val="24"/>
          <w:lang w:eastAsia="en-US"/>
        </w:rPr>
        <w:t>.</w:t>
      </w:r>
      <w:r w:rsidRPr="00A024E1">
        <w:rPr>
          <w:rFonts w:eastAsiaTheme="minorHAnsi" w:cs="Arial"/>
          <w:szCs w:val="24"/>
          <w:lang w:eastAsia="en-US"/>
        </w:rPr>
        <w:t xml:space="preserve"> Fórum Brasileiro de Segurança Pública, ano 9, 2015. Disponível em: &lt;</w:t>
      </w:r>
      <w:proofErr w:type="gramStart"/>
      <w:r w:rsidRPr="00A024E1">
        <w:rPr>
          <w:rFonts w:eastAsiaTheme="minorHAnsi" w:cs="Arial"/>
          <w:szCs w:val="24"/>
          <w:lang w:eastAsia="en-US"/>
        </w:rPr>
        <w:t>http://www.forumseguranca.org.br/storage/9_anuario_2015.</w:t>
      </w:r>
      <w:proofErr w:type="gramEnd"/>
      <w:r w:rsidRPr="00A024E1">
        <w:rPr>
          <w:rFonts w:eastAsiaTheme="minorHAnsi" w:cs="Arial"/>
          <w:szCs w:val="24"/>
          <w:lang w:eastAsia="en-US"/>
        </w:rPr>
        <w:t>retificado_.pdf&gt;. Acesso em 22 abr. 2018.</w:t>
      </w:r>
    </w:p>
    <w:p w:rsidR="00022727" w:rsidRPr="00A024E1" w:rsidRDefault="00022727" w:rsidP="00BF272F">
      <w:pPr>
        <w:spacing w:line="240" w:lineRule="auto"/>
        <w:jc w:val="left"/>
        <w:rPr>
          <w:rFonts w:eastAsiaTheme="minorHAnsi" w:cs="Arial"/>
          <w:szCs w:val="24"/>
          <w:lang w:eastAsia="en-US"/>
        </w:rPr>
      </w:pPr>
    </w:p>
    <w:p w:rsidR="00A024E1" w:rsidRDefault="00A024E1" w:rsidP="00BF272F">
      <w:pPr>
        <w:spacing w:line="240" w:lineRule="auto"/>
        <w:jc w:val="left"/>
        <w:rPr>
          <w:rFonts w:eastAsiaTheme="minorHAnsi" w:cs="Arial"/>
          <w:szCs w:val="24"/>
          <w:lang w:eastAsia="en-US"/>
        </w:rPr>
      </w:pPr>
      <w:r w:rsidRPr="00A024E1">
        <w:rPr>
          <w:rFonts w:eastAsiaTheme="minorHAnsi" w:cs="Arial"/>
          <w:szCs w:val="24"/>
          <w:lang w:eastAsia="en-US"/>
        </w:rPr>
        <w:t xml:space="preserve">ANUÁRIO BRASILEIRO EM SEGURANÇA PÚBLICA. </w:t>
      </w:r>
      <w:proofErr w:type="gramStart"/>
      <w:r w:rsidRPr="00A024E1">
        <w:rPr>
          <w:rFonts w:eastAsiaTheme="minorHAnsi" w:cs="Arial"/>
          <w:b/>
          <w:szCs w:val="24"/>
          <w:lang w:eastAsia="en-US"/>
        </w:rPr>
        <w:t>Estatísticas criminais e gastos com segurança pública</w:t>
      </w:r>
      <w:proofErr w:type="gramEnd"/>
      <w:r w:rsidRPr="00A024E1">
        <w:rPr>
          <w:rFonts w:eastAsiaTheme="minorHAnsi" w:cs="Arial"/>
          <w:b/>
          <w:szCs w:val="24"/>
          <w:lang w:eastAsia="en-US"/>
        </w:rPr>
        <w:t>.</w:t>
      </w:r>
      <w:r w:rsidRPr="00A024E1">
        <w:rPr>
          <w:rFonts w:eastAsiaTheme="minorHAnsi" w:cs="Arial"/>
          <w:szCs w:val="24"/>
          <w:lang w:eastAsia="en-US"/>
        </w:rPr>
        <w:t xml:space="preserve"> Fórum Brasileiro de Segurança Pública, ano 8, 2014. Disponível em: &lt;</w:t>
      </w:r>
      <w:r w:rsidRPr="00A024E1">
        <w:rPr>
          <w:rFonts w:cs="Arial"/>
          <w:szCs w:val="24"/>
        </w:rPr>
        <w:t xml:space="preserve"> </w:t>
      </w:r>
      <w:r w:rsidRPr="00A024E1">
        <w:rPr>
          <w:rFonts w:eastAsiaTheme="minorHAnsi" w:cs="Arial"/>
          <w:szCs w:val="24"/>
          <w:lang w:eastAsia="en-US"/>
        </w:rPr>
        <w:t>http://www.forumseguranca.org.br/storage/8_anuario_2014_20150309.pdf&gt;. Acesso em 22 abr. 2018.</w:t>
      </w:r>
    </w:p>
    <w:p w:rsidR="00022727" w:rsidRPr="00A024E1" w:rsidRDefault="00022727" w:rsidP="00BF272F">
      <w:pPr>
        <w:spacing w:line="240" w:lineRule="auto"/>
        <w:jc w:val="left"/>
        <w:rPr>
          <w:rFonts w:eastAsiaTheme="minorHAnsi" w:cs="Arial"/>
          <w:szCs w:val="24"/>
          <w:lang w:eastAsia="en-US"/>
        </w:rPr>
      </w:pPr>
    </w:p>
    <w:p w:rsidR="00A024E1" w:rsidRDefault="00A024E1" w:rsidP="00BF272F">
      <w:pPr>
        <w:spacing w:line="240" w:lineRule="auto"/>
        <w:jc w:val="left"/>
        <w:rPr>
          <w:rFonts w:cs="Arial"/>
          <w:szCs w:val="24"/>
        </w:rPr>
      </w:pPr>
      <w:r w:rsidRPr="00A024E1">
        <w:rPr>
          <w:rFonts w:cs="Arial"/>
          <w:szCs w:val="24"/>
        </w:rPr>
        <w:t xml:space="preserve">BRASIL. Constituição (1988). Constituição da República Federativa do Brasil. Brasília, 5 de outubro de 1988. Disponível em: &lt; http://www.planalto.gov.br/ccivil_03/constituicao/constituicaocompilado.htm&gt;. Acesso em: </w:t>
      </w:r>
      <w:proofErr w:type="gramStart"/>
      <w:r w:rsidRPr="00A024E1">
        <w:rPr>
          <w:rFonts w:cs="Arial"/>
          <w:szCs w:val="24"/>
        </w:rPr>
        <w:t>26 julho 2017</w:t>
      </w:r>
      <w:proofErr w:type="gramEnd"/>
      <w:r w:rsidRPr="00A024E1">
        <w:rPr>
          <w:rFonts w:cs="Arial"/>
          <w:szCs w:val="24"/>
        </w:rPr>
        <w:t>.</w:t>
      </w:r>
    </w:p>
    <w:p w:rsidR="00022727" w:rsidRPr="00A024E1" w:rsidRDefault="00022727" w:rsidP="00BF272F">
      <w:pPr>
        <w:spacing w:line="240" w:lineRule="auto"/>
        <w:jc w:val="left"/>
        <w:rPr>
          <w:rFonts w:cs="Arial"/>
          <w:szCs w:val="24"/>
        </w:rPr>
      </w:pPr>
    </w:p>
    <w:p w:rsidR="00A024E1" w:rsidRDefault="00A024E1" w:rsidP="00BF272F">
      <w:pPr>
        <w:spacing w:line="240" w:lineRule="auto"/>
        <w:jc w:val="left"/>
        <w:rPr>
          <w:rFonts w:cs="Arial"/>
          <w:szCs w:val="24"/>
          <w:lang w:val="en-US"/>
        </w:rPr>
      </w:pPr>
      <w:r w:rsidRPr="00A024E1">
        <w:rPr>
          <w:rFonts w:cs="Arial"/>
          <w:szCs w:val="24"/>
        </w:rPr>
        <w:t xml:space="preserve">ERVILHA, G. T. </w:t>
      </w:r>
      <w:proofErr w:type="gramStart"/>
      <w:r w:rsidRPr="00A024E1">
        <w:rPr>
          <w:rFonts w:cs="Arial"/>
          <w:szCs w:val="24"/>
        </w:rPr>
        <w:t>et</w:t>
      </w:r>
      <w:proofErr w:type="gramEnd"/>
      <w:r w:rsidRPr="00A024E1">
        <w:rPr>
          <w:rFonts w:cs="Arial"/>
          <w:szCs w:val="24"/>
        </w:rPr>
        <w:t xml:space="preserve"> al. Eficiência nos gastos públicos em segurança pública nos municípios mineiros. </w:t>
      </w:r>
      <w:proofErr w:type="spellStart"/>
      <w:r w:rsidRPr="00A024E1">
        <w:rPr>
          <w:rFonts w:cs="Arial"/>
          <w:szCs w:val="24"/>
          <w:lang w:val="en-US"/>
        </w:rPr>
        <w:t>Revista</w:t>
      </w:r>
      <w:proofErr w:type="spellEnd"/>
      <w:r w:rsidRPr="00A024E1">
        <w:rPr>
          <w:rFonts w:cs="Arial"/>
          <w:szCs w:val="24"/>
          <w:lang w:val="en-US"/>
        </w:rPr>
        <w:t xml:space="preserve"> </w:t>
      </w:r>
      <w:proofErr w:type="spellStart"/>
      <w:r w:rsidRPr="00A024E1">
        <w:rPr>
          <w:rFonts w:cs="Arial"/>
          <w:szCs w:val="24"/>
          <w:lang w:val="en-US"/>
        </w:rPr>
        <w:t>Econômica</w:t>
      </w:r>
      <w:proofErr w:type="spellEnd"/>
      <w:r w:rsidRPr="00A024E1">
        <w:rPr>
          <w:rFonts w:cs="Arial"/>
          <w:szCs w:val="24"/>
          <w:lang w:val="en-US"/>
        </w:rPr>
        <w:t xml:space="preserve"> do </w:t>
      </w:r>
      <w:proofErr w:type="spellStart"/>
      <w:r w:rsidRPr="00A024E1">
        <w:rPr>
          <w:rFonts w:cs="Arial"/>
          <w:szCs w:val="24"/>
          <w:lang w:val="en-US"/>
        </w:rPr>
        <w:t>Nordeste</w:t>
      </w:r>
      <w:proofErr w:type="spellEnd"/>
      <w:r w:rsidRPr="00A024E1">
        <w:rPr>
          <w:rFonts w:cs="Arial"/>
          <w:szCs w:val="24"/>
          <w:lang w:val="en-US"/>
        </w:rPr>
        <w:t xml:space="preserve">, v. 46, n. 1, p. 9-25, </w:t>
      </w:r>
      <w:proofErr w:type="spellStart"/>
      <w:r w:rsidRPr="00A024E1">
        <w:rPr>
          <w:rFonts w:cs="Arial"/>
          <w:szCs w:val="24"/>
          <w:lang w:val="en-US"/>
        </w:rPr>
        <w:t>jan</w:t>
      </w:r>
      <w:proofErr w:type="gramStart"/>
      <w:r w:rsidRPr="00A024E1">
        <w:rPr>
          <w:rFonts w:cs="Arial"/>
          <w:szCs w:val="24"/>
          <w:lang w:val="en-US"/>
        </w:rPr>
        <w:t>.</w:t>
      </w:r>
      <w:proofErr w:type="spellEnd"/>
      <w:r w:rsidRPr="00A024E1">
        <w:rPr>
          <w:rFonts w:cs="Arial"/>
          <w:szCs w:val="24"/>
          <w:lang w:val="en-US"/>
        </w:rPr>
        <w:t>/</w:t>
      </w:r>
      <w:proofErr w:type="gramEnd"/>
      <w:r w:rsidRPr="00A024E1">
        <w:rPr>
          <w:rFonts w:cs="Arial"/>
          <w:szCs w:val="24"/>
          <w:lang w:val="en-US"/>
        </w:rPr>
        <w:t>mar. 2015.</w:t>
      </w:r>
    </w:p>
    <w:p w:rsidR="00022727" w:rsidRPr="00A024E1" w:rsidRDefault="00022727" w:rsidP="00BF272F">
      <w:pPr>
        <w:spacing w:line="240" w:lineRule="auto"/>
        <w:jc w:val="left"/>
        <w:rPr>
          <w:rFonts w:cs="Arial"/>
          <w:szCs w:val="24"/>
          <w:lang w:val="en-US"/>
        </w:rPr>
      </w:pPr>
    </w:p>
    <w:p w:rsidR="00A024E1" w:rsidRPr="00A024E1" w:rsidRDefault="00A024E1" w:rsidP="00BF272F">
      <w:pPr>
        <w:spacing w:line="240" w:lineRule="auto"/>
        <w:jc w:val="left"/>
        <w:rPr>
          <w:rFonts w:cs="Arial"/>
          <w:b/>
          <w:szCs w:val="24"/>
        </w:rPr>
      </w:pPr>
      <w:r w:rsidRPr="00A024E1">
        <w:rPr>
          <w:rFonts w:cs="Arial"/>
          <w:color w:val="000000"/>
          <w:szCs w:val="24"/>
          <w:shd w:val="clear" w:color="auto" w:fill="FFFFFF"/>
          <w:lang w:val="en-US"/>
        </w:rPr>
        <w:t xml:space="preserve">FARRELL, </w:t>
      </w:r>
      <w:proofErr w:type="spellStart"/>
      <w:r w:rsidRPr="00A024E1">
        <w:rPr>
          <w:rFonts w:cs="Arial"/>
          <w:color w:val="000000"/>
          <w:szCs w:val="24"/>
          <w:shd w:val="clear" w:color="auto" w:fill="FFFFFF"/>
          <w:lang w:val="en-US"/>
        </w:rPr>
        <w:t>M.J</w:t>
      </w:r>
      <w:proofErr w:type="spellEnd"/>
      <w:r w:rsidRPr="00A024E1">
        <w:rPr>
          <w:rFonts w:cs="Arial"/>
          <w:color w:val="000000"/>
          <w:szCs w:val="24"/>
          <w:shd w:val="clear" w:color="auto" w:fill="FFFFFF"/>
          <w:lang w:val="en-US"/>
        </w:rPr>
        <w:t xml:space="preserve">. (1957) </w:t>
      </w:r>
      <w:proofErr w:type="gramStart"/>
      <w:r w:rsidRPr="00A024E1">
        <w:rPr>
          <w:rFonts w:cs="Arial"/>
          <w:color w:val="000000"/>
          <w:szCs w:val="24"/>
          <w:shd w:val="clear" w:color="auto" w:fill="FFFFFF"/>
          <w:lang w:val="en-US"/>
        </w:rPr>
        <w:t>The</w:t>
      </w:r>
      <w:proofErr w:type="gramEnd"/>
      <w:r w:rsidRPr="00A024E1">
        <w:rPr>
          <w:rFonts w:cs="Arial"/>
          <w:color w:val="000000"/>
          <w:szCs w:val="24"/>
          <w:shd w:val="clear" w:color="auto" w:fill="FFFFFF"/>
          <w:lang w:val="en-US"/>
        </w:rPr>
        <w:t xml:space="preserve"> Measurement of Productive Efficiency. </w:t>
      </w:r>
      <w:proofErr w:type="gramStart"/>
      <w:r w:rsidRPr="00A024E1">
        <w:rPr>
          <w:rFonts w:cs="Arial"/>
          <w:b/>
          <w:color w:val="000000"/>
          <w:szCs w:val="24"/>
          <w:shd w:val="clear" w:color="auto" w:fill="FFFFFF"/>
          <w:lang w:val="en-US"/>
        </w:rPr>
        <w:t>Journal of the Royal Statistical Society</w:t>
      </w:r>
      <w:r w:rsidRPr="00A024E1">
        <w:rPr>
          <w:rFonts w:cs="Arial"/>
          <w:color w:val="000000"/>
          <w:szCs w:val="24"/>
          <w:shd w:val="clear" w:color="auto" w:fill="FFFFFF"/>
          <w:lang w:val="en-US"/>
        </w:rPr>
        <w:t>.</w:t>
      </w:r>
      <w:proofErr w:type="gramEnd"/>
      <w:r w:rsidRPr="00A024E1">
        <w:rPr>
          <w:rFonts w:cs="Arial"/>
          <w:color w:val="000000"/>
          <w:szCs w:val="24"/>
          <w:shd w:val="clear" w:color="auto" w:fill="FFFFFF"/>
          <w:lang w:val="en-US"/>
        </w:rPr>
        <w:t xml:space="preserve"> </w:t>
      </w:r>
      <w:proofErr w:type="gramStart"/>
      <w:r w:rsidRPr="00A024E1">
        <w:rPr>
          <w:rFonts w:cs="Arial"/>
          <w:color w:val="000000"/>
          <w:szCs w:val="24"/>
          <w:shd w:val="clear" w:color="auto" w:fill="FFFFFF"/>
        </w:rPr>
        <w:t>Series</w:t>
      </w:r>
      <w:proofErr w:type="gramEnd"/>
      <w:r w:rsidRPr="00A024E1">
        <w:rPr>
          <w:rFonts w:cs="Arial"/>
          <w:color w:val="000000"/>
          <w:szCs w:val="24"/>
          <w:shd w:val="clear" w:color="auto" w:fill="FFFFFF"/>
        </w:rPr>
        <w:t xml:space="preserve"> A (General), v. 120, n. 3, p. 253-290</w:t>
      </w:r>
      <w:r w:rsidRPr="00A024E1">
        <w:rPr>
          <w:rFonts w:cs="Arial"/>
          <w:szCs w:val="24"/>
        </w:rPr>
        <w:t xml:space="preserve">, </w:t>
      </w:r>
      <w:proofErr w:type="spellStart"/>
      <w:r w:rsidRPr="00A024E1">
        <w:rPr>
          <w:rFonts w:cs="Arial"/>
          <w:szCs w:val="24"/>
        </w:rPr>
        <w:t>March</w:t>
      </w:r>
      <w:proofErr w:type="spellEnd"/>
      <w:r w:rsidRPr="00A024E1">
        <w:rPr>
          <w:rFonts w:cs="Arial"/>
          <w:szCs w:val="24"/>
        </w:rPr>
        <w:t>, 1957.</w:t>
      </w:r>
    </w:p>
    <w:p w:rsidR="00A024E1" w:rsidRDefault="00A024E1" w:rsidP="00BF272F">
      <w:pPr>
        <w:spacing w:line="240" w:lineRule="auto"/>
        <w:jc w:val="left"/>
        <w:rPr>
          <w:rFonts w:eastAsiaTheme="minorHAnsi" w:cs="Arial"/>
          <w:szCs w:val="24"/>
          <w:lang w:eastAsia="en-US"/>
        </w:rPr>
      </w:pPr>
      <w:r w:rsidRPr="00A024E1">
        <w:rPr>
          <w:rFonts w:eastAsiaTheme="minorHAnsi" w:cs="Arial"/>
          <w:szCs w:val="24"/>
          <w:lang w:eastAsia="en-US"/>
        </w:rPr>
        <w:lastRenderedPageBreak/>
        <w:t xml:space="preserve">PEREIRA FILHO, </w:t>
      </w:r>
      <w:proofErr w:type="spellStart"/>
      <w:r w:rsidRPr="00A024E1">
        <w:rPr>
          <w:rFonts w:eastAsiaTheme="minorHAnsi" w:cs="Arial"/>
          <w:szCs w:val="24"/>
          <w:lang w:eastAsia="en-US"/>
        </w:rPr>
        <w:t>O.A</w:t>
      </w:r>
      <w:proofErr w:type="spellEnd"/>
      <w:r w:rsidRPr="00A024E1">
        <w:rPr>
          <w:rFonts w:eastAsiaTheme="minorHAnsi" w:cs="Arial"/>
          <w:szCs w:val="24"/>
          <w:lang w:eastAsia="en-US"/>
        </w:rPr>
        <w:t xml:space="preserve">. </w:t>
      </w:r>
      <w:r w:rsidRPr="00A024E1">
        <w:rPr>
          <w:rFonts w:eastAsiaTheme="minorHAnsi" w:cs="Arial"/>
          <w:b/>
          <w:bCs/>
          <w:szCs w:val="24"/>
          <w:lang w:eastAsia="en-US"/>
        </w:rPr>
        <w:t>Medidas de custo-eficiência nos serviços subnacionais de segurança pública: uma abordagem com o uso de fronteiras estocásticas</w:t>
      </w:r>
      <w:r w:rsidRPr="00A024E1">
        <w:rPr>
          <w:rFonts w:eastAsiaTheme="minorHAnsi" w:cs="Arial"/>
          <w:szCs w:val="24"/>
          <w:lang w:eastAsia="en-US"/>
        </w:rPr>
        <w:t>. 19 f.</w:t>
      </w:r>
      <w:r w:rsidRPr="00A024E1">
        <w:rPr>
          <w:rFonts w:eastAsiaTheme="minorHAnsi" w:cs="Arial"/>
          <w:b/>
          <w:bCs/>
          <w:szCs w:val="24"/>
          <w:lang w:eastAsia="en-US"/>
        </w:rPr>
        <w:t xml:space="preserve"> </w:t>
      </w:r>
      <w:r w:rsidRPr="00A024E1">
        <w:rPr>
          <w:rFonts w:eastAsiaTheme="minorHAnsi" w:cs="Arial"/>
          <w:szCs w:val="24"/>
          <w:lang w:eastAsia="en-US"/>
        </w:rPr>
        <w:t>Dissertação. (Mestrado em Economia do Setor Público). Universidade de Brasília, Brasília.</w:t>
      </w:r>
      <w:r w:rsidRPr="00A024E1">
        <w:rPr>
          <w:rFonts w:eastAsiaTheme="minorHAnsi" w:cs="Arial"/>
          <w:b/>
          <w:bCs/>
          <w:szCs w:val="24"/>
          <w:lang w:eastAsia="en-US"/>
        </w:rPr>
        <w:t xml:space="preserve"> </w:t>
      </w:r>
      <w:r w:rsidRPr="00A024E1">
        <w:rPr>
          <w:rFonts w:eastAsiaTheme="minorHAnsi" w:cs="Arial"/>
          <w:szCs w:val="24"/>
          <w:lang w:eastAsia="en-US"/>
        </w:rPr>
        <w:t>2008.</w:t>
      </w:r>
      <w:r w:rsidRPr="00A024E1">
        <w:rPr>
          <w:rFonts w:eastAsiaTheme="minorHAnsi" w:cs="Arial"/>
          <w:b/>
          <w:bCs/>
          <w:szCs w:val="24"/>
          <w:lang w:eastAsia="en-US"/>
        </w:rPr>
        <w:t xml:space="preserve"> </w:t>
      </w:r>
      <w:r w:rsidRPr="00A024E1">
        <w:rPr>
          <w:rFonts w:eastAsiaTheme="minorHAnsi" w:cs="Arial"/>
          <w:szCs w:val="24"/>
          <w:lang w:eastAsia="en-US"/>
        </w:rPr>
        <w:t xml:space="preserve">Disponível em </w:t>
      </w:r>
      <w:hyperlink r:id="rId13">
        <w:r w:rsidRPr="00A024E1">
          <w:rPr>
            <w:rStyle w:val="LinkdaInternet"/>
            <w:rFonts w:eastAsiaTheme="minorHAnsi" w:cs="Arial"/>
            <w:szCs w:val="24"/>
            <w:lang w:eastAsia="en-US"/>
          </w:rPr>
          <w:t>http://repositorio.unb.br/handle/10482/5079?mode=full</w:t>
        </w:r>
      </w:hyperlink>
      <w:r w:rsidRPr="00A024E1">
        <w:rPr>
          <w:rFonts w:eastAsiaTheme="minorHAnsi" w:cs="Arial"/>
          <w:szCs w:val="24"/>
          <w:lang w:eastAsia="en-US"/>
        </w:rPr>
        <w:t xml:space="preserve">. Acesso em </w:t>
      </w:r>
      <w:proofErr w:type="gramStart"/>
      <w:r w:rsidRPr="00A024E1">
        <w:rPr>
          <w:rFonts w:eastAsiaTheme="minorHAnsi" w:cs="Arial"/>
          <w:szCs w:val="24"/>
          <w:lang w:eastAsia="en-US"/>
        </w:rPr>
        <w:t>29 julho 2017</w:t>
      </w:r>
      <w:proofErr w:type="gramEnd"/>
      <w:r w:rsidRPr="00A024E1">
        <w:rPr>
          <w:rFonts w:eastAsiaTheme="minorHAnsi" w:cs="Arial"/>
          <w:szCs w:val="24"/>
          <w:lang w:eastAsia="en-US"/>
        </w:rPr>
        <w:t>.</w:t>
      </w:r>
    </w:p>
    <w:p w:rsidR="00022727" w:rsidRPr="00A024E1" w:rsidRDefault="00022727" w:rsidP="00BF272F">
      <w:pPr>
        <w:spacing w:line="240" w:lineRule="auto"/>
        <w:jc w:val="left"/>
        <w:rPr>
          <w:rFonts w:eastAsiaTheme="minorHAnsi" w:cs="Arial"/>
          <w:szCs w:val="24"/>
          <w:lang w:eastAsia="en-US"/>
        </w:rPr>
      </w:pPr>
    </w:p>
    <w:p w:rsidR="00A024E1" w:rsidRDefault="00A024E1" w:rsidP="00BF272F">
      <w:pPr>
        <w:spacing w:line="240" w:lineRule="auto"/>
        <w:jc w:val="left"/>
        <w:rPr>
          <w:rFonts w:cs="Arial"/>
          <w:szCs w:val="24"/>
        </w:rPr>
      </w:pPr>
      <w:proofErr w:type="gramStart"/>
      <w:r w:rsidRPr="00A024E1">
        <w:rPr>
          <w:rFonts w:cs="Arial"/>
          <w:szCs w:val="24"/>
          <w:lang w:val="en-US"/>
        </w:rPr>
        <w:t>MALMQUIST, S. Index numbers and indifference surfaces.</w:t>
      </w:r>
      <w:proofErr w:type="gramEnd"/>
      <w:r w:rsidRPr="00A024E1">
        <w:rPr>
          <w:rFonts w:cs="Arial"/>
          <w:szCs w:val="24"/>
          <w:lang w:val="en-US"/>
        </w:rPr>
        <w:t xml:space="preserve"> </w:t>
      </w:r>
      <w:proofErr w:type="spellStart"/>
      <w:r w:rsidRPr="00A024E1">
        <w:rPr>
          <w:rFonts w:cs="Arial"/>
          <w:b/>
          <w:bCs/>
          <w:szCs w:val="24"/>
        </w:rPr>
        <w:t>Trabajos</w:t>
      </w:r>
      <w:proofErr w:type="spellEnd"/>
      <w:r w:rsidRPr="00A024E1">
        <w:rPr>
          <w:rFonts w:cs="Arial"/>
          <w:b/>
          <w:bCs/>
          <w:szCs w:val="24"/>
        </w:rPr>
        <w:t xml:space="preserve"> de </w:t>
      </w:r>
      <w:proofErr w:type="spellStart"/>
      <w:r w:rsidRPr="00A024E1">
        <w:rPr>
          <w:rFonts w:cs="Arial"/>
          <w:b/>
          <w:bCs/>
          <w:szCs w:val="24"/>
        </w:rPr>
        <w:t>Estatistica</w:t>
      </w:r>
      <w:proofErr w:type="spellEnd"/>
      <w:r w:rsidRPr="00A024E1">
        <w:rPr>
          <w:rFonts w:cs="Arial"/>
          <w:szCs w:val="24"/>
        </w:rPr>
        <w:t>, v. 4, p. 209–242, 1953.</w:t>
      </w:r>
    </w:p>
    <w:p w:rsidR="00022727" w:rsidRPr="00A024E1" w:rsidRDefault="00022727" w:rsidP="00BF272F">
      <w:pPr>
        <w:spacing w:line="240" w:lineRule="auto"/>
        <w:jc w:val="left"/>
        <w:rPr>
          <w:rFonts w:eastAsiaTheme="minorHAnsi" w:cs="Arial"/>
          <w:szCs w:val="24"/>
          <w:lang w:eastAsia="en-US"/>
        </w:rPr>
      </w:pPr>
    </w:p>
    <w:p w:rsidR="00A024E1" w:rsidRPr="00A024E1" w:rsidRDefault="00A024E1" w:rsidP="00BF272F">
      <w:pPr>
        <w:spacing w:line="240" w:lineRule="auto"/>
        <w:jc w:val="left"/>
        <w:rPr>
          <w:rFonts w:cs="Arial"/>
          <w:szCs w:val="24"/>
        </w:rPr>
      </w:pPr>
      <w:proofErr w:type="spellStart"/>
      <w:r w:rsidRPr="00A024E1">
        <w:rPr>
          <w:rFonts w:cs="Arial"/>
          <w:szCs w:val="24"/>
        </w:rPr>
        <w:t>SCHULL</w:t>
      </w:r>
      <w:proofErr w:type="spellEnd"/>
      <w:r w:rsidRPr="00A024E1">
        <w:rPr>
          <w:rFonts w:cs="Arial"/>
          <w:szCs w:val="24"/>
        </w:rPr>
        <w:t xml:space="preserve">, A. N.; </w:t>
      </w:r>
      <w:proofErr w:type="spellStart"/>
      <w:r w:rsidRPr="00A024E1">
        <w:rPr>
          <w:rFonts w:cs="Arial"/>
          <w:szCs w:val="24"/>
        </w:rPr>
        <w:t>FEITÓSA</w:t>
      </w:r>
      <w:proofErr w:type="spellEnd"/>
      <w:r w:rsidRPr="00A024E1">
        <w:rPr>
          <w:rFonts w:cs="Arial"/>
          <w:szCs w:val="24"/>
        </w:rPr>
        <w:t>, C. G.; HEIN, A. F. Análise da eficiência dos gastos em segurança pública nos estados brasileiros através da Análise Envoltória de Dados (</w:t>
      </w:r>
      <w:proofErr w:type="spellStart"/>
      <w:r w:rsidRPr="00A024E1">
        <w:rPr>
          <w:rFonts w:cs="Arial"/>
          <w:szCs w:val="24"/>
        </w:rPr>
        <w:t>DEA</w:t>
      </w:r>
      <w:proofErr w:type="spellEnd"/>
      <w:r w:rsidRPr="00A024E1">
        <w:rPr>
          <w:rFonts w:cs="Arial"/>
          <w:szCs w:val="24"/>
        </w:rPr>
        <w:t>). Revista Capital Científico, v. 12, n. 3, p. 91-105, jul./set., 2014.</w:t>
      </w:r>
    </w:p>
    <w:p w:rsidR="00A024E1" w:rsidRDefault="00A024E1" w:rsidP="00BF272F">
      <w:pPr>
        <w:spacing w:line="240" w:lineRule="auto"/>
        <w:jc w:val="left"/>
        <w:rPr>
          <w:rFonts w:cs="Arial"/>
          <w:szCs w:val="24"/>
        </w:rPr>
      </w:pPr>
      <w:proofErr w:type="spellStart"/>
      <w:r w:rsidRPr="00A024E1">
        <w:rPr>
          <w:rFonts w:cs="Arial"/>
          <w:szCs w:val="24"/>
        </w:rPr>
        <w:t>SAPORI</w:t>
      </w:r>
      <w:proofErr w:type="spellEnd"/>
      <w:r w:rsidRPr="00A024E1">
        <w:rPr>
          <w:rFonts w:cs="Arial"/>
          <w:szCs w:val="24"/>
        </w:rPr>
        <w:t xml:space="preserve">, L. F. A segurança pública no Brasil. </w:t>
      </w:r>
      <w:r w:rsidRPr="00A024E1">
        <w:rPr>
          <w:rFonts w:cs="Arial"/>
          <w:b/>
          <w:bCs/>
          <w:szCs w:val="24"/>
        </w:rPr>
        <w:t>Em Debate</w:t>
      </w:r>
      <w:r w:rsidRPr="00A024E1">
        <w:rPr>
          <w:rFonts w:cs="Arial"/>
          <w:szCs w:val="24"/>
        </w:rPr>
        <w:t xml:space="preserve">, Belo Horizonte, v. 3, n. 1, p. 11-15, jan. 2011. </w:t>
      </w:r>
    </w:p>
    <w:p w:rsidR="00022727" w:rsidRPr="00A024E1" w:rsidRDefault="00022727" w:rsidP="00BF272F">
      <w:pPr>
        <w:spacing w:line="240" w:lineRule="auto"/>
        <w:jc w:val="left"/>
        <w:rPr>
          <w:rFonts w:cs="Arial"/>
          <w:szCs w:val="24"/>
        </w:rPr>
      </w:pPr>
    </w:p>
    <w:p w:rsidR="00A024E1" w:rsidRDefault="00A024E1" w:rsidP="00BF272F">
      <w:pPr>
        <w:autoSpaceDE w:val="0"/>
        <w:autoSpaceDN w:val="0"/>
        <w:adjustRightInd w:val="0"/>
        <w:spacing w:line="240" w:lineRule="auto"/>
        <w:jc w:val="left"/>
        <w:rPr>
          <w:rFonts w:eastAsiaTheme="minorHAnsi" w:cs="Arial"/>
          <w:szCs w:val="24"/>
          <w:lang w:eastAsia="en-US"/>
        </w:rPr>
      </w:pPr>
      <w:r w:rsidRPr="00A024E1">
        <w:rPr>
          <w:rFonts w:eastAsiaTheme="minorHAnsi" w:cs="Arial"/>
          <w:szCs w:val="24"/>
          <w:lang w:eastAsia="en-US"/>
        </w:rPr>
        <w:t xml:space="preserve">SILVA, A. C. R. </w:t>
      </w:r>
      <w:r w:rsidRPr="00A024E1">
        <w:rPr>
          <w:rFonts w:eastAsiaTheme="minorHAnsi" w:cs="Arial"/>
          <w:b/>
          <w:bCs/>
          <w:szCs w:val="24"/>
          <w:lang w:eastAsia="en-US"/>
        </w:rPr>
        <w:t>Metodologia da Pesquisa Aplicada à Contabilidade</w:t>
      </w:r>
      <w:r w:rsidRPr="00A024E1">
        <w:rPr>
          <w:rFonts w:eastAsiaTheme="minorHAnsi" w:cs="Arial"/>
          <w:szCs w:val="24"/>
          <w:lang w:eastAsia="en-US"/>
        </w:rPr>
        <w:t>. 1ª Ed. Atlas, São Paulo, 2003.</w:t>
      </w:r>
    </w:p>
    <w:p w:rsidR="00022727" w:rsidRPr="00A024E1" w:rsidRDefault="00022727" w:rsidP="00BF272F">
      <w:pPr>
        <w:autoSpaceDE w:val="0"/>
        <w:autoSpaceDN w:val="0"/>
        <w:adjustRightInd w:val="0"/>
        <w:spacing w:line="240" w:lineRule="auto"/>
        <w:jc w:val="left"/>
        <w:rPr>
          <w:rFonts w:eastAsiaTheme="minorHAnsi" w:cs="Arial"/>
          <w:szCs w:val="24"/>
          <w:lang w:eastAsia="en-US"/>
        </w:rPr>
      </w:pPr>
    </w:p>
    <w:p w:rsidR="00A024E1" w:rsidRDefault="00A024E1" w:rsidP="00BF272F">
      <w:pPr>
        <w:autoSpaceDE w:val="0"/>
        <w:autoSpaceDN w:val="0"/>
        <w:adjustRightInd w:val="0"/>
        <w:spacing w:line="240" w:lineRule="auto"/>
        <w:jc w:val="left"/>
        <w:rPr>
          <w:rFonts w:eastAsiaTheme="minorHAnsi" w:cs="Arial"/>
          <w:szCs w:val="24"/>
          <w:lang w:eastAsia="en-US"/>
        </w:rPr>
      </w:pPr>
      <w:r w:rsidRPr="00A024E1">
        <w:rPr>
          <w:rFonts w:eastAsiaTheme="minorHAnsi" w:cs="Arial"/>
          <w:szCs w:val="24"/>
          <w:lang w:eastAsia="en-US"/>
        </w:rPr>
        <w:t xml:space="preserve">SOARES, L. E. Segurança Pública: presente e futuro. </w:t>
      </w:r>
      <w:r w:rsidRPr="00A024E1">
        <w:rPr>
          <w:rFonts w:eastAsiaTheme="minorHAnsi" w:cs="Arial"/>
          <w:b/>
          <w:bCs/>
          <w:szCs w:val="24"/>
          <w:lang w:eastAsia="en-US"/>
        </w:rPr>
        <w:t>Estudos Avançados</w:t>
      </w:r>
      <w:r w:rsidRPr="00A024E1">
        <w:rPr>
          <w:rFonts w:eastAsiaTheme="minorHAnsi" w:cs="Arial"/>
          <w:szCs w:val="24"/>
          <w:lang w:eastAsia="en-US"/>
        </w:rPr>
        <w:t>. 2006, v. 20, n. 56. Disponível em: &lt;http://www.scielo.br/pdf/ea/v20n56/28629.pdf&gt; Acesso em:</w:t>
      </w:r>
      <w:r w:rsidRPr="00A024E1">
        <w:rPr>
          <w:rFonts w:cs="Arial"/>
          <w:szCs w:val="24"/>
        </w:rPr>
        <w:t xml:space="preserve"> </w:t>
      </w:r>
      <w:proofErr w:type="gramStart"/>
      <w:r w:rsidRPr="00A024E1">
        <w:rPr>
          <w:rFonts w:eastAsiaTheme="minorHAnsi" w:cs="Arial"/>
          <w:szCs w:val="24"/>
          <w:lang w:eastAsia="en-US"/>
        </w:rPr>
        <w:t>27 julho 2017</w:t>
      </w:r>
      <w:proofErr w:type="gramEnd"/>
      <w:r w:rsidRPr="00A024E1">
        <w:rPr>
          <w:rFonts w:eastAsiaTheme="minorHAnsi" w:cs="Arial"/>
          <w:szCs w:val="24"/>
          <w:lang w:eastAsia="en-US"/>
        </w:rPr>
        <w:t>.</w:t>
      </w:r>
    </w:p>
    <w:p w:rsidR="00022727" w:rsidRPr="00A024E1" w:rsidRDefault="00022727" w:rsidP="00BF272F">
      <w:pPr>
        <w:autoSpaceDE w:val="0"/>
        <w:autoSpaceDN w:val="0"/>
        <w:adjustRightInd w:val="0"/>
        <w:spacing w:line="240" w:lineRule="auto"/>
        <w:jc w:val="left"/>
        <w:rPr>
          <w:rFonts w:eastAsiaTheme="minorHAnsi" w:cs="Arial"/>
          <w:szCs w:val="24"/>
          <w:lang w:eastAsia="en-US"/>
        </w:rPr>
      </w:pPr>
    </w:p>
    <w:p w:rsidR="00A024E1" w:rsidRPr="00A024E1" w:rsidRDefault="00A024E1" w:rsidP="00BF272F">
      <w:pPr>
        <w:autoSpaceDE w:val="0"/>
        <w:autoSpaceDN w:val="0"/>
        <w:adjustRightInd w:val="0"/>
        <w:spacing w:line="240" w:lineRule="auto"/>
        <w:jc w:val="left"/>
        <w:rPr>
          <w:rFonts w:cs="Arial"/>
          <w:szCs w:val="24"/>
          <w:lang w:val="en-US"/>
        </w:rPr>
      </w:pPr>
      <w:r w:rsidRPr="00A024E1">
        <w:rPr>
          <w:rFonts w:eastAsiaTheme="minorHAnsi" w:cs="Arial"/>
          <w:szCs w:val="24"/>
          <w:lang w:eastAsia="en-US"/>
        </w:rPr>
        <w:t xml:space="preserve">SOUZA NETO, </w:t>
      </w:r>
      <w:proofErr w:type="spellStart"/>
      <w:r w:rsidRPr="00A024E1">
        <w:rPr>
          <w:rFonts w:eastAsiaTheme="minorHAnsi" w:cs="Arial"/>
          <w:szCs w:val="24"/>
          <w:lang w:eastAsia="en-US"/>
        </w:rPr>
        <w:t>C.P</w:t>
      </w:r>
      <w:proofErr w:type="spellEnd"/>
      <w:r w:rsidRPr="00A024E1">
        <w:rPr>
          <w:rFonts w:eastAsiaTheme="minorHAnsi" w:cs="Arial"/>
          <w:szCs w:val="24"/>
          <w:lang w:eastAsia="en-US"/>
        </w:rPr>
        <w:t xml:space="preserve">. Parâmetros para a conceituação constitucionalmente adequada da segurança pública. </w:t>
      </w:r>
      <w:r w:rsidRPr="00A024E1">
        <w:rPr>
          <w:rFonts w:eastAsiaTheme="minorHAnsi" w:cs="Arial"/>
          <w:szCs w:val="24"/>
          <w:lang w:val="en-US" w:eastAsia="en-US"/>
        </w:rPr>
        <w:t xml:space="preserve">IN: OLIVEIRA, </w:t>
      </w:r>
      <w:proofErr w:type="spellStart"/>
      <w:r w:rsidRPr="00A024E1">
        <w:rPr>
          <w:rFonts w:eastAsiaTheme="minorHAnsi" w:cs="Arial"/>
          <w:szCs w:val="24"/>
          <w:lang w:val="en-US" w:eastAsia="en-US"/>
        </w:rPr>
        <w:t>F.B</w:t>
      </w:r>
      <w:proofErr w:type="spellEnd"/>
      <w:r w:rsidRPr="00A024E1">
        <w:rPr>
          <w:rFonts w:eastAsiaTheme="minorHAnsi" w:cs="Arial"/>
          <w:szCs w:val="24"/>
          <w:lang w:val="en-US" w:eastAsia="en-US"/>
        </w:rPr>
        <w:t xml:space="preserve">.; </w:t>
      </w:r>
      <w:proofErr w:type="spellStart"/>
      <w:r w:rsidRPr="00A024E1">
        <w:rPr>
          <w:rFonts w:eastAsiaTheme="minorHAnsi" w:cs="Arial"/>
          <w:szCs w:val="24"/>
          <w:lang w:val="en-US" w:eastAsia="en-US"/>
        </w:rPr>
        <w:t>ZOUAIN</w:t>
      </w:r>
      <w:proofErr w:type="spellEnd"/>
      <w:r w:rsidRPr="00A024E1">
        <w:rPr>
          <w:rFonts w:eastAsiaTheme="minorHAnsi" w:cs="Arial"/>
          <w:szCs w:val="24"/>
          <w:lang w:val="en-US" w:eastAsia="en-US"/>
        </w:rPr>
        <w:t xml:space="preserve">, </w:t>
      </w:r>
      <w:proofErr w:type="spellStart"/>
      <w:r w:rsidRPr="00A024E1">
        <w:rPr>
          <w:rFonts w:eastAsiaTheme="minorHAnsi" w:cs="Arial"/>
          <w:szCs w:val="24"/>
          <w:lang w:val="en-US" w:eastAsia="en-US"/>
        </w:rPr>
        <w:t>D.M</w:t>
      </w:r>
      <w:proofErr w:type="spellEnd"/>
      <w:r w:rsidRPr="00A024E1">
        <w:rPr>
          <w:rFonts w:eastAsiaTheme="minorHAnsi" w:cs="Arial"/>
          <w:szCs w:val="24"/>
          <w:lang w:val="en-US" w:eastAsia="en-US"/>
        </w:rPr>
        <w:t xml:space="preserve">.; </w:t>
      </w:r>
      <w:proofErr w:type="spellStart"/>
      <w:r w:rsidRPr="00A024E1">
        <w:rPr>
          <w:rFonts w:eastAsiaTheme="minorHAnsi" w:cs="Arial"/>
          <w:szCs w:val="24"/>
          <w:lang w:val="en-US" w:eastAsia="en-US"/>
        </w:rPr>
        <w:t>RUEDIGER</w:t>
      </w:r>
      <w:proofErr w:type="spellEnd"/>
      <w:r w:rsidRPr="00A024E1">
        <w:rPr>
          <w:rFonts w:eastAsiaTheme="minorHAnsi" w:cs="Arial"/>
          <w:szCs w:val="24"/>
          <w:lang w:val="en-US" w:eastAsia="en-US"/>
        </w:rPr>
        <w:t xml:space="preserve">, M.A.; </w:t>
      </w:r>
    </w:p>
    <w:p w:rsidR="00A024E1" w:rsidRPr="00A024E1" w:rsidRDefault="00A024E1" w:rsidP="00BF272F">
      <w:pPr>
        <w:autoSpaceDE w:val="0"/>
        <w:autoSpaceDN w:val="0"/>
        <w:adjustRightInd w:val="0"/>
        <w:spacing w:line="240" w:lineRule="auto"/>
        <w:jc w:val="left"/>
        <w:rPr>
          <w:rFonts w:eastAsiaTheme="minorHAnsi" w:cs="Arial"/>
          <w:szCs w:val="24"/>
          <w:lang w:eastAsia="en-US"/>
        </w:rPr>
      </w:pPr>
      <w:proofErr w:type="spellStart"/>
      <w:r w:rsidRPr="00A024E1">
        <w:rPr>
          <w:rFonts w:eastAsiaTheme="minorHAnsi" w:cs="Arial"/>
          <w:szCs w:val="24"/>
          <w:lang w:eastAsia="en-US"/>
        </w:rPr>
        <w:t>THIMÓTEO</w:t>
      </w:r>
      <w:proofErr w:type="spellEnd"/>
      <w:r w:rsidRPr="00A024E1">
        <w:rPr>
          <w:rFonts w:eastAsiaTheme="minorHAnsi" w:cs="Arial"/>
          <w:szCs w:val="24"/>
          <w:lang w:eastAsia="en-US"/>
        </w:rPr>
        <w:t xml:space="preserve">, A. </w:t>
      </w:r>
      <w:r w:rsidRPr="00A024E1">
        <w:rPr>
          <w:rFonts w:eastAsiaTheme="minorHAnsi" w:cs="Arial"/>
          <w:b/>
          <w:bCs/>
          <w:szCs w:val="24"/>
          <w:lang w:eastAsia="en-US"/>
        </w:rPr>
        <w:t>Análise envoltória de dados na avaliação de empréstimos financeiros realizados pelo banco social</w:t>
      </w:r>
      <w:r w:rsidRPr="00A024E1">
        <w:rPr>
          <w:rFonts w:eastAsiaTheme="minorHAnsi" w:cs="Arial"/>
          <w:szCs w:val="24"/>
          <w:lang w:eastAsia="en-US"/>
        </w:rPr>
        <w:t>. 121 f. Dissertação (Mestrado em Métodos Numéricos em</w:t>
      </w:r>
      <w:r w:rsidRPr="00A024E1">
        <w:rPr>
          <w:rFonts w:eastAsiaTheme="minorHAnsi" w:cs="Arial"/>
          <w:b/>
          <w:bCs/>
          <w:szCs w:val="24"/>
          <w:lang w:eastAsia="en-US"/>
        </w:rPr>
        <w:t xml:space="preserve"> </w:t>
      </w:r>
      <w:r w:rsidRPr="00A024E1">
        <w:rPr>
          <w:rFonts w:eastAsiaTheme="minorHAnsi" w:cs="Arial"/>
          <w:szCs w:val="24"/>
          <w:lang w:eastAsia="en-US"/>
        </w:rPr>
        <w:t>Engenharia), Universidade Federal do Paraná, Curitiba, 2005.</w:t>
      </w:r>
    </w:p>
    <w:p w:rsidR="00A024E1" w:rsidRPr="003E46E8" w:rsidRDefault="00A024E1" w:rsidP="00A024E1"/>
    <w:p w:rsidR="004D5226" w:rsidRPr="00A024E1" w:rsidRDefault="004D5226" w:rsidP="00A024E1">
      <w:pPr>
        <w:jc w:val="center"/>
      </w:pPr>
    </w:p>
    <w:sectPr w:rsidR="004D5226" w:rsidRPr="00A024E1" w:rsidSect="003C4960">
      <w:headerReference w:type="default" r:id="rId14"/>
      <w:footerReference w:type="default" r:id="rId15"/>
      <w:footnotePr>
        <w:numRestart w:val="eachPage"/>
      </w:footnotePr>
      <w:type w:val="continuous"/>
      <w:pgSz w:w="11906" w:h="16838"/>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84597" w:rsidRDefault="00E84597" w:rsidP="00C22554">
      <w:pPr>
        <w:spacing w:line="240" w:lineRule="auto"/>
      </w:pPr>
      <w:r>
        <w:separator/>
      </w:r>
    </w:p>
  </w:endnote>
  <w:endnote w:type="continuationSeparator" w:id="0">
    <w:p w:rsidR="00E84597" w:rsidRDefault="00E84597" w:rsidP="00C2255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Roboto Lt">
    <w:panose1 w:val="00000000000000000000"/>
    <w:charset w:val="00"/>
    <w:family w:val="auto"/>
    <w:pitch w:val="variable"/>
    <w:sig w:usb0="E00002EF" w:usb1="5000205B" w:usb2="0000002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Roboto Bk">
    <w:panose1 w:val="00000000000000000000"/>
    <w:charset w:val="00"/>
    <w:family w:val="auto"/>
    <w:pitch w:val="variable"/>
    <w:sig w:usb0="E00002EF" w:usb1="5000205B" w:usb2="00000020" w:usb3="00000000" w:csb0="0000019F" w:csb1="00000000"/>
  </w:font>
  <w:font w:name="Comic Sans MS">
    <w:panose1 w:val="030F0702030302020204"/>
    <w:charset w:val="00"/>
    <w:family w:val="script"/>
    <w:pitch w:val="variable"/>
    <w:sig w:usb0="00000287" w:usb1="00000000" w:usb2="00000000" w:usb3="00000000" w:csb0="0000009F" w:csb1="00000000"/>
  </w:font>
  <w:font w:name="Liberation Serif">
    <w:altName w:val="Times New Roman"/>
    <w:charset w:val="00"/>
    <w:family w:val="roman"/>
    <w:pitch w:val="variable"/>
    <w:sig w:usb0="E0000AFF" w:usb1="500078FF" w:usb2="00000021" w:usb3="00000000" w:csb0="000001BF" w:csb1="00000000"/>
  </w:font>
  <w:font w:name="SimSun, 宋体">
    <w:panose1 w:val="00000000000000000000"/>
    <w:charset w:val="80"/>
    <w:family w:val="roman"/>
    <w:notTrueType/>
    <w:pitch w:val="default"/>
  </w:font>
  <w:font w:name="Liberation Mono">
    <w:altName w:val="Courier New"/>
    <w:charset w:val="00"/>
    <w:family w:val="modern"/>
    <w:pitch w:val="fixed"/>
    <w:sig w:usb0="E0000AFF" w:usb1="400078FF" w:usb2="00000001" w:usb3="00000000" w:csb0="000001BF" w:csb1="00000000"/>
  </w:font>
  <w:font w:name="NSimSun">
    <w:panose1 w:val="02010609030101010101"/>
    <w:charset w:val="86"/>
    <w:family w:val="modern"/>
    <w:pitch w:val="fixed"/>
    <w:sig w:usb0="00000003" w:usb1="288F0000" w:usb2="00000016" w:usb3="00000000" w:csb0="00040001" w:csb1="00000000"/>
  </w:font>
  <w:font w:name="Helvetica">
    <w:panose1 w:val="020B0604020202020204"/>
    <w:charset w:val="00"/>
    <w:family w:val="swiss"/>
    <w:notTrueType/>
    <w:pitch w:val="variable"/>
    <w:sig w:usb0="00000003" w:usb1="00000000" w:usb2="00000000" w:usb3="00000000" w:csb0="00000001" w:csb1="00000000"/>
  </w:font>
  <w:font w:name="ヒラギノ角ゴ Pro W3">
    <w:altName w:val="Times New Roman"/>
    <w:charset w:val="00"/>
    <w:family w:val="roman"/>
    <w:pitch w:val="default"/>
  </w:font>
  <w:font w:name="Times">
    <w:altName w:val="Times New Roman"/>
    <w:panose1 w:val="02020603050405020304"/>
    <w:charset w:val="00"/>
    <w:family w:val="roman"/>
    <w:pitch w:val="variable"/>
    <w:sig w:usb0="E0002EFF" w:usb1="C000785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68325462"/>
      <w:docPartObj>
        <w:docPartGallery w:val="Page Numbers (Bottom of Page)"/>
        <w:docPartUnique/>
      </w:docPartObj>
    </w:sdtPr>
    <w:sdtEndPr/>
    <w:sdtContent>
      <w:p w:rsidR="001D1A3C" w:rsidRDefault="001D1A3C">
        <w:pPr>
          <w:pStyle w:val="Rodap"/>
          <w:jc w:val="right"/>
        </w:pPr>
        <w:r>
          <w:fldChar w:fldCharType="begin"/>
        </w:r>
        <w:r>
          <w:instrText>PAGE   \* MERGEFORMAT</w:instrText>
        </w:r>
        <w:r>
          <w:fldChar w:fldCharType="separate"/>
        </w:r>
        <w:r w:rsidR="00022727">
          <w:rPr>
            <w:noProof/>
          </w:rPr>
          <w:t>4</w:t>
        </w:r>
        <w:r>
          <w:fldChar w:fldCharType="end"/>
        </w:r>
      </w:p>
    </w:sdtContent>
  </w:sdt>
  <w:p w:rsidR="001D1A3C" w:rsidRDefault="001D1A3C">
    <w:pPr>
      <w:pStyle w:val="Rodap"/>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84597" w:rsidRDefault="00E84597" w:rsidP="00C22554">
      <w:pPr>
        <w:spacing w:line="240" w:lineRule="auto"/>
      </w:pPr>
      <w:r>
        <w:separator/>
      </w:r>
    </w:p>
  </w:footnote>
  <w:footnote w:type="continuationSeparator" w:id="0">
    <w:p w:rsidR="00E84597" w:rsidRDefault="00E84597" w:rsidP="00C22554">
      <w:pPr>
        <w:spacing w:line="240" w:lineRule="auto"/>
      </w:pPr>
      <w:r>
        <w:continuationSeparator/>
      </w:r>
    </w:p>
  </w:footnote>
  <w:footnote w:id="1">
    <w:p w:rsidR="00A024E1" w:rsidRDefault="00A024E1">
      <w:pPr>
        <w:pStyle w:val="Textodenotaderodap"/>
      </w:pPr>
      <w:r>
        <w:rPr>
          <w:rStyle w:val="Refdenotaderodap"/>
        </w:rPr>
        <w:footnoteRef/>
      </w:r>
      <w:r>
        <w:t xml:space="preserve"> </w:t>
      </w:r>
      <w:r w:rsidRPr="00A024E1">
        <w:rPr>
          <w:rFonts w:cs="Arial"/>
        </w:rPr>
        <w:t>Graduanda em ciências contábeis pela Universidade Federal do Rio Grande do Norte – UFRN</w:t>
      </w:r>
      <w:r>
        <w:rPr>
          <w:rFonts w:cs="Arial"/>
        </w:rPr>
        <w:t>.</w:t>
      </w:r>
    </w:p>
  </w:footnote>
  <w:footnote w:id="2">
    <w:p w:rsidR="00A024E1" w:rsidRPr="00A024E1" w:rsidRDefault="00A024E1" w:rsidP="00A024E1">
      <w:pPr>
        <w:pStyle w:val="Rodap"/>
        <w:ind w:left="142" w:hanging="142"/>
        <w:jc w:val="left"/>
        <w:rPr>
          <w:rFonts w:cs="Arial"/>
          <w:sz w:val="20"/>
          <w:szCs w:val="20"/>
        </w:rPr>
      </w:pPr>
      <w:r>
        <w:rPr>
          <w:rStyle w:val="Refdenotaderodap"/>
        </w:rPr>
        <w:footnoteRef/>
      </w:r>
      <w:r>
        <w:t xml:space="preserve"> </w:t>
      </w:r>
      <w:r w:rsidRPr="00A024E1">
        <w:rPr>
          <w:rFonts w:cs="Arial"/>
          <w:sz w:val="20"/>
          <w:szCs w:val="20"/>
        </w:rPr>
        <w:t>Graduanda em ciências contábeis pela Universidade Federal do Rio Grande do Norte – UFRN</w:t>
      </w:r>
      <w:r>
        <w:rPr>
          <w:rFonts w:cs="Arial"/>
          <w:sz w:val="20"/>
          <w:szCs w:val="20"/>
        </w:rPr>
        <w:t>.</w:t>
      </w:r>
    </w:p>
  </w:footnote>
  <w:footnote w:id="3">
    <w:p w:rsidR="00A024E1" w:rsidRDefault="00A024E1" w:rsidP="00A024E1">
      <w:pPr>
        <w:pStyle w:val="Textodenotaderodap"/>
        <w:ind w:left="142" w:hanging="142"/>
      </w:pPr>
      <w:r>
        <w:rPr>
          <w:rStyle w:val="Refdenotaderodap"/>
        </w:rPr>
        <w:footnoteRef/>
      </w:r>
      <w:r>
        <w:t xml:space="preserve"> </w:t>
      </w:r>
      <w:r w:rsidRPr="00A024E1">
        <w:rPr>
          <w:rFonts w:cs="Arial"/>
        </w:rPr>
        <w:t>Professora orientadora, mestra em Ciências Contábeis pelo Programa Multi-instit</w:t>
      </w:r>
      <w:r>
        <w:rPr>
          <w:rFonts w:cs="Arial"/>
        </w:rPr>
        <w:t>ucional e Inter-regional de Pós-</w:t>
      </w:r>
      <w:r w:rsidRPr="00A024E1">
        <w:rPr>
          <w:rFonts w:cs="Arial"/>
        </w:rPr>
        <w:t>Graduação UnB/UFPB/UFRN (2015</w:t>
      </w:r>
      <w:r>
        <w:rPr>
          <w:rFonts w:cs="Arial"/>
        </w:rPr>
        <w:t>).</w:t>
      </w:r>
    </w:p>
  </w:footnote>
  <w:footnote w:id="4">
    <w:p w:rsidR="00A024E1" w:rsidRDefault="00A024E1">
      <w:pPr>
        <w:pStyle w:val="Textodenotaderodap"/>
      </w:pPr>
      <w:r>
        <w:rPr>
          <w:rStyle w:val="Refdenotaderodap"/>
        </w:rPr>
        <w:footnoteRef/>
      </w:r>
      <w:r>
        <w:t xml:space="preserve"> </w:t>
      </w:r>
      <w:r w:rsidRPr="00A024E1">
        <w:rPr>
          <w:rFonts w:cs="Arial"/>
        </w:rPr>
        <w:t>Professor orientador, doutorando e</w:t>
      </w:r>
      <w:r>
        <w:rPr>
          <w:rFonts w:cs="Arial"/>
        </w:rPr>
        <w:t xml:space="preserve">m Administração pelo </w:t>
      </w:r>
      <w:proofErr w:type="spellStart"/>
      <w:r>
        <w:rPr>
          <w:rFonts w:cs="Arial"/>
        </w:rPr>
        <w:t>PPGA</w:t>
      </w:r>
      <w:proofErr w:type="spellEnd"/>
      <w:r>
        <w:rPr>
          <w:rFonts w:cs="Arial"/>
        </w:rPr>
        <w:t>/UFRN.</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1A3C" w:rsidRDefault="001D1A3C" w:rsidP="00B45CFF">
    <w:pPr>
      <w:pStyle w:val="Cabealho"/>
      <w:jc w:val="center"/>
      <w:rPr>
        <w:szCs w:val="20"/>
      </w:rPr>
    </w:pPr>
    <w:r w:rsidRPr="00825334">
      <w:rPr>
        <w:noProof/>
        <w:szCs w:val="20"/>
      </w:rPr>
      <w:drawing>
        <wp:inline distT="0" distB="0" distL="0" distR="0" wp14:anchorId="4DD6AE1C" wp14:editId="3FE24F46">
          <wp:extent cx="2364154" cy="914400"/>
          <wp:effectExtent l="0" t="0" r="0" b="0"/>
          <wp:docPr id="1" name="Imagem 0" descr="2019.02.01 - logomarc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2019.02.01 - logomarca.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64154" cy="914400"/>
                  </a:xfrm>
                  <a:prstGeom prst="rect">
                    <a:avLst/>
                  </a:prstGeom>
                  <a:noFill/>
                  <a:ln>
                    <a:noFill/>
                  </a:ln>
                </pic:spPr>
              </pic:pic>
            </a:graphicData>
          </a:graphic>
        </wp:inline>
      </w:drawing>
    </w:r>
  </w:p>
  <w:p w:rsidR="001D1A3C" w:rsidRPr="00B45CFF" w:rsidRDefault="001D1A3C" w:rsidP="00B45CFF">
    <w:pPr>
      <w:pStyle w:val="Cabealho"/>
      <w:jc w:val="cent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7FE1E3A"/>
    <w:multiLevelType w:val="multilevel"/>
    <w:tmpl w:val="BD587806"/>
    <w:lvl w:ilvl="0">
      <w:start w:val="4"/>
      <w:numFmt w:val="decimal"/>
      <w:lvlText w:val="%1"/>
      <w:lvlJc w:val="left"/>
      <w:pPr>
        <w:ind w:left="465" w:hanging="465"/>
      </w:pPr>
      <w:rPr>
        <w:rFonts w:hint="default"/>
      </w:rPr>
    </w:lvl>
    <w:lvl w:ilvl="1">
      <w:start w:val="11"/>
      <w:numFmt w:val="decimal"/>
      <w:lvlText w:val="%1.%2"/>
      <w:lvlJc w:val="left"/>
      <w:pPr>
        <w:ind w:left="1230" w:hanging="465"/>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abstractNum w:abstractNumId="1">
    <w:nsid w:val="19271710"/>
    <w:multiLevelType w:val="multilevel"/>
    <w:tmpl w:val="966C12C8"/>
    <w:lvl w:ilvl="0">
      <w:start w:val="2"/>
      <w:numFmt w:val="decimal"/>
      <w:lvlText w:val="%1"/>
      <w:lvlJc w:val="left"/>
      <w:pPr>
        <w:ind w:left="720" w:hanging="360"/>
      </w:pPr>
      <w:rPr>
        <w:rFonts w:hint="default"/>
        <w:b/>
      </w:rPr>
    </w:lvl>
    <w:lvl w:ilvl="1">
      <w:start w:val="2"/>
      <w:numFmt w:val="decimal"/>
      <w:isLgl/>
      <w:lvlText w:val="%1.%2"/>
      <w:lvlJc w:val="left"/>
      <w:pPr>
        <w:ind w:left="765" w:hanging="40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nsid w:val="33B029E3"/>
    <w:multiLevelType w:val="hybridMultilevel"/>
    <w:tmpl w:val="C346CD1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45662B03"/>
    <w:multiLevelType w:val="multilevel"/>
    <w:tmpl w:val="0B007F46"/>
    <w:lvl w:ilvl="0">
      <w:start w:val="1"/>
      <w:numFmt w:val="decimal"/>
      <w:lvlText w:val="%1"/>
      <w:lvlJc w:val="left"/>
      <w:pPr>
        <w:tabs>
          <w:tab w:val="num" w:pos="720"/>
        </w:tabs>
        <w:ind w:left="720" w:hanging="360"/>
      </w:pPr>
      <w:rPr>
        <w:rFonts w:hint="default"/>
        <w:b/>
      </w:rPr>
    </w:lvl>
    <w:lvl w:ilvl="1">
      <w:start w:val="2"/>
      <w:numFmt w:val="decimal"/>
      <w:isLgl/>
      <w:lvlText w:val="%1.%2"/>
      <w:lvlJc w:val="left"/>
      <w:pPr>
        <w:ind w:left="360" w:hanging="360"/>
      </w:pPr>
      <w:rPr>
        <w:rFonts w:hint="default"/>
        <w:lang w:val="pt-P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4">
    <w:nsid w:val="51AC7388"/>
    <w:multiLevelType w:val="hybridMultilevel"/>
    <w:tmpl w:val="F050C06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9"/>
  <w:hyphenationZone w:val="425"/>
  <w:characterSpacingControl w:val="doNotCompress"/>
  <w:hdrShapeDefaults>
    <o:shapedefaults v:ext="edit" spidmax="2049"/>
  </w:hdrShapeDefaults>
  <w:footnotePr>
    <w:numRestart w:val="eachPage"/>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3D85"/>
    <w:rsid w:val="00002138"/>
    <w:rsid w:val="00005400"/>
    <w:rsid w:val="00006AB2"/>
    <w:rsid w:val="00011F49"/>
    <w:rsid w:val="00014FE9"/>
    <w:rsid w:val="000150BE"/>
    <w:rsid w:val="0001549E"/>
    <w:rsid w:val="0001737B"/>
    <w:rsid w:val="00022646"/>
    <w:rsid w:val="00022727"/>
    <w:rsid w:val="00027FD4"/>
    <w:rsid w:val="00032EC8"/>
    <w:rsid w:val="0003600B"/>
    <w:rsid w:val="00037D4F"/>
    <w:rsid w:val="0004594A"/>
    <w:rsid w:val="00052830"/>
    <w:rsid w:val="00053B7E"/>
    <w:rsid w:val="00076E4A"/>
    <w:rsid w:val="000854F8"/>
    <w:rsid w:val="000927FF"/>
    <w:rsid w:val="000A0EDE"/>
    <w:rsid w:val="000A273C"/>
    <w:rsid w:val="000B02D0"/>
    <w:rsid w:val="000B0F2F"/>
    <w:rsid w:val="000B3FBD"/>
    <w:rsid w:val="000B7C36"/>
    <w:rsid w:val="000B7D08"/>
    <w:rsid w:val="000D19C0"/>
    <w:rsid w:val="000D3768"/>
    <w:rsid w:val="000D6E03"/>
    <w:rsid w:val="000E24E4"/>
    <w:rsid w:val="000F433C"/>
    <w:rsid w:val="00111FC7"/>
    <w:rsid w:val="00115AAA"/>
    <w:rsid w:val="00120926"/>
    <w:rsid w:val="00121AF9"/>
    <w:rsid w:val="001242B6"/>
    <w:rsid w:val="00135A65"/>
    <w:rsid w:val="0015052E"/>
    <w:rsid w:val="00157534"/>
    <w:rsid w:val="0018152C"/>
    <w:rsid w:val="0018417D"/>
    <w:rsid w:val="00186DC9"/>
    <w:rsid w:val="00186F0C"/>
    <w:rsid w:val="00194C30"/>
    <w:rsid w:val="00195B0E"/>
    <w:rsid w:val="001A7173"/>
    <w:rsid w:val="001C22FB"/>
    <w:rsid w:val="001C43DE"/>
    <w:rsid w:val="001C7227"/>
    <w:rsid w:val="001D1A3C"/>
    <w:rsid w:val="001D30A6"/>
    <w:rsid w:val="001D3F15"/>
    <w:rsid w:val="001E2CAC"/>
    <w:rsid w:val="001F1EC9"/>
    <w:rsid w:val="001F5C96"/>
    <w:rsid w:val="00205561"/>
    <w:rsid w:val="00210B59"/>
    <w:rsid w:val="00212EE4"/>
    <w:rsid w:val="00213F76"/>
    <w:rsid w:val="002202E8"/>
    <w:rsid w:val="0022104C"/>
    <w:rsid w:val="00240122"/>
    <w:rsid w:val="002614DE"/>
    <w:rsid w:val="00282028"/>
    <w:rsid w:val="0028391D"/>
    <w:rsid w:val="00285DD6"/>
    <w:rsid w:val="00290E59"/>
    <w:rsid w:val="00296226"/>
    <w:rsid w:val="002B2CEE"/>
    <w:rsid w:val="002B3D2E"/>
    <w:rsid w:val="002C1415"/>
    <w:rsid w:val="002D35D4"/>
    <w:rsid w:val="002D46BA"/>
    <w:rsid w:val="002F2775"/>
    <w:rsid w:val="00310D62"/>
    <w:rsid w:val="00324C64"/>
    <w:rsid w:val="003304A3"/>
    <w:rsid w:val="00331B1B"/>
    <w:rsid w:val="003326F1"/>
    <w:rsid w:val="003661E0"/>
    <w:rsid w:val="00366BE4"/>
    <w:rsid w:val="00377C2C"/>
    <w:rsid w:val="00377D2E"/>
    <w:rsid w:val="00380463"/>
    <w:rsid w:val="00381DC2"/>
    <w:rsid w:val="003843E8"/>
    <w:rsid w:val="003900F8"/>
    <w:rsid w:val="003916B7"/>
    <w:rsid w:val="003971AC"/>
    <w:rsid w:val="003A4A40"/>
    <w:rsid w:val="003C1B0A"/>
    <w:rsid w:val="003C4960"/>
    <w:rsid w:val="003C5653"/>
    <w:rsid w:val="003E46E8"/>
    <w:rsid w:val="003F103B"/>
    <w:rsid w:val="003F6650"/>
    <w:rsid w:val="004240B8"/>
    <w:rsid w:val="00432C06"/>
    <w:rsid w:val="00432C1D"/>
    <w:rsid w:val="0043516A"/>
    <w:rsid w:val="00435F28"/>
    <w:rsid w:val="00441830"/>
    <w:rsid w:val="0044247B"/>
    <w:rsid w:val="00447FA5"/>
    <w:rsid w:val="00452B88"/>
    <w:rsid w:val="00463BC5"/>
    <w:rsid w:val="004676C9"/>
    <w:rsid w:val="00477F28"/>
    <w:rsid w:val="00490589"/>
    <w:rsid w:val="00492955"/>
    <w:rsid w:val="004A5A5A"/>
    <w:rsid w:val="004A626D"/>
    <w:rsid w:val="004B64F4"/>
    <w:rsid w:val="004C148B"/>
    <w:rsid w:val="004D2A9F"/>
    <w:rsid w:val="004D3830"/>
    <w:rsid w:val="004D4693"/>
    <w:rsid w:val="004D5226"/>
    <w:rsid w:val="004E405D"/>
    <w:rsid w:val="004F3D85"/>
    <w:rsid w:val="005030AC"/>
    <w:rsid w:val="00507914"/>
    <w:rsid w:val="005122CC"/>
    <w:rsid w:val="00517D32"/>
    <w:rsid w:val="005245B2"/>
    <w:rsid w:val="00531EEF"/>
    <w:rsid w:val="00544494"/>
    <w:rsid w:val="0054646B"/>
    <w:rsid w:val="00551075"/>
    <w:rsid w:val="00553A32"/>
    <w:rsid w:val="00563179"/>
    <w:rsid w:val="00572D3B"/>
    <w:rsid w:val="00595B7F"/>
    <w:rsid w:val="005A4474"/>
    <w:rsid w:val="005D699F"/>
    <w:rsid w:val="005D7D6F"/>
    <w:rsid w:val="005E2A82"/>
    <w:rsid w:val="005E4199"/>
    <w:rsid w:val="005E53B6"/>
    <w:rsid w:val="00601424"/>
    <w:rsid w:val="006040E6"/>
    <w:rsid w:val="0061163B"/>
    <w:rsid w:val="00621DD9"/>
    <w:rsid w:val="00636982"/>
    <w:rsid w:val="00643669"/>
    <w:rsid w:val="006462A0"/>
    <w:rsid w:val="00646B8A"/>
    <w:rsid w:val="00647C87"/>
    <w:rsid w:val="00652D99"/>
    <w:rsid w:val="00661718"/>
    <w:rsid w:val="006648A6"/>
    <w:rsid w:val="00665D02"/>
    <w:rsid w:val="00695230"/>
    <w:rsid w:val="006B2EB6"/>
    <w:rsid w:val="006C14C9"/>
    <w:rsid w:val="006D2CCB"/>
    <w:rsid w:val="006D53CC"/>
    <w:rsid w:val="006E054C"/>
    <w:rsid w:val="006E7AA1"/>
    <w:rsid w:val="007072C3"/>
    <w:rsid w:val="007117E7"/>
    <w:rsid w:val="007118BD"/>
    <w:rsid w:val="007221A8"/>
    <w:rsid w:val="00723FD6"/>
    <w:rsid w:val="007252D7"/>
    <w:rsid w:val="007255F8"/>
    <w:rsid w:val="00735C77"/>
    <w:rsid w:val="00745E1A"/>
    <w:rsid w:val="007509D9"/>
    <w:rsid w:val="00751F98"/>
    <w:rsid w:val="00753949"/>
    <w:rsid w:val="00773DEA"/>
    <w:rsid w:val="007765AF"/>
    <w:rsid w:val="007832EF"/>
    <w:rsid w:val="00785072"/>
    <w:rsid w:val="00790D01"/>
    <w:rsid w:val="007A4640"/>
    <w:rsid w:val="007A6F1B"/>
    <w:rsid w:val="007C2002"/>
    <w:rsid w:val="007D18E0"/>
    <w:rsid w:val="007D2D41"/>
    <w:rsid w:val="007D6E62"/>
    <w:rsid w:val="007E0EBE"/>
    <w:rsid w:val="007F0D26"/>
    <w:rsid w:val="007F67E5"/>
    <w:rsid w:val="00803ECA"/>
    <w:rsid w:val="00804B25"/>
    <w:rsid w:val="00805878"/>
    <w:rsid w:val="00806E3D"/>
    <w:rsid w:val="0082421D"/>
    <w:rsid w:val="00825334"/>
    <w:rsid w:val="008308A8"/>
    <w:rsid w:val="00837B71"/>
    <w:rsid w:val="00844CA0"/>
    <w:rsid w:val="008504BC"/>
    <w:rsid w:val="00863D87"/>
    <w:rsid w:val="00874AA5"/>
    <w:rsid w:val="00874D2F"/>
    <w:rsid w:val="00877EA4"/>
    <w:rsid w:val="00880640"/>
    <w:rsid w:val="00881ECA"/>
    <w:rsid w:val="00887540"/>
    <w:rsid w:val="008B44B3"/>
    <w:rsid w:val="008B7857"/>
    <w:rsid w:val="008C492B"/>
    <w:rsid w:val="008C67F8"/>
    <w:rsid w:val="008D2C89"/>
    <w:rsid w:val="008E32B0"/>
    <w:rsid w:val="009216BE"/>
    <w:rsid w:val="00923558"/>
    <w:rsid w:val="00925988"/>
    <w:rsid w:val="00925BD7"/>
    <w:rsid w:val="00931B7D"/>
    <w:rsid w:val="009456E6"/>
    <w:rsid w:val="009520E0"/>
    <w:rsid w:val="00971B9F"/>
    <w:rsid w:val="00972EDA"/>
    <w:rsid w:val="0099241D"/>
    <w:rsid w:val="009A7514"/>
    <w:rsid w:val="009A769E"/>
    <w:rsid w:val="009B0264"/>
    <w:rsid w:val="009B1423"/>
    <w:rsid w:val="009C237E"/>
    <w:rsid w:val="009D0692"/>
    <w:rsid w:val="009D2258"/>
    <w:rsid w:val="009D254E"/>
    <w:rsid w:val="009E0334"/>
    <w:rsid w:val="00A024E1"/>
    <w:rsid w:val="00A035E8"/>
    <w:rsid w:val="00A06BD3"/>
    <w:rsid w:val="00A20676"/>
    <w:rsid w:val="00A22EE2"/>
    <w:rsid w:val="00A34F11"/>
    <w:rsid w:val="00A37AD9"/>
    <w:rsid w:val="00A51265"/>
    <w:rsid w:val="00A5179B"/>
    <w:rsid w:val="00A53C31"/>
    <w:rsid w:val="00A5554A"/>
    <w:rsid w:val="00A62CB2"/>
    <w:rsid w:val="00A669B7"/>
    <w:rsid w:val="00A90AB2"/>
    <w:rsid w:val="00A912E9"/>
    <w:rsid w:val="00A9563B"/>
    <w:rsid w:val="00AA6919"/>
    <w:rsid w:val="00AB1F24"/>
    <w:rsid w:val="00AF1488"/>
    <w:rsid w:val="00AF4C5A"/>
    <w:rsid w:val="00B0383E"/>
    <w:rsid w:val="00B056E1"/>
    <w:rsid w:val="00B06E82"/>
    <w:rsid w:val="00B13273"/>
    <w:rsid w:val="00B22700"/>
    <w:rsid w:val="00B2667A"/>
    <w:rsid w:val="00B436B7"/>
    <w:rsid w:val="00B45CFF"/>
    <w:rsid w:val="00B46875"/>
    <w:rsid w:val="00B5202B"/>
    <w:rsid w:val="00B53DB4"/>
    <w:rsid w:val="00B542E0"/>
    <w:rsid w:val="00B71BF5"/>
    <w:rsid w:val="00B90541"/>
    <w:rsid w:val="00B949D5"/>
    <w:rsid w:val="00BA2C46"/>
    <w:rsid w:val="00BB08DD"/>
    <w:rsid w:val="00BC5759"/>
    <w:rsid w:val="00BE4744"/>
    <w:rsid w:val="00BE68DE"/>
    <w:rsid w:val="00BF272F"/>
    <w:rsid w:val="00C06B2D"/>
    <w:rsid w:val="00C11365"/>
    <w:rsid w:val="00C20248"/>
    <w:rsid w:val="00C22554"/>
    <w:rsid w:val="00C22B0B"/>
    <w:rsid w:val="00C35116"/>
    <w:rsid w:val="00C360B1"/>
    <w:rsid w:val="00C37E19"/>
    <w:rsid w:val="00C434AE"/>
    <w:rsid w:val="00C43665"/>
    <w:rsid w:val="00C46E16"/>
    <w:rsid w:val="00C471D1"/>
    <w:rsid w:val="00C52296"/>
    <w:rsid w:val="00C63C4F"/>
    <w:rsid w:val="00C67925"/>
    <w:rsid w:val="00C7637A"/>
    <w:rsid w:val="00C95CCF"/>
    <w:rsid w:val="00CB070B"/>
    <w:rsid w:val="00CB39BF"/>
    <w:rsid w:val="00CB636E"/>
    <w:rsid w:val="00CC268F"/>
    <w:rsid w:val="00CC5FAB"/>
    <w:rsid w:val="00CD333B"/>
    <w:rsid w:val="00CE1E1A"/>
    <w:rsid w:val="00CF1DB7"/>
    <w:rsid w:val="00CF355B"/>
    <w:rsid w:val="00D02919"/>
    <w:rsid w:val="00D173F0"/>
    <w:rsid w:val="00D17A79"/>
    <w:rsid w:val="00D31225"/>
    <w:rsid w:val="00D35DD4"/>
    <w:rsid w:val="00D37750"/>
    <w:rsid w:val="00D40F7F"/>
    <w:rsid w:val="00D47471"/>
    <w:rsid w:val="00D513D7"/>
    <w:rsid w:val="00D61AA8"/>
    <w:rsid w:val="00D625F0"/>
    <w:rsid w:val="00D63C8F"/>
    <w:rsid w:val="00D76816"/>
    <w:rsid w:val="00D80F2D"/>
    <w:rsid w:val="00D83E55"/>
    <w:rsid w:val="00D9127E"/>
    <w:rsid w:val="00D93D12"/>
    <w:rsid w:val="00D96D31"/>
    <w:rsid w:val="00DA2DCA"/>
    <w:rsid w:val="00DA464A"/>
    <w:rsid w:val="00DA49D9"/>
    <w:rsid w:val="00DC1FB9"/>
    <w:rsid w:val="00DE5533"/>
    <w:rsid w:val="00DF745F"/>
    <w:rsid w:val="00DF7B4C"/>
    <w:rsid w:val="00E006AA"/>
    <w:rsid w:val="00E013C4"/>
    <w:rsid w:val="00E1624E"/>
    <w:rsid w:val="00E2119C"/>
    <w:rsid w:val="00E21216"/>
    <w:rsid w:val="00E33B17"/>
    <w:rsid w:val="00E4330B"/>
    <w:rsid w:val="00E43C55"/>
    <w:rsid w:val="00E459E3"/>
    <w:rsid w:val="00E5308F"/>
    <w:rsid w:val="00E63136"/>
    <w:rsid w:val="00E667A0"/>
    <w:rsid w:val="00E8121F"/>
    <w:rsid w:val="00E84597"/>
    <w:rsid w:val="00EA1C48"/>
    <w:rsid w:val="00EA75E2"/>
    <w:rsid w:val="00EB158D"/>
    <w:rsid w:val="00EB7A2A"/>
    <w:rsid w:val="00EB7D44"/>
    <w:rsid w:val="00EC35D1"/>
    <w:rsid w:val="00EC6B0B"/>
    <w:rsid w:val="00ED04CF"/>
    <w:rsid w:val="00ED54F3"/>
    <w:rsid w:val="00EE4F1D"/>
    <w:rsid w:val="00F058E4"/>
    <w:rsid w:val="00F15817"/>
    <w:rsid w:val="00F25640"/>
    <w:rsid w:val="00F26FDB"/>
    <w:rsid w:val="00F34AB8"/>
    <w:rsid w:val="00F37CC3"/>
    <w:rsid w:val="00F40F98"/>
    <w:rsid w:val="00F6492B"/>
    <w:rsid w:val="00F707AF"/>
    <w:rsid w:val="00F721D1"/>
    <w:rsid w:val="00F74383"/>
    <w:rsid w:val="00F757C9"/>
    <w:rsid w:val="00F804A4"/>
    <w:rsid w:val="00F8243A"/>
    <w:rsid w:val="00F82997"/>
    <w:rsid w:val="00F93E8C"/>
    <w:rsid w:val="00F95AE1"/>
    <w:rsid w:val="00FA7755"/>
    <w:rsid w:val="00FB1311"/>
    <w:rsid w:val="00FB6370"/>
    <w:rsid w:val="00FC155B"/>
    <w:rsid w:val="00FC1C31"/>
    <w:rsid w:val="00FD290A"/>
    <w:rsid w:val="00FD3F9D"/>
    <w:rsid w:val="00FD51AB"/>
    <w:rsid w:val="00FD739E"/>
    <w:rsid w:val="00FE4034"/>
    <w:rsid w:val="00FF00E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0" w:qFormat="1"/>
    <w:lsdException w:name="footnote reference" w:qFormat="1"/>
    <w:lsdException w:name="Title" w:semiHidden="0" w:uiPriority="10" w:unhideWhenUsed="0" w:qFormat="1"/>
    <w:lsdException w:name="Default Paragraph Font" w:uiPriority="1"/>
    <w:lsdException w:name="Body Text" w:qFormat="1"/>
    <w:lsdException w:name="Body Text Indent" w:uiPriority="0"/>
    <w:lsdException w:name="Subtitle" w:semiHidden="0" w:uiPriority="11" w:unhideWhenUsed="0" w:qFormat="1"/>
    <w:lsdException w:name="Hyperlink" w:qFormat="1"/>
    <w:lsdException w:name="Strong" w:semiHidden="0" w:uiPriority="22" w:unhideWhenUsed="0" w:qFormat="1"/>
    <w:lsdException w:name="Emphasis" w:semiHidden="0" w:uiPriority="20" w:unhideWhenUsed="0" w:qFormat="1"/>
    <w:lsdException w:name="Normal (Web)" w:qFormat="1"/>
    <w:lsdException w:name="Table Grid" w:semiHidden="0" w:uiPriority="39" w:unhideWhenUsed="0" w:qFormat="1"/>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13273"/>
    <w:pPr>
      <w:tabs>
        <w:tab w:val="left" w:pos="851"/>
      </w:tabs>
      <w:spacing w:line="360" w:lineRule="auto"/>
      <w:jc w:val="both"/>
    </w:pPr>
    <w:rPr>
      <w:rFonts w:ascii="Roboto Lt" w:eastAsiaTheme="minorEastAsia" w:hAnsi="Roboto Lt" w:cstheme="minorBidi"/>
      <w:sz w:val="24"/>
      <w:szCs w:val="22"/>
    </w:rPr>
  </w:style>
  <w:style w:type="paragraph" w:styleId="Ttulo1">
    <w:name w:val="heading 1"/>
    <w:basedOn w:val="Normal"/>
    <w:next w:val="Normal"/>
    <w:link w:val="Ttulo1Char"/>
    <w:autoRedefine/>
    <w:uiPriority w:val="9"/>
    <w:qFormat/>
    <w:rsid w:val="00D40F7F"/>
    <w:pPr>
      <w:keepNext/>
      <w:keepLines/>
      <w:pBdr>
        <w:bottom w:val="single" w:sz="12" w:space="1" w:color="000000" w:themeColor="text1"/>
      </w:pBdr>
      <w:spacing w:before="240" w:after="240" w:line="240" w:lineRule="auto"/>
      <w:jc w:val="right"/>
      <w:outlineLvl w:val="0"/>
    </w:pPr>
    <w:rPr>
      <w:rFonts w:eastAsiaTheme="majorEastAsia" w:cs="Arial"/>
      <w:b/>
      <w:bCs/>
      <w:caps/>
      <w:color w:val="C00000"/>
      <w:szCs w:val="28"/>
    </w:rPr>
  </w:style>
  <w:style w:type="paragraph" w:styleId="Ttulo2">
    <w:name w:val="heading 2"/>
    <w:basedOn w:val="Normal"/>
    <w:next w:val="Normal"/>
    <w:link w:val="Ttulo2Char"/>
    <w:autoRedefine/>
    <w:uiPriority w:val="9"/>
    <w:unhideWhenUsed/>
    <w:qFormat/>
    <w:rsid w:val="00C95CCF"/>
    <w:pPr>
      <w:keepNext/>
      <w:keepLines/>
      <w:spacing w:before="200" w:after="200" w:line="240" w:lineRule="auto"/>
      <w:jc w:val="left"/>
      <w:outlineLvl w:val="1"/>
    </w:pPr>
    <w:rPr>
      <w:rFonts w:eastAsia="Times New Roman" w:cs="Arial"/>
      <w:bCs/>
      <w:caps/>
      <w:spacing w:val="-2"/>
      <w:szCs w:val="24"/>
    </w:rPr>
  </w:style>
  <w:style w:type="paragraph" w:styleId="Ttulo3">
    <w:name w:val="heading 3"/>
    <w:basedOn w:val="Normal"/>
    <w:next w:val="Normal"/>
    <w:link w:val="Ttulo3Char"/>
    <w:autoRedefine/>
    <w:uiPriority w:val="9"/>
    <w:unhideWhenUsed/>
    <w:qFormat/>
    <w:rsid w:val="003843E8"/>
    <w:pPr>
      <w:keepNext/>
      <w:keepLines/>
      <w:spacing w:before="240" w:after="240" w:line="240" w:lineRule="auto"/>
      <w:outlineLvl w:val="2"/>
    </w:pPr>
    <w:rPr>
      <w:rFonts w:eastAsiaTheme="majorEastAsia" w:cstheme="majorBidi"/>
      <w:b/>
      <w:bCs/>
    </w:rPr>
  </w:style>
  <w:style w:type="paragraph" w:styleId="Ttulo4">
    <w:name w:val="heading 4"/>
    <w:basedOn w:val="Normal"/>
    <w:next w:val="Normal"/>
    <w:link w:val="Ttulo4Char"/>
    <w:uiPriority w:val="9"/>
    <w:semiHidden/>
    <w:unhideWhenUsed/>
    <w:qFormat/>
    <w:rsid w:val="00D63C8F"/>
    <w:pPr>
      <w:keepNext/>
      <w:keepLines/>
      <w:spacing w:before="200"/>
      <w:outlineLvl w:val="3"/>
    </w:pPr>
    <w:rPr>
      <w:rFonts w:asciiTheme="majorHAnsi" w:eastAsiaTheme="majorEastAsia" w:hAnsiTheme="majorHAnsi" w:cstheme="majorBidi"/>
      <w:b/>
      <w:bCs/>
      <w:i/>
      <w:iCs/>
      <w:color w:val="5B9BD5" w:themeColor="accent1"/>
    </w:rPr>
  </w:style>
  <w:style w:type="paragraph" w:styleId="Ttulo5">
    <w:name w:val="heading 5"/>
    <w:basedOn w:val="Normal"/>
    <w:next w:val="Normal"/>
    <w:link w:val="Ttulo5Char"/>
    <w:uiPriority w:val="9"/>
    <w:semiHidden/>
    <w:unhideWhenUsed/>
    <w:qFormat/>
    <w:rsid w:val="00D80F2D"/>
    <w:pPr>
      <w:keepNext/>
      <w:keepLines/>
      <w:spacing w:before="200"/>
      <w:outlineLvl w:val="4"/>
    </w:pPr>
    <w:rPr>
      <w:rFonts w:asciiTheme="majorHAnsi" w:eastAsiaTheme="majorEastAsia" w:hAnsiTheme="majorHAnsi" w:cstheme="majorBidi"/>
      <w:color w:val="1F4D78" w:themeColor="accent1" w:themeShade="7F"/>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C22554"/>
    <w:pPr>
      <w:tabs>
        <w:tab w:val="center" w:pos="4252"/>
        <w:tab w:val="right" w:pos="8504"/>
      </w:tabs>
      <w:spacing w:line="240" w:lineRule="auto"/>
    </w:pPr>
  </w:style>
  <w:style w:type="character" w:customStyle="1" w:styleId="CabealhoChar">
    <w:name w:val="Cabeçalho Char"/>
    <w:basedOn w:val="Fontepargpadro"/>
    <w:link w:val="Cabealho"/>
    <w:uiPriority w:val="99"/>
    <w:rsid w:val="00C22554"/>
  </w:style>
  <w:style w:type="paragraph" w:styleId="Rodap">
    <w:name w:val="footer"/>
    <w:basedOn w:val="Normal"/>
    <w:link w:val="RodapChar"/>
    <w:uiPriority w:val="99"/>
    <w:unhideWhenUsed/>
    <w:rsid w:val="00C22554"/>
    <w:pPr>
      <w:tabs>
        <w:tab w:val="center" w:pos="4252"/>
        <w:tab w:val="right" w:pos="8504"/>
      </w:tabs>
      <w:spacing w:line="240" w:lineRule="auto"/>
    </w:pPr>
  </w:style>
  <w:style w:type="character" w:customStyle="1" w:styleId="RodapChar">
    <w:name w:val="Rodapé Char"/>
    <w:basedOn w:val="Fontepargpadro"/>
    <w:link w:val="Rodap"/>
    <w:uiPriority w:val="99"/>
    <w:rsid w:val="00C22554"/>
  </w:style>
  <w:style w:type="paragraph" w:styleId="Textodebalo">
    <w:name w:val="Balloon Text"/>
    <w:basedOn w:val="Normal"/>
    <w:link w:val="TextodebaloChar"/>
    <w:uiPriority w:val="99"/>
    <w:semiHidden/>
    <w:unhideWhenUsed/>
    <w:rsid w:val="00B45CFF"/>
    <w:pPr>
      <w:spacing w:line="240" w:lineRule="auto"/>
    </w:pPr>
    <w:rPr>
      <w:rFonts w:ascii="Tahoma" w:hAnsi="Tahoma" w:cs="Tahoma"/>
      <w:sz w:val="16"/>
      <w:szCs w:val="16"/>
    </w:rPr>
  </w:style>
  <w:style w:type="character" w:customStyle="1" w:styleId="TextodebaloChar">
    <w:name w:val="Texto de balão Char"/>
    <w:link w:val="Textodebalo"/>
    <w:uiPriority w:val="99"/>
    <w:semiHidden/>
    <w:rsid w:val="00B45CFF"/>
    <w:rPr>
      <w:rFonts w:ascii="Tahoma" w:hAnsi="Tahoma" w:cs="Tahoma"/>
      <w:sz w:val="16"/>
      <w:szCs w:val="16"/>
    </w:rPr>
  </w:style>
  <w:style w:type="paragraph" w:styleId="NormalWeb">
    <w:name w:val="Normal (Web)"/>
    <w:basedOn w:val="Normal"/>
    <w:uiPriority w:val="99"/>
    <w:unhideWhenUsed/>
    <w:qFormat/>
    <w:rsid w:val="00B949D5"/>
    <w:pPr>
      <w:spacing w:before="100" w:beforeAutospacing="1" w:after="100" w:afterAutospacing="1" w:line="240" w:lineRule="auto"/>
    </w:pPr>
    <w:rPr>
      <w:rFonts w:ascii="Times New Roman" w:hAnsi="Times New Roman"/>
      <w:szCs w:val="24"/>
    </w:rPr>
  </w:style>
  <w:style w:type="character" w:customStyle="1" w:styleId="Ttulo1Char">
    <w:name w:val="Título 1 Char"/>
    <w:basedOn w:val="Fontepargpadro"/>
    <w:link w:val="Ttulo1"/>
    <w:uiPriority w:val="9"/>
    <w:rsid w:val="00D40F7F"/>
    <w:rPr>
      <w:rFonts w:ascii="Roboto Lt" w:eastAsiaTheme="majorEastAsia" w:hAnsi="Roboto Lt" w:cs="Arial"/>
      <w:b/>
      <w:bCs/>
      <w:caps/>
      <w:color w:val="C00000"/>
      <w:sz w:val="24"/>
      <w:szCs w:val="28"/>
    </w:rPr>
  </w:style>
  <w:style w:type="paragraph" w:styleId="SemEspaamento">
    <w:name w:val="No Spacing"/>
    <w:aliases w:val="NORMAL"/>
    <w:uiPriority w:val="1"/>
    <w:qFormat/>
    <w:rsid w:val="008B44B3"/>
    <w:pPr>
      <w:jc w:val="both"/>
    </w:pPr>
    <w:rPr>
      <w:rFonts w:ascii="Roboto Lt" w:hAnsi="Roboto Lt"/>
      <w:sz w:val="24"/>
      <w:szCs w:val="22"/>
    </w:rPr>
  </w:style>
  <w:style w:type="paragraph" w:styleId="Ttulo">
    <w:name w:val="Title"/>
    <w:basedOn w:val="Normal"/>
    <w:next w:val="Normal"/>
    <w:link w:val="TtuloChar"/>
    <w:autoRedefine/>
    <w:uiPriority w:val="10"/>
    <w:qFormat/>
    <w:rsid w:val="007118BD"/>
    <w:pPr>
      <w:spacing w:before="240" w:after="240" w:line="240" w:lineRule="auto"/>
      <w:contextualSpacing/>
      <w:jc w:val="right"/>
    </w:pPr>
    <w:rPr>
      <w:rFonts w:ascii="Roboto Bk" w:eastAsia="Arial" w:hAnsi="Roboto Bk" w:cstheme="majorBidi"/>
      <w:color w:val="C00000"/>
      <w:spacing w:val="5"/>
      <w:kern w:val="28"/>
      <w:szCs w:val="52"/>
    </w:rPr>
  </w:style>
  <w:style w:type="character" w:customStyle="1" w:styleId="TtuloChar">
    <w:name w:val="Título Char"/>
    <w:basedOn w:val="Fontepargpadro"/>
    <w:link w:val="Ttulo"/>
    <w:uiPriority w:val="10"/>
    <w:rsid w:val="007118BD"/>
    <w:rPr>
      <w:rFonts w:ascii="Roboto Bk" w:eastAsia="Arial" w:hAnsi="Roboto Bk" w:cstheme="majorBidi"/>
      <w:color w:val="C00000"/>
      <w:spacing w:val="5"/>
      <w:kern w:val="28"/>
      <w:sz w:val="24"/>
      <w:szCs w:val="52"/>
    </w:rPr>
  </w:style>
  <w:style w:type="character" w:customStyle="1" w:styleId="Ttulo2Char">
    <w:name w:val="Título 2 Char"/>
    <w:basedOn w:val="Fontepargpadro"/>
    <w:link w:val="Ttulo2"/>
    <w:uiPriority w:val="9"/>
    <w:rsid w:val="00C95CCF"/>
    <w:rPr>
      <w:rFonts w:ascii="Roboto Lt" w:hAnsi="Roboto Lt" w:cs="Arial"/>
      <w:bCs/>
      <w:caps/>
      <w:spacing w:val="-2"/>
      <w:sz w:val="24"/>
      <w:szCs w:val="24"/>
    </w:rPr>
  </w:style>
  <w:style w:type="paragraph" w:styleId="Textodenotaderodap">
    <w:name w:val="footnote text"/>
    <w:aliases w:val="Texto de rodapé,Texto Rodapé"/>
    <w:basedOn w:val="Normal"/>
    <w:link w:val="TextodenotaderodapChar"/>
    <w:uiPriority w:val="99"/>
    <w:unhideWhenUsed/>
    <w:qFormat/>
    <w:rsid w:val="000A273C"/>
    <w:pPr>
      <w:spacing w:line="240" w:lineRule="auto"/>
    </w:pPr>
    <w:rPr>
      <w:sz w:val="20"/>
      <w:szCs w:val="20"/>
    </w:rPr>
  </w:style>
  <w:style w:type="character" w:customStyle="1" w:styleId="TextodenotaderodapChar">
    <w:name w:val="Texto de nota de rodapé Char"/>
    <w:aliases w:val="Texto de rodapé Char,Texto Rodapé Char"/>
    <w:basedOn w:val="Fontepargpadro"/>
    <w:link w:val="Textodenotaderodap"/>
    <w:uiPriority w:val="99"/>
    <w:rsid w:val="000A273C"/>
    <w:rPr>
      <w:rFonts w:ascii="Roboto Lt" w:hAnsi="Roboto Lt"/>
    </w:rPr>
  </w:style>
  <w:style w:type="character" w:styleId="Refdenotaderodap">
    <w:name w:val="footnote reference"/>
    <w:basedOn w:val="Fontepargpadro"/>
    <w:uiPriority w:val="99"/>
    <w:unhideWhenUsed/>
    <w:qFormat/>
    <w:rsid w:val="000A273C"/>
    <w:rPr>
      <w:vertAlign w:val="superscript"/>
    </w:rPr>
  </w:style>
  <w:style w:type="paragraph" w:styleId="Citao">
    <w:name w:val="Quote"/>
    <w:basedOn w:val="Normal"/>
    <w:next w:val="Normal"/>
    <w:link w:val="CitaoChar"/>
    <w:autoRedefine/>
    <w:uiPriority w:val="29"/>
    <w:qFormat/>
    <w:rsid w:val="00C434AE"/>
    <w:pPr>
      <w:spacing w:before="240" w:after="240" w:line="240" w:lineRule="auto"/>
      <w:ind w:left="2268"/>
    </w:pPr>
    <w:rPr>
      <w:rFonts w:cs="Times New Roman"/>
      <w:iCs/>
      <w:color w:val="000000" w:themeColor="text1"/>
      <w:sz w:val="22"/>
      <w:szCs w:val="20"/>
      <w:shd w:val="clear" w:color="auto" w:fill="FFFFFF"/>
    </w:rPr>
  </w:style>
  <w:style w:type="character" w:customStyle="1" w:styleId="CitaoChar">
    <w:name w:val="Citação Char"/>
    <w:basedOn w:val="Fontepargpadro"/>
    <w:link w:val="Citao"/>
    <w:uiPriority w:val="29"/>
    <w:rsid w:val="00C434AE"/>
    <w:rPr>
      <w:rFonts w:ascii="Roboto Lt" w:eastAsiaTheme="minorEastAsia" w:hAnsi="Roboto Lt"/>
      <w:iCs/>
      <w:color w:val="000000" w:themeColor="text1"/>
      <w:sz w:val="22"/>
    </w:rPr>
  </w:style>
  <w:style w:type="character" w:customStyle="1" w:styleId="Ttulo3Char">
    <w:name w:val="Título 3 Char"/>
    <w:basedOn w:val="Fontepargpadro"/>
    <w:link w:val="Ttulo3"/>
    <w:uiPriority w:val="9"/>
    <w:rsid w:val="003843E8"/>
    <w:rPr>
      <w:rFonts w:ascii="Roboto Lt" w:eastAsiaTheme="majorEastAsia" w:hAnsi="Roboto Lt" w:cstheme="majorBidi"/>
      <w:b/>
      <w:bCs/>
      <w:sz w:val="24"/>
      <w:szCs w:val="22"/>
    </w:rPr>
  </w:style>
  <w:style w:type="character" w:styleId="Hyperlink">
    <w:name w:val="Hyperlink"/>
    <w:basedOn w:val="Fontepargpadro"/>
    <w:uiPriority w:val="99"/>
    <w:unhideWhenUsed/>
    <w:qFormat/>
    <w:rsid w:val="00DA2DCA"/>
    <w:rPr>
      <w:color w:val="0563C1" w:themeColor="hyperlink"/>
      <w:u w:val="single"/>
    </w:rPr>
  </w:style>
  <w:style w:type="table" w:styleId="Tabelacomgrade">
    <w:name w:val="Table Grid"/>
    <w:basedOn w:val="Tabelanormal"/>
    <w:uiPriority w:val="39"/>
    <w:qFormat/>
    <w:rsid w:val="00DA2DCA"/>
    <w:rPr>
      <w:rFonts w:asciiTheme="minorHAnsi" w:eastAsiaTheme="minorHAnsi" w:hAnsiTheme="minorHAnsi" w:cstheme="minorBidi"/>
      <w:sz w:val="22"/>
      <w:szCs w:val="22"/>
      <w:lang w:eastAsia="en-US"/>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e">
    <w:name w:val="Emphasis"/>
    <w:basedOn w:val="Fontepargpadro"/>
    <w:uiPriority w:val="20"/>
    <w:qFormat/>
    <w:rsid w:val="00DA2DCA"/>
    <w:rPr>
      <w:i/>
      <w:iCs/>
    </w:rPr>
  </w:style>
  <w:style w:type="paragraph" w:styleId="Corpodetexto">
    <w:name w:val="Body Text"/>
    <w:basedOn w:val="Normal"/>
    <w:link w:val="CorpodetextoChar"/>
    <w:uiPriority w:val="99"/>
    <w:semiHidden/>
    <w:unhideWhenUsed/>
    <w:qFormat/>
    <w:rsid w:val="00C43665"/>
    <w:pPr>
      <w:keepNext/>
      <w:shd w:val="clear" w:color="auto" w:fill="FFFFFF"/>
      <w:spacing w:after="120"/>
      <w:ind w:firstLine="709"/>
    </w:pPr>
    <w:rPr>
      <w:rFonts w:ascii="Calibri" w:hAnsi="Calibri"/>
    </w:rPr>
  </w:style>
  <w:style w:type="character" w:customStyle="1" w:styleId="CorpodetextoChar">
    <w:name w:val="Corpo de texto Char"/>
    <w:basedOn w:val="Fontepargpadro"/>
    <w:link w:val="Corpodetexto"/>
    <w:uiPriority w:val="99"/>
    <w:semiHidden/>
    <w:rsid w:val="00C43665"/>
    <w:rPr>
      <w:sz w:val="22"/>
      <w:szCs w:val="22"/>
      <w:shd w:val="clear" w:color="auto" w:fill="FFFFFF"/>
    </w:rPr>
  </w:style>
  <w:style w:type="paragraph" w:customStyle="1" w:styleId="LO-Normal">
    <w:name w:val="LO-Normal"/>
    <w:qFormat/>
    <w:rsid w:val="00C43665"/>
    <w:pPr>
      <w:keepNext/>
      <w:shd w:val="clear" w:color="auto" w:fill="FFFFFF"/>
      <w:suppressAutoHyphens/>
      <w:spacing w:after="160" w:line="254" w:lineRule="auto"/>
    </w:pPr>
    <w:rPr>
      <w:sz w:val="22"/>
      <w:szCs w:val="22"/>
    </w:rPr>
  </w:style>
  <w:style w:type="character" w:customStyle="1" w:styleId="LinkdaInternet">
    <w:name w:val="Link da Internet"/>
    <w:uiPriority w:val="99"/>
    <w:rsid w:val="00C43665"/>
    <w:rPr>
      <w:color w:val="000080"/>
      <w:u w:val="single"/>
    </w:rPr>
  </w:style>
  <w:style w:type="character" w:customStyle="1" w:styleId="Linkdainternetvisitado">
    <w:name w:val="Link da internet visitado"/>
    <w:rsid w:val="00C43665"/>
    <w:rPr>
      <w:color w:val="800000"/>
      <w:u w:val="single"/>
    </w:rPr>
  </w:style>
  <w:style w:type="character" w:customStyle="1" w:styleId="nfaseforte">
    <w:name w:val="Ênfase forte"/>
    <w:qFormat/>
    <w:rsid w:val="00C43665"/>
    <w:rPr>
      <w:b/>
      <w:bCs/>
    </w:rPr>
  </w:style>
  <w:style w:type="paragraph" w:customStyle="1" w:styleId="western">
    <w:name w:val="western"/>
    <w:basedOn w:val="Normal"/>
    <w:rsid w:val="004D2A9F"/>
    <w:pPr>
      <w:spacing w:before="100" w:beforeAutospacing="1" w:after="119" w:line="240" w:lineRule="auto"/>
    </w:pPr>
    <w:rPr>
      <w:rFonts w:ascii="Times New Roman" w:hAnsi="Times New Roman"/>
      <w:szCs w:val="24"/>
    </w:rPr>
  </w:style>
  <w:style w:type="character" w:styleId="Forte">
    <w:name w:val="Strong"/>
    <w:uiPriority w:val="22"/>
    <w:qFormat/>
    <w:rsid w:val="004D2A9F"/>
    <w:rPr>
      <w:b/>
      <w:bCs/>
    </w:rPr>
  </w:style>
  <w:style w:type="character" w:customStyle="1" w:styleId="uxksbf">
    <w:name w:val="uxksbf"/>
    <w:rsid w:val="004D2A9F"/>
  </w:style>
  <w:style w:type="paragraph" w:customStyle="1" w:styleId="Paragrafo">
    <w:name w:val="Paragrafo"/>
    <w:basedOn w:val="Normal"/>
    <w:next w:val="Normal"/>
    <w:qFormat/>
    <w:rsid w:val="009456E6"/>
    <w:pPr>
      <w:ind w:firstLine="709"/>
      <w:contextualSpacing/>
    </w:pPr>
    <w:rPr>
      <w:rFonts w:ascii="Arial" w:eastAsia="Calibri" w:hAnsi="Arial" w:cs="Comic Sans MS"/>
      <w:szCs w:val="24"/>
      <w:lang w:eastAsia="en-US"/>
    </w:rPr>
  </w:style>
  <w:style w:type="paragraph" w:styleId="PargrafodaLista">
    <w:name w:val="List Paragraph"/>
    <w:basedOn w:val="Normal"/>
    <w:uiPriority w:val="34"/>
    <w:qFormat/>
    <w:rsid w:val="009456E6"/>
    <w:pPr>
      <w:ind w:left="720"/>
      <w:contextualSpacing/>
    </w:pPr>
    <w:rPr>
      <w:rFonts w:ascii="Calibri" w:eastAsia="Calibri" w:hAnsi="Calibri" w:cs="Times New Roman"/>
      <w:lang w:eastAsia="en-US"/>
    </w:rPr>
  </w:style>
  <w:style w:type="paragraph" w:customStyle="1" w:styleId="Normal1">
    <w:name w:val="Normal1"/>
    <w:rsid w:val="00285DD6"/>
    <w:pPr>
      <w:pBdr>
        <w:top w:val="nil"/>
        <w:left w:val="nil"/>
        <w:bottom w:val="nil"/>
        <w:right w:val="nil"/>
        <w:between w:val="nil"/>
      </w:pBdr>
      <w:spacing w:after="200" w:line="276" w:lineRule="auto"/>
    </w:pPr>
    <w:rPr>
      <w:rFonts w:eastAsia="Calibri" w:cs="Calibri"/>
      <w:color w:val="000000"/>
      <w:sz w:val="22"/>
      <w:szCs w:val="22"/>
    </w:rPr>
  </w:style>
  <w:style w:type="character" w:customStyle="1" w:styleId="fontstyle01">
    <w:name w:val="fontstyle01"/>
    <w:basedOn w:val="Fontepargpadro"/>
    <w:rsid w:val="00053B7E"/>
    <w:rPr>
      <w:rFonts w:ascii="Times New Roman" w:hAnsi="Times New Roman" w:cs="Times New Roman" w:hint="default"/>
      <w:b w:val="0"/>
      <w:bCs w:val="0"/>
      <w:i w:val="0"/>
      <w:iCs w:val="0"/>
      <w:color w:val="000000"/>
      <w:sz w:val="24"/>
      <w:szCs w:val="24"/>
    </w:rPr>
  </w:style>
  <w:style w:type="character" w:customStyle="1" w:styleId="fontstyle21">
    <w:name w:val="fontstyle21"/>
    <w:basedOn w:val="Fontepargpadro"/>
    <w:rsid w:val="00053B7E"/>
    <w:rPr>
      <w:rFonts w:ascii="Times New Roman" w:hAnsi="Times New Roman" w:cs="Times New Roman" w:hint="default"/>
      <w:b w:val="0"/>
      <w:bCs w:val="0"/>
      <w:i/>
      <w:iCs/>
      <w:color w:val="000000"/>
      <w:sz w:val="24"/>
      <w:szCs w:val="24"/>
    </w:rPr>
  </w:style>
  <w:style w:type="paragraph" w:customStyle="1" w:styleId="Resumo-Texto">
    <w:name w:val="Resumo - Texto"/>
    <w:basedOn w:val="Normal"/>
    <w:rsid w:val="00BA2C46"/>
    <w:pPr>
      <w:widowControl w:val="0"/>
      <w:spacing w:after="480" w:line="240" w:lineRule="auto"/>
      <w:ind w:left="709" w:firstLine="709"/>
    </w:pPr>
    <w:rPr>
      <w:rFonts w:ascii="Arial" w:eastAsia="Times New Roman" w:hAnsi="Arial" w:cs="Times New Roman"/>
      <w:szCs w:val="20"/>
    </w:rPr>
  </w:style>
  <w:style w:type="paragraph" w:customStyle="1" w:styleId="Pargrafo">
    <w:name w:val="Parágrafo"/>
    <w:basedOn w:val="Normal"/>
    <w:rsid w:val="00BA2C46"/>
    <w:pPr>
      <w:widowControl w:val="0"/>
      <w:tabs>
        <w:tab w:val="left" w:pos="1701"/>
      </w:tabs>
      <w:ind w:left="709" w:firstLine="1701"/>
    </w:pPr>
    <w:rPr>
      <w:rFonts w:ascii="Arial" w:eastAsia="Times New Roman" w:hAnsi="Arial" w:cs="Times New Roman"/>
      <w:snapToGrid w:val="0"/>
      <w:szCs w:val="20"/>
    </w:rPr>
  </w:style>
  <w:style w:type="paragraph" w:customStyle="1" w:styleId="LocaleAnodeEntrega">
    <w:name w:val="Local e Ano de Entrega"/>
    <w:basedOn w:val="Normal"/>
    <w:rsid w:val="00BA2C46"/>
    <w:pPr>
      <w:widowControl w:val="0"/>
      <w:spacing w:line="240" w:lineRule="auto"/>
      <w:ind w:left="709" w:firstLine="709"/>
      <w:jc w:val="center"/>
    </w:pPr>
    <w:rPr>
      <w:rFonts w:ascii="Arial" w:eastAsia="Times New Roman" w:hAnsi="Arial" w:cs="Times New Roman"/>
      <w:snapToGrid w:val="0"/>
      <w:szCs w:val="24"/>
    </w:rPr>
  </w:style>
  <w:style w:type="character" w:customStyle="1" w:styleId="Ttulo5Char">
    <w:name w:val="Título 5 Char"/>
    <w:basedOn w:val="Fontepargpadro"/>
    <w:link w:val="Ttulo5"/>
    <w:uiPriority w:val="9"/>
    <w:semiHidden/>
    <w:rsid w:val="00D80F2D"/>
    <w:rPr>
      <w:rFonts w:asciiTheme="majorHAnsi" w:eastAsiaTheme="majorEastAsia" w:hAnsiTheme="majorHAnsi" w:cstheme="majorBidi"/>
      <w:color w:val="1F4D78" w:themeColor="accent1" w:themeShade="7F"/>
      <w:sz w:val="24"/>
      <w:szCs w:val="22"/>
    </w:rPr>
  </w:style>
  <w:style w:type="paragraph" w:styleId="Recuodecorpodetexto">
    <w:name w:val="Body Text Indent"/>
    <w:basedOn w:val="Normal"/>
    <w:link w:val="RecuodecorpodetextoChar"/>
    <w:unhideWhenUsed/>
    <w:rsid w:val="00F95AE1"/>
    <w:pPr>
      <w:spacing w:after="120"/>
      <w:ind w:left="283"/>
    </w:pPr>
  </w:style>
  <w:style w:type="character" w:customStyle="1" w:styleId="RecuodecorpodetextoChar">
    <w:name w:val="Recuo de corpo de texto Char"/>
    <w:basedOn w:val="Fontepargpadro"/>
    <w:link w:val="Recuodecorpodetexto"/>
    <w:rsid w:val="00F95AE1"/>
    <w:rPr>
      <w:rFonts w:ascii="Roboto Lt" w:eastAsiaTheme="minorEastAsia" w:hAnsi="Roboto Lt" w:cstheme="minorBidi"/>
      <w:sz w:val="24"/>
      <w:szCs w:val="22"/>
    </w:rPr>
  </w:style>
  <w:style w:type="paragraph" w:styleId="Corpodetexto2">
    <w:name w:val="Body Text 2"/>
    <w:basedOn w:val="Normal"/>
    <w:link w:val="Corpodetexto2Char"/>
    <w:uiPriority w:val="99"/>
    <w:unhideWhenUsed/>
    <w:rsid w:val="00F95AE1"/>
    <w:pPr>
      <w:spacing w:after="120" w:line="480" w:lineRule="auto"/>
    </w:pPr>
  </w:style>
  <w:style w:type="character" w:customStyle="1" w:styleId="Corpodetexto2Char">
    <w:name w:val="Corpo de texto 2 Char"/>
    <w:basedOn w:val="Fontepargpadro"/>
    <w:link w:val="Corpodetexto2"/>
    <w:uiPriority w:val="99"/>
    <w:rsid w:val="00F95AE1"/>
    <w:rPr>
      <w:rFonts w:ascii="Roboto Lt" w:eastAsiaTheme="minorEastAsia" w:hAnsi="Roboto Lt" w:cstheme="minorBidi"/>
      <w:sz w:val="24"/>
      <w:szCs w:val="22"/>
    </w:rPr>
  </w:style>
  <w:style w:type="paragraph" w:styleId="Recuodecorpodetexto2">
    <w:name w:val="Body Text Indent 2"/>
    <w:basedOn w:val="Normal"/>
    <w:link w:val="Recuodecorpodetexto2Char"/>
    <w:uiPriority w:val="99"/>
    <w:semiHidden/>
    <w:unhideWhenUsed/>
    <w:rsid w:val="00F95AE1"/>
    <w:pPr>
      <w:spacing w:after="120" w:line="480" w:lineRule="auto"/>
      <w:ind w:left="283"/>
    </w:pPr>
  </w:style>
  <w:style w:type="character" w:customStyle="1" w:styleId="Recuodecorpodetexto2Char">
    <w:name w:val="Recuo de corpo de texto 2 Char"/>
    <w:basedOn w:val="Fontepargpadro"/>
    <w:link w:val="Recuodecorpodetexto2"/>
    <w:uiPriority w:val="99"/>
    <w:semiHidden/>
    <w:rsid w:val="00F95AE1"/>
    <w:rPr>
      <w:rFonts w:ascii="Roboto Lt" w:eastAsiaTheme="minorEastAsia" w:hAnsi="Roboto Lt" w:cstheme="minorBidi"/>
      <w:sz w:val="24"/>
      <w:szCs w:val="22"/>
    </w:rPr>
  </w:style>
  <w:style w:type="paragraph" w:styleId="Corpodetexto3">
    <w:name w:val="Body Text 3"/>
    <w:basedOn w:val="Normal"/>
    <w:link w:val="Corpodetexto3Char"/>
    <w:uiPriority w:val="99"/>
    <w:semiHidden/>
    <w:unhideWhenUsed/>
    <w:rsid w:val="00F95AE1"/>
    <w:pPr>
      <w:spacing w:after="120"/>
    </w:pPr>
    <w:rPr>
      <w:sz w:val="16"/>
      <w:szCs w:val="16"/>
    </w:rPr>
  </w:style>
  <w:style w:type="character" w:customStyle="1" w:styleId="Corpodetexto3Char">
    <w:name w:val="Corpo de texto 3 Char"/>
    <w:basedOn w:val="Fontepargpadro"/>
    <w:link w:val="Corpodetexto3"/>
    <w:uiPriority w:val="99"/>
    <w:semiHidden/>
    <w:rsid w:val="00F95AE1"/>
    <w:rPr>
      <w:rFonts w:ascii="Roboto Lt" w:eastAsiaTheme="minorEastAsia" w:hAnsi="Roboto Lt" w:cstheme="minorBidi"/>
      <w:sz w:val="16"/>
      <w:szCs w:val="16"/>
    </w:rPr>
  </w:style>
  <w:style w:type="paragraph" w:customStyle="1" w:styleId="Default">
    <w:name w:val="Default"/>
    <w:rsid w:val="00D83E55"/>
    <w:pPr>
      <w:autoSpaceDE w:val="0"/>
      <w:autoSpaceDN w:val="0"/>
      <w:adjustRightInd w:val="0"/>
    </w:pPr>
    <w:rPr>
      <w:rFonts w:ascii="Times New Roman" w:hAnsi="Times New Roman"/>
      <w:color w:val="000000"/>
      <w:sz w:val="24"/>
      <w:szCs w:val="24"/>
    </w:rPr>
  </w:style>
  <w:style w:type="paragraph" w:customStyle="1" w:styleId="Ttulo11">
    <w:name w:val="Título 11"/>
    <w:basedOn w:val="Normal"/>
    <w:uiPriority w:val="1"/>
    <w:qFormat/>
    <w:rsid w:val="00E667A0"/>
    <w:pPr>
      <w:spacing w:before="90"/>
      <w:ind w:left="282" w:hanging="180"/>
      <w:outlineLvl w:val="1"/>
    </w:pPr>
    <w:rPr>
      <w:rFonts w:ascii="Times New Roman" w:eastAsia="Times New Roman" w:hAnsi="Times New Roman" w:cs="Times New Roman"/>
      <w:b/>
      <w:bCs/>
      <w:szCs w:val="24"/>
      <w:lang w:bidi="pt-BR"/>
    </w:rPr>
  </w:style>
  <w:style w:type="paragraph" w:styleId="Legenda">
    <w:name w:val="caption"/>
    <w:basedOn w:val="Normal"/>
    <w:next w:val="Normal"/>
    <w:unhideWhenUsed/>
    <w:qFormat/>
    <w:rsid w:val="00477F28"/>
    <w:pPr>
      <w:spacing w:after="200" w:line="240" w:lineRule="auto"/>
    </w:pPr>
    <w:rPr>
      <w:rFonts w:ascii="Calibri" w:eastAsia="Calibri" w:hAnsi="Calibri" w:cs="Times New Roman"/>
      <w:i/>
      <w:iCs/>
      <w:color w:val="44546A"/>
      <w:sz w:val="18"/>
      <w:szCs w:val="18"/>
      <w:lang w:eastAsia="en-US"/>
    </w:rPr>
  </w:style>
  <w:style w:type="paragraph" w:styleId="Textodecomentrio">
    <w:name w:val="annotation text"/>
    <w:basedOn w:val="Normal"/>
    <w:link w:val="TextodecomentrioChar"/>
    <w:uiPriority w:val="99"/>
    <w:unhideWhenUsed/>
    <w:rsid w:val="00477F28"/>
    <w:pPr>
      <w:spacing w:line="240" w:lineRule="auto"/>
    </w:pPr>
    <w:rPr>
      <w:rFonts w:eastAsiaTheme="minorHAnsi"/>
      <w:sz w:val="20"/>
      <w:szCs w:val="20"/>
      <w:lang w:eastAsia="en-US"/>
    </w:rPr>
  </w:style>
  <w:style w:type="character" w:customStyle="1" w:styleId="TextodecomentrioChar">
    <w:name w:val="Texto de comentário Char"/>
    <w:basedOn w:val="Fontepargpadro"/>
    <w:link w:val="Textodecomentrio"/>
    <w:uiPriority w:val="99"/>
    <w:rsid w:val="00477F28"/>
    <w:rPr>
      <w:rFonts w:asciiTheme="minorHAnsi" w:eastAsiaTheme="minorHAnsi" w:hAnsiTheme="minorHAnsi" w:cstheme="minorBidi"/>
      <w:lang w:eastAsia="en-US"/>
    </w:rPr>
  </w:style>
  <w:style w:type="character" w:styleId="HiperlinkVisitado">
    <w:name w:val="FollowedHyperlink"/>
    <w:basedOn w:val="Fontepargpadro"/>
    <w:uiPriority w:val="99"/>
    <w:semiHidden/>
    <w:unhideWhenUsed/>
    <w:rsid w:val="00477F28"/>
    <w:rPr>
      <w:color w:val="954F72" w:themeColor="followedHyperlink"/>
      <w:u w:val="single"/>
    </w:rPr>
  </w:style>
  <w:style w:type="character" w:customStyle="1" w:styleId="UnresolvedMention">
    <w:name w:val="Unresolved Mention"/>
    <w:basedOn w:val="Fontepargpadro"/>
    <w:uiPriority w:val="99"/>
    <w:semiHidden/>
    <w:unhideWhenUsed/>
    <w:rsid w:val="00477F28"/>
    <w:rPr>
      <w:color w:val="605E5C"/>
      <w:shd w:val="clear" w:color="auto" w:fill="E1DFDD"/>
    </w:rPr>
  </w:style>
  <w:style w:type="character" w:customStyle="1" w:styleId="ncoradanotaderodap">
    <w:name w:val="Âncora da nota de rodapé"/>
    <w:rsid w:val="00296226"/>
    <w:rPr>
      <w:vertAlign w:val="superscript"/>
    </w:rPr>
  </w:style>
  <w:style w:type="paragraph" w:customStyle="1" w:styleId="Standard">
    <w:name w:val="Standard"/>
    <w:qFormat/>
    <w:rsid w:val="00296226"/>
    <w:rPr>
      <w:rFonts w:ascii="Liberation Serif" w:eastAsia="SimSun, 宋体" w:hAnsi="Liberation Serif" w:cs="Arial"/>
      <w:color w:val="00000A"/>
      <w:sz w:val="24"/>
      <w:szCs w:val="24"/>
      <w:lang w:eastAsia="zh-CN" w:bidi="hi-IN"/>
    </w:rPr>
  </w:style>
  <w:style w:type="paragraph" w:customStyle="1" w:styleId="Textbody">
    <w:name w:val="Text body"/>
    <w:basedOn w:val="Standard"/>
    <w:qFormat/>
    <w:rsid w:val="00296226"/>
    <w:pPr>
      <w:spacing w:after="140" w:line="288" w:lineRule="auto"/>
    </w:pPr>
  </w:style>
  <w:style w:type="paragraph" w:customStyle="1" w:styleId="Textoprformatado">
    <w:name w:val="Texto préformatado"/>
    <w:basedOn w:val="Standard"/>
    <w:qFormat/>
    <w:rsid w:val="00296226"/>
    <w:rPr>
      <w:rFonts w:ascii="Liberation Mono" w:eastAsia="NSimSun" w:hAnsi="Liberation Mono" w:cs="Liberation Mono"/>
      <w:sz w:val="20"/>
      <w:szCs w:val="20"/>
    </w:rPr>
  </w:style>
  <w:style w:type="paragraph" w:customStyle="1" w:styleId="Footnote">
    <w:name w:val="Footnote"/>
    <w:basedOn w:val="Standard"/>
    <w:qFormat/>
    <w:rsid w:val="00296226"/>
    <w:pPr>
      <w:suppressLineNumbers/>
      <w:ind w:left="339" w:hanging="339"/>
    </w:pPr>
    <w:rPr>
      <w:sz w:val="20"/>
      <w:szCs w:val="20"/>
    </w:rPr>
  </w:style>
  <w:style w:type="paragraph" w:styleId="Pr-formataoHTML">
    <w:name w:val="HTML Preformatted"/>
    <w:basedOn w:val="Normal"/>
    <w:link w:val="Pr-formataoHTMLChar"/>
    <w:uiPriority w:val="99"/>
    <w:semiHidden/>
    <w:unhideWhenUsed/>
    <w:rsid w:val="00844CA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 w:val="20"/>
      <w:szCs w:val="20"/>
    </w:rPr>
  </w:style>
  <w:style w:type="character" w:customStyle="1" w:styleId="Pr-formataoHTMLChar">
    <w:name w:val="Pré-formatação HTML Char"/>
    <w:basedOn w:val="Fontepargpadro"/>
    <w:link w:val="Pr-formataoHTML"/>
    <w:uiPriority w:val="99"/>
    <w:semiHidden/>
    <w:rsid w:val="00844CA0"/>
    <w:rPr>
      <w:rFonts w:ascii="Courier New" w:hAnsi="Courier New" w:cs="Courier New"/>
    </w:rPr>
  </w:style>
  <w:style w:type="character" w:styleId="Refdecomentrio">
    <w:name w:val="annotation reference"/>
    <w:basedOn w:val="Fontepargpadro"/>
    <w:uiPriority w:val="99"/>
    <w:semiHidden/>
    <w:unhideWhenUsed/>
    <w:rsid w:val="004D5226"/>
    <w:rPr>
      <w:sz w:val="16"/>
      <w:szCs w:val="16"/>
    </w:rPr>
  </w:style>
  <w:style w:type="character" w:customStyle="1" w:styleId="highlight">
    <w:name w:val="highlight"/>
    <w:basedOn w:val="Fontepargpadro"/>
    <w:rsid w:val="004D5226"/>
  </w:style>
  <w:style w:type="paragraph" w:customStyle="1" w:styleId="Body">
    <w:name w:val="Body"/>
    <w:rsid w:val="00595B7F"/>
    <w:rPr>
      <w:rFonts w:ascii="Helvetica" w:eastAsia="ヒラギノ角ゴ Pro W3" w:hAnsi="Helvetica"/>
      <w:color w:val="000000"/>
      <w:sz w:val="24"/>
      <w:lang w:val="pt-PT"/>
    </w:rPr>
  </w:style>
  <w:style w:type="character" w:customStyle="1" w:styleId="apple-converted-space">
    <w:name w:val="apple-converted-space"/>
    <w:basedOn w:val="Fontepargpadro"/>
    <w:rsid w:val="00452B88"/>
  </w:style>
  <w:style w:type="paragraph" w:customStyle="1" w:styleId="artigo">
    <w:name w:val="artigo"/>
    <w:basedOn w:val="Normal"/>
    <w:rsid w:val="00452B88"/>
    <w:pPr>
      <w:spacing w:before="100" w:beforeAutospacing="1" w:after="100" w:afterAutospacing="1" w:line="240" w:lineRule="auto"/>
    </w:pPr>
    <w:rPr>
      <w:rFonts w:ascii="Times New Roman" w:eastAsia="Times New Roman" w:hAnsi="Times New Roman" w:cs="Times New Roman"/>
      <w:szCs w:val="24"/>
    </w:rPr>
  </w:style>
  <w:style w:type="character" w:styleId="nfaseSutil">
    <w:name w:val="Subtle Emphasis"/>
    <w:basedOn w:val="Fontepargpadro"/>
    <w:uiPriority w:val="19"/>
    <w:qFormat/>
    <w:rsid w:val="00452B88"/>
    <w:rPr>
      <w:i/>
      <w:iCs/>
      <w:color w:val="808080" w:themeColor="text1" w:themeTint="7F"/>
    </w:rPr>
  </w:style>
  <w:style w:type="character" w:customStyle="1" w:styleId="Caracteresdenotaderodap">
    <w:name w:val="Caracteres de nota de rodapé"/>
    <w:qFormat/>
    <w:rsid w:val="009216BE"/>
  </w:style>
  <w:style w:type="character" w:styleId="TtulodoLivro">
    <w:name w:val="Book Title"/>
    <w:basedOn w:val="Fontepargpadro"/>
    <w:uiPriority w:val="33"/>
    <w:qFormat/>
    <w:rsid w:val="00135A65"/>
    <w:rPr>
      <w:b/>
      <w:bCs/>
      <w:smallCaps/>
      <w:spacing w:val="5"/>
    </w:rPr>
  </w:style>
  <w:style w:type="paragraph" w:customStyle="1" w:styleId="SemEspaamento1">
    <w:name w:val="Sem Espaçamento1"/>
    <w:aliases w:val="Margem 1,Margem,AUTORES,No Spacing,Sem Espaçamento11"/>
    <w:link w:val="SemEspaamentoChar"/>
    <w:uiPriority w:val="1"/>
    <w:qFormat/>
    <w:rsid w:val="000D3768"/>
    <w:pPr>
      <w:spacing w:after="200" w:line="276" w:lineRule="auto"/>
    </w:pPr>
    <w:rPr>
      <w:rFonts w:asciiTheme="minorHAnsi" w:eastAsiaTheme="minorHAnsi" w:hAnsiTheme="minorHAnsi" w:cstheme="minorBidi"/>
      <w:sz w:val="22"/>
      <w:szCs w:val="22"/>
      <w:lang w:eastAsia="en-US"/>
    </w:rPr>
  </w:style>
  <w:style w:type="paragraph" w:customStyle="1" w:styleId="SemEspaamento2">
    <w:name w:val="Sem Espaçamento2"/>
    <w:uiPriority w:val="1"/>
    <w:qFormat/>
    <w:rsid w:val="000D3768"/>
    <w:pPr>
      <w:spacing w:after="200" w:line="276" w:lineRule="auto"/>
    </w:pPr>
    <w:rPr>
      <w:rFonts w:asciiTheme="minorHAnsi" w:eastAsiaTheme="minorHAnsi" w:hAnsiTheme="minorHAnsi" w:cstheme="minorBidi"/>
      <w:sz w:val="22"/>
      <w:szCs w:val="22"/>
      <w:lang w:eastAsia="en-US"/>
    </w:rPr>
  </w:style>
  <w:style w:type="character" w:customStyle="1" w:styleId="ListLabel1">
    <w:name w:val="ListLabel 1"/>
    <w:qFormat/>
    <w:rsid w:val="00D35DD4"/>
    <w:rPr>
      <w:rFonts w:ascii="Times New Roman" w:eastAsia="Times New Roman" w:hAnsi="Times New Roman" w:cs="Times New Roman"/>
      <w:color w:val="0000FF"/>
      <w:sz w:val="24"/>
      <w:u w:val="single"/>
    </w:rPr>
  </w:style>
  <w:style w:type="character" w:customStyle="1" w:styleId="longtext1">
    <w:name w:val="long_text1"/>
    <w:rsid w:val="00A34F11"/>
    <w:rPr>
      <w:sz w:val="10"/>
      <w:szCs w:val="10"/>
    </w:rPr>
  </w:style>
  <w:style w:type="table" w:styleId="ListaClara-nfase2">
    <w:name w:val="Light List Accent 2"/>
    <w:basedOn w:val="Tabelanormal"/>
    <w:uiPriority w:val="61"/>
    <w:rsid w:val="00A34F11"/>
    <w:rPr>
      <w:rFonts w:asciiTheme="minorHAnsi" w:eastAsiaTheme="minorHAnsi" w:hAnsiTheme="minorHAnsi" w:cstheme="minorBidi"/>
      <w:sz w:val="22"/>
      <w:szCs w:val="22"/>
      <w:lang w:eastAsia="en-US"/>
    </w:rPr>
    <w:tblPr>
      <w:tblStyleRowBandSize w:val="1"/>
      <w:tblStyleColBandSize w:val="1"/>
      <w:tblInd w:w="0" w:type="nil"/>
      <w:tblBorders>
        <w:top w:val="single" w:sz="8" w:space="0" w:color="ED7D31" w:themeColor="accent2"/>
        <w:left w:val="single" w:sz="8" w:space="0" w:color="ED7D31" w:themeColor="accent2"/>
        <w:bottom w:val="single" w:sz="8" w:space="0" w:color="ED7D31" w:themeColor="accent2"/>
        <w:right w:val="single" w:sz="8" w:space="0" w:color="ED7D31" w:themeColor="accent2"/>
      </w:tblBorders>
    </w:tblPr>
    <w:tblStylePr w:type="firstRow">
      <w:pPr>
        <w:spacing w:beforeLines="0" w:before="0" w:beforeAutospacing="0" w:afterLines="0" w:after="0" w:afterAutospacing="0" w:line="240" w:lineRule="auto"/>
      </w:pPr>
      <w:rPr>
        <w:b/>
        <w:bCs/>
        <w:color w:val="FFFFFF" w:themeColor="background1"/>
      </w:rPr>
      <w:tblPr/>
      <w:tcPr>
        <w:shd w:val="clear" w:color="auto" w:fill="ED7D31" w:themeFill="accent2"/>
      </w:tcPr>
    </w:tblStylePr>
    <w:tblStylePr w:type="lastRow">
      <w:pPr>
        <w:spacing w:beforeLines="0" w:before="0" w:beforeAutospacing="0" w:afterLines="0" w:after="0" w:afterAutospacing="0" w:line="240" w:lineRule="auto"/>
      </w:pPr>
      <w:rPr>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tcBorders>
      </w:tcPr>
    </w:tblStylePr>
    <w:tblStylePr w:type="firstCol">
      <w:rPr>
        <w:b/>
        <w:bCs/>
      </w:rPr>
    </w:tblStylePr>
    <w:tblStylePr w:type="lastCol">
      <w:rPr>
        <w:b/>
        <w:bCs/>
      </w:r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style>
  <w:style w:type="table" w:styleId="SombreamentoClaro-nfase1">
    <w:name w:val="Light Shading Accent 1"/>
    <w:basedOn w:val="Tabelanormal"/>
    <w:uiPriority w:val="60"/>
    <w:rsid w:val="00A34F11"/>
    <w:rPr>
      <w:rFonts w:asciiTheme="minorHAnsi" w:eastAsiaTheme="minorEastAsia" w:hAnsiTheme="minorHAnsi" w:cstheme="minorBidi"/>
      <w:color w:val="2E74B5" w:themeColor="accent1" w:themeShade="BF"/>
      <w:sz w:val="22"/>
      <w:szCs w:val="22"/>
    </w:rPr>
    <w:tblPr>
      <w:tblStyleRowBandSize w:val="1"/>
      <w:tblStyleColBandSize w:val="1"/>
      <w:tblBorders>
        <w:top w:val="single" w:sz="8" w:space="0" w:color="5B9BD5" w:themeColor="accent1"/>
        <w:bottom w:val="single" w:sz="8" w:space="0" w:color="5B9BD5" w:themeColor="accent1"/>
      </w:tblBorders>
    </w:tblPr>
    <w:tblStylePr w:type="fir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lastRow">
      <w:pPr>
        <w:spacing w:before="0" w:after="0" w:line="240" w:lineRule="auto"/>
      </w:pPr>
      <w:rPr>
        <w:b/>
        <w:bCs/>
      </w:rPr>
      <w:tblPr/>
      <w:tcPr>
        <w:tcBorders>
          <w:top w:val="single" w:sz="8" w:space="0" w:color="5B9BD5" w:themeColor="accent1"/>
          <w:left w:val="nil"/>
          <w:bottom w:val="single" w:sz="8" w:space="0" w:color="5B9BD5"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6E6F4" w:themeFill="accent1" w:themeFillTint="3F"/>
      </w:tcPr>
    </w:tblStylePr>
    <w:tblStylePr w:type="band1Horz">
      <w:tblPr/>
      <w:tcPr>
        <w:tcBorders>
          <w:left w:val="nil"/>
          <w:right w:val="nil"/>
          <w:insideH w:val="nil"/>
          <w:insideV w:val="nil"/>
        </w:tcBorders>
        <w:shd w:val="clear" w:color="auto" w:fill="D6E6F4" w:themeFill="accent1" w:themeFillTint="3F"/>
      </w:tcPr>
    </w:tblStylePr>
  </w:style>
  <w:style w:type="table" w:styleId="GradeClara-nfase2">
    <w:name w:val="Light Grid Accent 2"/>
    <w:basedOn w:val="Tabelanormal"/>
    <w:uiPriority w:val="62"/>
    <w:rsid w:val="00A34F11"/>
    <w:rPr>
      <w:rFonts w:asciiTheme="minorHAnsi" w:eastAsiaTheme="minorEastAsia" w:hAnsiTheme="minorHAnsi" w:cstheme="minorBidi"/>
      <w:sz w:val="22"/>
      <w:szCs w:val="22"/>
    </w:rPr>
    <w:tblPr>
      <w:tblStyleRowBandSize w:val="1"/>
      <w:tblStyleColBandSize w:val="1"/>
      <w:tblBorders>
        <w:top w:val="single" w:sz="8" w:space="0" w:color="ED7D31" w:themeColor="accent2"/>
        <w:left w:val="single" w:sz="8" w:space="0" w:color="ED7D31" w:themeColor="accent2"/>
        <w:bottom w:val="single" w:sz="8" w:space="0" w:color="ED7D31" w:themeColor="accent2"/>
        <w:right w:val="single" w:sz="8" w:space="0" w:color="ED7D31" w:themeColor="accent2"/>
        <w:insideH w:val="single" w:sz="8" w:space="0" w:color="ED7D31" w:themeColor="accent2"/>
        <w:insideV w:val="single" w:sz="8" w:space="0" w:color="ED7D31"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18" w:space="0" w:color="ED7D31" w:themeColor="accent2"/>
          <w:right w:val="single" w:sz="8" w:space="0" w:color="ED7D31" w:themeColor="accent2"/>
          <w:insideH w:val="nil"/>
          <w:insideV w:val="single" w:sz="8" w:space="0" w:color="ED7D31"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D7D31" w:themeColor="accent2"/>
          <w:left w:val="single" w:sz="8" w:space="0" w:color="ED7D31" w:themeColor="accent2"/>
          <w:bottom w:val="single" w:sz="8" w:space="0" w:color="ED7D31" w:themeColor="accent2"/>
          <w:right w:val="single" w:sz="8" w:space="0" w:color="ED7D31" w:themeColor="accent2"/>
          <w:insideH w:val="nil"/>
          <w:insideV w:val="single" w:sz="8" w:space="0" w:color="ED7D31"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tcPr>
    </w:tblStylePr>
    <w:tblStylePr w:type="band1Vert">
      <w:tblPr/>
      <w:tcPr>
        <w:tcBorders>
          <w:top w:val="single" w:sz="8" w:space="0" w:color="ED7D31" w:themeColor="accent2"/>
          <w:left w:val="single" w:sz="8" w:space="0" w:color="ED7D31" w:themeColor="accent2"/>
          <w:bottom w:val="single" w:sz="8" w:space="0" w:color="ED7D31" w:themeColor="accent2"/>
          <w:right w:val="single" w:sz="8" w:space="0" w:color="ED7D31" w:themeColor="accent2"/>
        </w:tcBorders>
        <w:shd w:val="clear" w:color="auto" w:fill="FADECB" w:themeFill="accent2" w:themeFillTint="3F"/>
      </w:tcPr>
    </w:tblStylePr>
    <w:tblStylePr w:type="band1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shd w:val="clear" w:color="auto" w:fill="FADECB" w:themeFill="accent2" w:themeFillTint="3F"/>
      </w:tcPr>
    </w:tblStylePr>
    <w:tblStylePr w:type="band2Horz">
      <w:tblPr/>
      <w:tcPr>
        <w:tcBorders>
          <w:top w:val="single" w:sz="8" w:space="0" w:color="ED7D31" w:themeColor="accent2"/>
          <w:left w:val="single" w:sz="8" w:space="0" w:color="ED7D31" w:themeColor="accent2"/>
          <w:bottom w:val="single" w:sz="8" w:space="0" w:color="ED7D31" w:themeColor="accent2"/>
          <w:right w:val="single" w:sz="8" w:space="0" w:color="ED7D31" w:themeColor="accent2"/>
          <w:insideV w:val="single" w:sz="8" w:space="0" w:color="ED7D31" w:themeColor="accent2"/>
        </w:tcBorders>
      </w:tcPr>
    </w:tblStylePr>
  </w:style>
  <w:style w:type="character" w:customStyle="1" w:styleId="FootnoteCharacters">
    <w:name w:val="Footnote Characters"/>
    <w:basedOn w:val="Fontepargpadro"/>
    <w:qFormat/>
    <w:rsid w:val="00FD51AB"/>
    <w:rPr>
      <w:vertAlign w:val="superscript"/>
    </w:rPr>
  </w:style>
  <w:style w:type="paragraph" w:customStyle="1" w:styleId="Corpodetexto31">
    <w:name w:val="Corpo de texto 31"/>
    <w:basedOn w:val="Normal"/>
    <w:rsid w:val="001D3F15"/>
    <w:pPr>
      <w:suppressAutoHyphens/>
      <w:spacing w:line="240" w:lineRule="auto"/>
      <w:jc w:val="center"/>
    </w:pPr>
    <w:rPr>
      <w:rFonts w:ascii="Arial" w:eastAsia="Times New Roman" w:hAnsi="Arial" w:cs="Times New Roman"/>
      <w:b/>
      <w:szCs w:val="20"/>
      <w:lang w:eastAsia="ar-SA"/>
    </w:rPr>
  </w:style>
  <w:style w:type="paragraph" w:customStyle="1" w:styleId="paragrafo0">
    <w:name w:val="paragrafo"/>
    <w:basedOn w:val="Normal"/>
    <w:rsid w:val="001D3F15"/>
    <w:pPr>
      <w:spacing w:before="100" w:beforeAutospacing="1" w:after="100" w:afterAutospacing="1" w:line="240" w:lineRule="auto"/>
    </w:pPr>
    <w:rPr>
      <w:rFonts w:ascii="Times New Roman" w:eastAsia="Times New Roman" w:hAnsi="Times New Roman" w:cs="Times New Roman"/>
      <w:szCs w:val="24"/>
    </w:rPr>
  </w:style>
  <w:style w:type="paragraph" w:styleId="CitaoIntensa">
    <w:name w:val="Intense Quote"/>
    <w:basedOn w:val="Normal"/>
    <w:next w:val="Normal"/>
    <w:link w:val="CitaoIntensaChar"/>
    <w:uiPriority w:val="30"/>
    <w:qFormat/>
    <w:rsid w:val="001D3F15"/>
    <w:pPr>
      <w:pBdr>
        <w:bottom w:val="single" w:sz="4" w:space="4" w:color="5B9BD5" w:themeColor="accent1"/>
      </w:pBdr>
      <w:spacing w:before="200" w:after="280"/>
      <w:ind w:left="936" w:right="936"/>
    </w:pPr>
    <w:rPr>
      <w:b/>
      <w:bCs/>
      <w:i/>
      <w:iCs/>
      <w:color w:val="5B9BD5" w:themeColor="accent1"/>
    </w:rPr>
  </w:style>
  <w:style w:type="character" w:customStyle="1" w:styleId="CitaoIntensaChar">
    <w:name w:val="Citação Intensa Char"/>
    <w:basedOn w:val="Fontepargpadro"/>
    <w:link w:val="CitaoIntensa"/>
    <w:uiPriority w:val="30"/>
    <w:rsid w:val="001D3F15"/>
    <w:rPr>
      <w:rFonts w:ascii="Roboto Lt" w:eastAsiaTheme="minorEastAsia" w:hAnsi="Roboto Lt" w:cstheme="minorBidi"/>
      <w:b/>
      <w:bCs/>
      <w:i/>
      <w:iCs/>
      <w:color w:val="5B9BD5" w:themeColor="accent1"/>
      <w:sz w:val="24"/>
      <w:szCs w:val="22"/>
    </w:rPr>
  </w:style>
  <w:style w:type="character" w:customStyle="1" w:styleId="a">
    <w:name w:val="a"/>
    <w:basedOn w:val="Fontepargpadro"/>
    <w:rsid w:val="00C37E19"/>
  </w:style>
  <w:style w:type="character" w:customStyle="1" w:styleId="SemEspaamentoChar">
    <w:name w:val="Sem Espaçamento Char"/>
    <w:aliases w:val="Margem 1 Char,Margem Char,Sem Espaçamento1 Char,AUTORES Char"/>
    <w:link w:val="SemEspaamento1"/>
    <w:uiPriority w:val="1"/>
    <w:rsid w:val="00C37E19"/>
    <w:rPr>
      <w:rFonts w:asciiTheme="minorHAnsi" w:eastAsiaTheme="minorHAnsi" w:hAnsiTheme="minorHAnsi" w:cstheme="minorBidi"/>
      <w:sz w:val="22"/>
      <w:szCs w:val="22"/>
      <w:lang w:eastAsia="en-US"/>
    </w:rPr>
  </w:style>
  <w:style w:type="character" w:customStyle="1" w:styleId="Ttulo4Char">
    <w:name w:val="Título 4 Char"/>
    <w:basedOn w:val="Fontepargpadro"/>
    <w:link w:val="Ttulo4"/>
    <w:uiPriority w:val="9"/>
    <w:semiHidden/>
    <w:rsid w:val="00D63C8F"/>
    <w:rPr>
      <w:rFonts w:asciiTheme="majorHAnsi" w:eastAsiaTheme="majorEastAsia" w:hAnsiTheme="majorHAnsi" w:cstheme="majorBidi"/>
      <w:b/>
      <w:bCs/>
      <w:i/>
      <w:iCs/>
      <w:color w:val="5B9BD5" w:themeColor="accent1"/>
      <w:sz w:val="24"/>
      <w:szCs w:val="22"/>
    </w:rPr>
  </w:style>
  <w:style w:type="character" w:customStyle="1" w:styleId="TextodenotaderodapChar1">
    <w:name w:val="Texto de nota de rodapé Char1"/>
    <w:basedOn w:val="Fontepargpadro"/>
    <w:rsid w:val="007118BD"/>
    <w:rPr>
      <w:rFonts w:ascii="Calibri" w:eastAsia="Calibri" w:hAnsi="Calibri" w:cs="Times New Roman"/>
      <w:sz w:val="20"/>
      <w:szCs w:val="20"/>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96826632">
      <w:bodyDiv w:val="1"/>
      <w:marLeft w:val="0"/>
      <w:marRight w:val="0"/>
      <w:marTop w:val="0"/>
      <w:marBottom w:val="0"/>
      <w:divBdr>
        <w:top w:val="none" w:sz="0" w:space="0" w:color="auto"/>
        <w:left w:val="none" w:sz="0" w:space="0" w:color="auto"/>
        <w:bottom w:val="none" w:sz="0" w:space="0" w:color="auto"/>
        <w:right w:val="none" w:sz="0" w:space="0" w:color="auto"/>
      </w:divBdr>
    </w:div>
    <w:div w:id="401564386">
      <w:bodyDiv w:val="1"/>
      <w:marLeft w:val="0"/>
      <w:marRight w:val="0"/>
      <w:marTop w:val="0"/>
      <w:marBottom w:val="0"/>
      <w:divBdr>
        <w:top w:val="none" w:sz="0" w:space="0" w:color="auto"/>
        <w:left w:val="none" w:sz="0" w:space="0" w:color="auto"/>
        <w:bottom w:val="none" w:sz="0" w:space="0" w:color="auto"/>
        <w:right w:val="none" w:sz="0" w:space="0" w:color="auto"/>
      </w:divBdr>
    </w:div>
    <w:div w:id="512038532">
      <w:bodyDiv w:val="1"/>
      <w:marLeft w:val="0"/>
      <w:marRight w:val="0"/>
      <w:marTop w:val="0"/>
      <w:marBottom w:val="0"/>
      <w:divBdr>
        <w:top w:val="none" w:sz="0" w:space="0" w:color="auto"/>
        <w:left w:val="none" w:sz="0" w:space="0" w:color="auto"/>
        <w:bottom w:val="none" w:sz="0" w:space="0" w:color="auto"/>
        <w:right w:val="none" w:sz="0" w:space="0" w:color="auto"/>
      </w:divBdr>
    </w:div>
    <w:div w:id="555120578">
      <w:bodyDiv w:val="1"/>
      <w:marLeft w:val="0"/>
      <w:marRight w:val="0"/>
      <w:marTop w:val="0"/>
      <w:marBottom w:val="0"/>
      <w:divBdr>
        <w:top w:val="none" w:sz="0" w:space="0" w:color="auto"/>
        <w:left w:val="none" w:sz="0" w:space="0" w:color="auto"/>
        <w:bottom w:val="none" w:sz="0" w:space="0" w:color="auto"/>
        <w:right w:val="none" w:sz="0" w:space="0" w:color="auto"/>
      </w:divBdr>
    </w:div>
    <w:div w:id="997459341">
      <w:bodyDiv w:val="1"/>
      <w:marLeft w:val="0"/>
      <w:marRight w:val="0"/>
      <w:marTop w:val="0"/>
      <w:marBottom w:val="0"/>
      <w:divBdr>
        <w:top w:val="none" w:sz="0" w:space="0" w:color="auto"/>
        <w:left w:val="none" w:sz="0" w:space="0" w:color="auto"/>
        <w:bottom w:val="none" w:sz="0" w:space="0" w:color="auto"/>
        <w:right w:val="none" w:sz="0" w:space="0" w:color="auto"/>
      </w:divBdr>
    </w:div>
    <w:div w:id="1471286176">
      <w:bodyDiv w:val="1"/>
      <w:marLeft w:val="0"/>
      <w:marRight w:val="0"/>
      <w:marTop w:val="0"/>
      <w:marBottom w:val="0"/>
      <w:divBdr>
        <w:top w:val="none" w:sz="0" w:space="0" w:color="auto"/>
        <w:left w:val="none" w:sz="0" w:space="0" w:color="auto"/>
        <w:bottom w:val="none" w:sz="0" w:space="0" w:color="auto"/>
        <w:right w:val="none" w:sz="0" w:space="0" w:color="auto"/>
      </w:divBdr>
    </w:div>
    <w:div w:id="1595165411">
      <w:bodyDiv w:val="1"/>
      <w:marLeft w:val="0"/>
      <w:marRight w:val="0"/>
      <w:marTop w:val="0"/>
      <w:marBottom w:val="0"/>
      <w:divBdr>
        <w:top w:val="none" w:sz="0" w:space="0" w:color="auto"/>
        <w:left w:val="none" w:sz="0" w:space="0" w:color="auto"/>
        <w:bottom w:val="none" w:sz="0" w:space="0" w:color="auto"/>
        <w:right w:val="none" w:sz="0" w:space="0" w:color="auto"/>
      </w:divBdr>
    </w:div>
    <w:div w:id="20049646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repositorio.unb.br/handle/10482/5079?mode=full"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forumseguranca.org.br/wp-content/uploads/2017/12/ANUARIO_11_2017.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forumseguranca.org.br/storage/10_anuario_site_18-11-2016-retificado.pdf"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766E0BC-D33A-4138-989B-B4987C20E9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16</Pages>
  <Words>4416</Words>
  <Characters>23850</Characters>
  <Application>Microsoft Office Word</Application>
  <DocSecurity>0</DocSecurity>
  <Lines>198</Lines>
  <Paragraphs>56</Paragraphs>
  <ScaleCrop>false</ScaleCrop>
  <HeadingPairs>
    <vt:vector size="2" baseType="variant">
      <vt:variant>
        <vt:lpstr>Título</vt:lpstr>
      </vt:variant>
      <vt:variant>
        <vt:i4>1</vt:i4>
      </vt:variant>
    </vt:vector>
  </HeadingPairs>
  <TitlesOfParts>
    <vt:vector size="1" baseType="lpstr">
      <vt:lpstr/>
    </vt:vector>
  </TitlesOfParts>
  <Company>UFRN</Company>
  <LinksUpToDate>false</LinksUpToDate>
  <CharactersWithSpaces>28210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Tavares</dc:creator>
  <cp:lastModifiedBy>Periodicos-PC02</cp:lastModifiedBy>
  <cp:revision>4</cp:revision>
  <cp:lastPrinted>2019-09-11T18:21:00Z</cp:lastPrinted>
  <dcterms:created xsi:type="dcterms:W3CDTF">2019-09-09T18:43:00Z</dcterms:created>
  <dcterms:modified xsi:type="dcterms:W3CDTF">2019-09-11T18:23:00Z</dcterms:modified>
</cp:coreProperties>
</file>