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06B4B" w14:textId="36C6BEF8" w:rsidR="002823BE" w:rsidRPr="003C4490" w:rsidRDefault="00A714C1" w:rsidP="00A714C1">
      <w:pPr>
        <w:jc w:val="center"/>
        <w:rPr>
          <w:rFonts w:ascii="Palatino" w:hAnsi="Palatino"/>
        </w:rPr>
      </w:pPr>
      <w:r w:rsidRPr="003C4490">
        <w:rPr>
          <w:rFonts w:ascii="Palatino" w:hAnsi="Palatino"/>
        </w:rPr>
        <w:t>Individual variation in natural or manipulated corticosterone is not related to variation in circulating glucose in a wild bird.</w:t>
      </w:r>
    </w:p>
    <w:p w14:paraId="0198F136" w14:textId="636A522C" w:rsidR="00A714C1" w:rsidRPr="003C4490" w:rsidRDefault="00A714C1" w:rsidP="00A714C1">
      <w:pPr>
        <w:jc w:val="center"/>
        <w:rPr>
          <w:rFonts w:ascii="Palatino" w:hAnsi="Palatino"/>
        </w:rPr>
      </w:pPr>
    </w:p>
    <w:p w14:paraId="00DF4C9D" w14:textId="3E4DAC39" w:rsidR="00A714C1" w:rsidRPr="003C4490" w:rsidRDefault="00A714C1" w:rsidP="00A714C1">
      <w:pPr>
        <w:jc w:val="center"/>
        <w:rPr>
          <w:rFonts w:ascii="Palatino" w:hAnsi="Palatino"/>
          <w:vertAlign w:val="superscript"/>
        </w:rPr>
      </w:pPr>
      <w:r w:rsidRPr="003C4490">
        <w:rPr>
          <w:rFonts w:ascii="Palatino" w:hAnsi="Palatino"/>
        </w:rPr>
        <w:t xml:space="preserve">Conor </w:t>
      </w:r>
      <w:r w:rsidR="003C4490" w:rsidRPr="003C4490">
        <w:rPr>
          <w:rFonts w:ascii="Palatino" w:hAnsi="Palatino"/>
        </w:rPr>
        <w:t>C. Taff</w:t>
      </w:r>
      <w:r w:rsidR="003C4490" w:rsidRPr="003C4490">
        <w:rPr>
          <w:rFonts w:ascii="Palatino" w:hAnsi="Palatino"/>
          <w:vertAlign w:val="superscript"/>
        </w:rPr>
        <w:t>1,2*</w:t>
      </w:r>
      <w:r w:rsidR="003C4490" w:rsidRPr="003C4490">
        <w:rPr>
          <w:rFonts w:ascii="Palatino" w:hAnsi="Palatino"/>
        </w:rPr>
        <w:t>, Cedric Zimmer</w:t>
      </w:r>
      <w:r w:rsidR="003C4490" w:rsidRPr="003C4490">
        <w:rPr>
          <w:rFonts w:ascii="Palatino" w:hAnsi="Palatino"/>
          <w:vertAlign w:val="superscript"/>
        </w:rPr>
        <w:t>1</w:t>
      </w:r>
      <w:r w:rsidR="003C4490" w:rsidRPr="003C4490">
        <w:rPr>
          <w:rFonts w:ascii="Palatino" w:hAnsi="Palatino"/>
        </w:rPr>
        <w:t xml:space="preserve">, Thomas </w:t>
      </w:r>
      <w:r w:rsidR="000853F0">
        <w:rPr>
          <w:rFonts w:ascii="Palatino" w:hAnsi="Palatino"/>
        </w:rPr>
        <w:t xml:space="preserve">A. </w:t>
      </w:r>
      <w:r w:rsidR="003C4490" w:rsidRPr="003C4490">
        <w:rPr>
          <w:rFonts w:ascii="Palatino" w:hAnsi="Palatino"/>
        </w:rPr>
        <w:t>Ryan</w:t>
      </w:r>
      <w:r w:rsidR="003C4490" w:rsidRPr="003C4490">
        <w:rPr>
          <w:rFonts w:ascii="Palatino" w:hAnsi="Palatino"/>
          <w:vertAlign w:val="superscript"/>
        </w:rPr>
        <w:t>1</w:t>
      </w:r>
      <w:r w:rsidR="003C4490" w:rsidRPr="003C4490">
        <w:rPr>
          <w:rFonts w:ascii="Palatino" w:hAnsi="Palatino"/>
        </w:rPr>
        <w:t xml:space="preserve">, </w:t>
      </w:r>
      <w:r w:rsidR="000B236A">
        <w:rPr>
          <w:rFonts w:ascii="Palatino" w:hAnsi="Palatino"/>
        </w:rPr>
        <w:t xml:space="preserve">David Chang van </w:t>
      </w:r>
      <w:r w:rsidR="000B236A" w:rsidRPr="000B236A">
        <w:rPr>
          <w:rFonts w:ascii="Palatino" w:hAnsi="Palatino"/>
        </w:rPr>
        <w:t>Oordt</w:t>
      </w:r>
      <w:r w:rsidR="000B236A" w:rsidRPr="000B236A">
        <w:rPr>
          <w:rFonts w:ascii="Palatino" w:hAnsi="Palatino"/>
          <w:vertAlign w:val="superscript"/>
        </w:rPr>
        <w:t>1</w:t>
      </w:r>
      <w:r w:rsidR="000B236A">
        <w:rPr>
          <w:rFonts w:ascii="Palatino" w:hAnsi="Palatino"/>
        </w:rPr>
        <w:t xml:space="preserve">, </w:t>
      </w:r>
      <w:r w:rsidR="003C4490" w:rsidRPr="000B236A">
        <w:rPr>
          <w:rFonts w:ascii="Palatino" w:hAnsi="Palatino"/>
        </w:rPr>
        <w:t>Maren</w:t>
      </w:r>
      <w:r w:rsidR="003C4490" w:rsidRPr="003C4490">
        <w:rPr>
          <w:rFonts w:ascii="Palatino" w:hAnsi="Palatino"/>
        </w:rPr>
        <w:t xml:space="preserve"> Vitousek</w:t>
      </w:r>
      <w:r w:rsidR="003C4490" w:rsidRPr="003C4490">
        <w:rPr>
          <w:rFonts w:ascii="Palatino" w:hAnsi="Palatino"/>
          <w:vertAlign w:val="superscript"/>
        </w:rPr>
        <w:t>1,2</w:t>
      </w:r>
    </w:p>
    <w:p w14:paraId="48B096D4" w14:textId="763ED0D2" w:rsidR="003C4490" w:rsidRDefault="003C4490" w:rsidP="00A714C1">
      <w:pPr>
        <w:jc w:val="center"/>
        <w:rPr>
          <w:rFonts w:ascii="Palatino" w:hAnsi="Palatino"/>
          <w:vertAlign w:val="superscript"/>
        </w:rPr>
      </w:pPr>
    </w:p>
    <w:p w14:paraId="62DE068B" w14:textId="77777777" w:rsidR="003C4490" w:rsidRPr="003C4490" w:rsidRDefault="003C4490" w:rsidP="00A714C1">
      <w:pPr>
        <w:jc w:val="center"/>
        <w:rPr>
          <w:rFonts w:ascii="Palatino" w:hAnsi="Palatino"/>
          <w:vertAlign w:val="superscript"/>
        </w:rPr>
      </w:pPr>
    </w:p>
    <w:p w14:paraId="6119B889" w14:textId="77777777" w:rsidR="003C4490" w:rsidRPr="003C4490" w:rsidRDefault="003C4490" w:rsidP="003C4490">
      <w:pPr>
        <w:pStyle w:val="NoSpacing"/>
        <w:rPr>
          <w:rFonts w:ascii="Palatino" w:hAnsi="Palatino"/>
        </w:rPr>
      </w:pPr>
      <w:r w:rsidRPr="003C4490">
        <w:rPr>
          <w:rFonts w:ascii="Palatino" w:hAnsi="Palatino"/>
          <w:vertAlign w:val="superscript"/>
        </w:rPr>
        <w:t>1</w:t>
      </w:r>
      <w:r w:rsidRPr="003C4490">
        <w:rPr>
          <w:rFonts w:ascii="Palatino" w:hAnsi="Palatino"/>
        </w:rPr>
        <w:t xml:space="preserve"> Department of Ecology &amp; Evolutionary Biology, Cornell University</w:t>
      </w:r>
    </w:p>
    <w:p w14:paraId="32C95B8D" w14:textId="77777777" w:rsidR="003C4490" w:rsidRPr="003C4490" w:rsidRDefault="003C4490" w:rsidP="003C4490">
      <w:pPr>
        <w:pStyle w:val="NoSpacing"/>
        <w:rPr>
          <w:rFonts w:ascii="Palatino" w:hAnsi="Palatino"/>
        </w:rPr>
      </w:pPr>
      <w:r w:rsidRPr="003C4490">
        <w:rPr>
          <w:rFonts w:ascii="Palatino" w:hAnsi="Palatino"/>
          <w:vertAlign w:val="superscript"/>
        </w:rPr>
        <w:t>2</w:t>
      </w:r>
      <w:r w:rsidRPr="003C4490">
        <w:rPr>
          <w:rFonts w:ascii="Palatino" w:hAnsi="Palatino"/>
        </w:rPr>
        <w:t xml:space="preserve"> Lab of Ornithology, Cornell University</w:t>
      </w:r>
    </w:p>
    <w:p w14:paraId="71CA0CC2" w14:textId="77777777" w:rsidR="003C4490" w:rsidRPr="003C4490" w:rsidRDefault="003C4490" w:rsidP="003C4490">
      <w:pPr>
        <w:pStyle w:val="NoSpacing"/>
        <w:rPr>
          <w:rFonts w:ascii="Palatino" w:hAnsi="Palatino"/>
        </w:rPr>
      </w:pPr>
    </w:p>
    <w:p w14:paraId="6F5854D3" w14:textId="77777777" w:rsidR="003C4490" w:rsidRPr="003C4490" w:rsidRDefault="003C4490" w:rsidP="003C4490">
      <w:pPr>
        <w:pStyle w:val="NoSpacing"/>
        <w:rPr>
          <w:rFonts w:ascii="Palatino" w:hAnsi="Palatino"/>
        </w:rPr>
      </w:pPr>
      <w:r w:rsidRPr="003C4490">
        <w:rPr>
          <w:rFonts w:ascii="Palatino" w:hAnsi="Palatino"/>
          <w:vertAlign w:val="superscript"/>
        </w:rPr>
        <w:t xml:space="preserve">* </w:t>
      </w:r>
      <w:r w:rsidRPr="003C4490">
        <w:rPr>
          <w:rFonts w:ascii="Palatino" w:hAnsi="Palatino"/>
        </w:rPr>
        <w:t xml:space="preserve">Correspondence: Conor C. Taff, </w:t>
      </w:r>
      <w:hyperlink r:id="rId7" w:history="1">
        <w:r w:rsidRPr="003C4490">
          <w:rPr>
            <w:rStyle w:val="Hyperlink"/>
            <w:rFonts w:ascii="Palatino" w:hAnsi="Palatino"/>
          </w:rPr>
          <w:t>cct63@cornell.edu</w:t>
        </w:r>
      </w:hyperlink>
      <w:r w:rsidRPr="003C4490">
        <w:rPr>
          <w:rFonts w:ascii="Palatino" w:hAnsi="Palatino"/>
        </w:rPr>
        <w:t xml:space="preserve"> 518-332-3983</w:t>
      </w:r>
    </w:p>
    <w:p w14:paraId="05820A31" w14:textId="368FD107" w:rsidR="003C4490" w:rsidRDefault="003C4490" w:rsidP="003C4490">
      <w:pPr>
        <w:rPr>
          <w:rFonts w:ascii="Palatino" w:hAnsi="Palatino"/>
        </w:rPr>
      </w:pPr>
    </w:p>
    <w:p w14:paraId="0074BA0F" w14:textId="5AE436B2" w:rsidR="003C4490" w:rsidRDefault="003C4490" w:rsidP="003C4490">
      <w:pPr>
        <w:rPr>
          <w:rFonts w:ascii="Palatino" w:hAnsi="Palatino"/>
        </w:rPr>
      </w:pPr>
    </w:p>
    <w:p w14:paraId="00132628" w14:textId="7A10979D" w:rsidR="005A2FA5" w:rsidRDefault="005A2FA5">
      <w:pPr>
        <w:rPr>
          <w:rFonts w:ascii="Palatino" w:hAnsi="Palatino"/>
        </w:rPr>
      </w:pPr>
      <w:r>
        <w:rPr>
          <w:rFonts w:ascii="Palatino" w:hAnsi="Palatino"/>
        </w:rPr>
        <w:br w:type="page"/>
      </w:r>
    </w:p>
    <w:p w14:paraId="699562E9" w14:textId="1F886769" w:rsidR="00342F1D" w:rsidRDefault="007205A3" w:rsidP="003C4490">
      <w:pPr>
        <w:rPr>
          <w:rFonts w:ascii="Palatino" w:hAnsi="Palatino"/>
          <w:b/>
          <w:bCs/>
        </w:rPr>
      </w:pPr>
      <w:r>
        <w:rPr>
          <w:rFonts w:ascii="Palatino" w:hAnsi="Palatino"/>
          <w:b/>
          <w:bCs/>
        </w:rPr>
        <w:lastRenderedPageBreak/>
        <w:t>SUPPLEMENTARY METHODS</w:t>
      </w:r>
    </w:p>
    <w:p w14:paraId="00254F2C" w14:textId="325B0A86" w:rsidR="005A2FA5" w:rsidRDefault="005A2FA5" w:rsidP="003C4490">
      <w:pPr>
        <w:rPr>
          <w:rFonts w:ascii="Palatino" w:hAnsi="Palatino"/>
          <w:b/>
          <w:bCs/>
        </w:rPr>
      </w:pPr>
    </w:p>
    <w:p w14:paraId="1DD5D758" w14:textId="7E10CA1F" w:rsidR="004852A0" w:rsidRPr="004852A0" w:rsidRDefault="004852A0" w:rsidP="00292D60">
      <w:pPr>
        <w:ind w:firstLine="720"/>
        <w:rPr>
          <w:rFonts w:ascii="Palatino" w:hAnsi="Palatino"/>
        </w:rPr>
      </w:pPr>
      <w:r w:rsidRPr="004852A0">
        <w:rPr>
          <w:rFonts w:ascii="Palatino" w:hAnsi="Palatino"/>
        </w:rPr>
        <w:t xml:space="preserve">To ensure that Cortrosyn® had the desired effect in </w:t>
      </w:r>
      <w:r w:rsidR="004D2C70">
        <w:rPr>
          <w:rFonts w:ascii="Palatino" w:hAnsi="Palatino"/>
        </w:rPr>
        <w:t xml:space="preserve">elevating </w:t>
      </w:r>
      <w:r w:rsidR="00212091">
        <w:rPr>
          <w:rFonts w:ascii="Palatino" w:hAnsi="Palatino"/>
        </w:rPr>
        <w:t>the</w:t>
      </w:r>
      <w:r w:rsidRPr="004852A0">
        <w:rPr>
          <w:rFonts w:ascii="Palatino" w:hAnsi="Palatino"/>
        </w:rPr>
        <w:t xml:space="preserve"> corticosterone response, we conducted two validation studies on a separate set of nestlings and adults that were not part of the main study presented here. Once reconstituted, Cortrosyn is not stable at room temperature. Therefore, rather than delivering exact doses based on individual mass, we reconstituted vials of lyophilized Cortrosyn (</w:t>
      </w:r>
      <w:proofErr w:type="spellStart"/>
      <w:r w:rsidRPr="004852A0">
        <w:rPr>
          <w:rFonts w:ascii="Palatino" w:hAnsi="Palatino"/>
        </w:rPr>
        <w:t>Amphastar</w:t>
      </w:r>
      <w:proofErr w:type="spellEnd"/>
      <w:r w:rsidRPr="004852A0">
        <w:rPr>
          <w:rFonts w:ascii="Palatino" w:hAnsi="Palatino"/>
        </w:rPr>
        <w:t xml:space="preserve"> Pharmaceutical Incorporated, Item #054881) and prepared aliquots pre-measured into syringes based on the average mass in our population (on day 15 nestlings weigh approximately the same amount as full grown adults and the same dose was used for both adults and nestlings). </w:t>
      </w:r>
      <w:r w:rsidR="00C05BB5" w:rsidRPr="004852A0">
        <w:rPr>
          <w:rFonts w:ascii="Palatino" w:hAnsi="Palatino"/>
        </w:rPr>
        <w:t>Aliquoted</w:t>
      </w:r>
      <w:r w:rsidRPr="004852A0">
        <w:rPr>
          <w:rFonts w:ascii="Palatino" w:hAnsi="Palatino"/>
        </w:rPr>
        <w:t xml:space="preserve"> Cortrosyn doses were stored frozen for &lt; 2 weeks and thawed immediately before injection.</w:t>
      </w:r>
    </w:p>
    <w:p w14:paraId="00625264" w14:textId="74E1401C" w:rsidR="004852A0" w:rsidRPr="004852A0" w:rsidRDefault="004852A0" w:rsidP="00292D60">
      <w:pPr>
        <w:ind w:firstLine="720"/>
        <w:rPr>
          <w:rFonts w:ascii="Palatino" w:hAnsi="Palatino"/>
        </w:rPr>
      </w:pPr>
      <w:r w:rsidRPr="004852A0">
        <w:rPr>
          <w:rFonts w:ascii="Palatino" w:hAnsi="Palatino"/>
        </w:rPr>
        <w:t xml:space="preserve">In 2018, we carried out a validation experiment on </w:t>
      </w:r>
      <w:r w:rsidR="00C05BB5" w:rsidRPr="004852A0">
        <w:rPr>
          <w:rFonts w:ascii="Palatino" w:hAnsi="Palatino"/>
        </w:rPr>
        <w:t>15-day</w:t>
      </w:r>
      <w:r w:rsidRPr="004852A0">
        <w:rPr>
          <w:rFonts w:ascii="Palatino" w:hAnsi="Palatino"/>
        </w:rPr>
        <w:t xml:space="preserve"> old nestlings from 9 nests. At each nest, individual nestlings were alternately assigned to a Cortrosyn injection group (n = 23 nestlings) or a control group that received a saline injection (n = 20 nestlings). For all nestlings, a baseline blood sample (&lt; 30 </w:t>
      </w:r>
      <w:r w:rsidR="00793C82">
        <w:rPr>
          <w:rFonts w:ascii="Palatino" w:hAnsi="Palatino"/>
        </w:rPr>
        <w:sym w:font="Symbol" w:char="F06D"/>
      </w:r>
      <w:r w:rsidRPr="004852A0">
        <w:rPr>
          <w:rFonts w:ascii="Palatino" w:hAnsi="Palatino"/>
        </w:rPr>
        <w:t xml:space="preserve">l) was collected within 3 minutes of disturbance and then nestlings were immediately injected with either 50 </w:t>
      </w:r>
      <w:r w:rsidR="00793C82">
        <w:rPr>
          <w:rFonts w:ascii="Palatino" w:hAnsi="Palatino"/>
        </w:rPr>
        <w:sym w:font="Symbol" w:char="F06D"/>
      </w:r>
      <w:r w:rsidRPr="004852A0">
        <w:rPr>
          <w:rFonts w:ascii="Palatino" w:hAnsi="Palatino"/>
        </w:rPr>
        <w:t xml:space="preserve">l of saline or 50 </w:t>
      </w:r>
      <w:r w:rsidR="00793C82">
        <w:rPr>
          <w:rFonts w:ascii="Palatino" w:hAnsi="Palatino"/>
        </w:rPr>
        <w:sym w:font="Symbol" w:char="F06D"/>
      </w:r>
      <w:r w:rsidRPr="004852A0">
        <w:rPr>
          <w:rFonts w:ascii="Palatino" w:hAnsi="Palatino"/>
        </w:rPr>
        <w:t xml:space="preserve">l of 0.1 microgram per </w:t>
      </w:r>
      <w:r w:rsidR="00793C82">
        <w:rPr>
          <w:rFonts w:ascii="Palatino" w:hAnsi="Palatino"/>
        </w:rPr>
        <w:sym w:font="Symbol" w:char="F06D"/>
      </w:r>
      <w:r w:rsidRPr="004852A0">
        <w:rPr>
          <w:rFonts w:ascii="Palatino" w:hAnsi="Palatino"/>
        </w:rPr>
        <w:t xml:space="preserve">l freshly thawed Cortrosyn. Following injection, two additional blood samples (&lt; 30 </w:t>
      </w:r>
      <w:r w:rsidR="00793C82">
        <w:rPr>
          <w:rFonts w:ascii="Palatino" w:hAnsi="Palatino"/>
        </w:rPr>
        <w:sym w:font="Symbol" w:char="F06D"/>
      </w:r>
      <w:r w:rsidRPr="004852A0">
        <w:rPr>
          <w:rFonts w:ascii="Palatino" w:hAnsi="Palatino"/>
        </w:rPr>
        <w:t xml:space="preserve">l) were collected 15 and 30 minutes after injection. </w:t>
      </w:r>
    </w:p>
    <w:p w14:paraId="24326B84" w14:textId="3704BC79" w:rsidR="004852A0" w:rsidRPr="004852A0" w:rsidRDefault="004852A0" w:rsidP="00292D60">
      <w:pPr>
        <w:ind w:firstLine="720"/>
        <w:rPr>
          <w:rFonts w:ascii="Palatino" w:hAnsi="Palatino"/>
        </w:rPr>
      </w:pPr>
      <w:r w:rsidRPr="004852A0">
        <w:rPr>
          <w:rFonts w:ascii="Palatino" w:hAnsi="Palatino"/>
        </w:rPr>
        <w:t xml:space="preserve">In 2020, we carried out a separate validation experiment on adult females captured during incubation that were not part of the main study presented here. For each female, we collected a baseline blood sample (&lt; 70 </w:t>
      </w:r>
      <w:r w:rsidR="00793C82">
        <w:rPr>
          <w:rFonts w:ascii="Palatino" w:hAnsi="Palatino"/>
        </w:rPr>
        <w:sym w:font="Symbol" w:char="F06D"/>
      </w:r>
      <w:r w:rsidRPr="004852A0">
        <w:rPr>
          <w:rFonts w:ascii="Palatino" w:hAnsi="Palatino"/>
        </w:rPr>
        <w:t xml:space="preserve">l) within 3 minutes of disturbance. All females received a saline injection 50 </w:t>
      </w:r>
      <w:r w:rsidR="00793C82">
        <w:rPr>
          <w:rFonts w:ascii="Palatino" w:hAnsi="Palatino"/>
        </w:rPr>
        <w:sym w:font="Symbol" w:char="F06D"/>
      </w:r>
      <w:r w:rsidRPr="004852A0">
        <w:rPr>
          <w:rFonts w:ascii="Palatino" w:hAnsi="Palatino"/>
        </w:rPr>
        <w:t xml:space="preserve">l immediately after this baseline sample was collected and then had a second blood sample (&lt; 30 </w:t>
      </w:r>
      <w:r w:rsidR="00793C82">
        <w:rPr>
          <w:rFonts w:ascii="Palatino" w:hAnsi="Palatino"/>
        </w:rPr>
        <w:sym w:font="Symbol" w:char="F06D"/>
      </w:r>
      <w:r w:rsidR="00C05BB5">
        <w:rPr>
          <w:rFonts w:ascii="Palatino" w:hAnsi="Palatino"/>
        </w:rPr>
        <w:t>l</w:t>
      </w:r>
      <w:r w:rsidRPr="004852A0">
        <w:rPr>
          <w:rFonts w:ascii="Palatino" w:hAnsi="Palatino"/>
        </w:rPr>
        <w:t xml:space="preserve">) taken 30 minutes later. Immediately after this second sample, females were injected with either an additional saline dose of the same volume (n = 9) or a dose of Cortrosyn (n = 9; 50 </w:t>
      </w:r>
      <w:r w:rsidR="00793C82">
        <w:rPr>
          <w:rFonts w:ascii="Palatino" w:hAnsi="Palatino"/>
        </w:rPr>
        <w:sym w:font="Symbol" w:char="F06D"/>
      </w:r>
      <w:r w:rsidRPr="004852A0">
        <w:rPr>
          <w:rFonts w:ascii="Palatino" w:hAnsi="Palatino"/>
        </w:rPr>
        <w:t xml:space="preserve">l at 0.1 microgram per </w:t>
      </w:r>
      <w:r w:rsidR="00793C82">
        <w:rPr>
          <w:rFonts w:ascii="Palatino" w:hAnsi="Palatino"/>
        </w:rPr>
        <w:sym w:font="Symbol" w:char="F06D"/>
      </w:r>
      <w:r w:rsidRPr="004852A0">
        <w:rPr>
          <w:rFonts w:ascii="Palatino" w:hAnsi="Palatino"/>
        </w:rPr>
        <w:t xml:space="preserve">l). Thirty minutes after this second injection, a final blood sample (&lt; 30 </w:t>
      </w:r>
      <w:r w:rsidR="00793C82">
        <w:rPr>
          <w:rFonts w:ascii="Palatino" w:hAnsi="Palatino"/>
        </w:rPr>
        <w:sym w:font="Symbol" w:char="F06D"/>
      </w:r>
      <w:r w:rsidRPr="004852A0">
        <w:rPr>
          <w:rFonts w:ascii="Palatino" w:hAnsi="Palatino"/>
        </w:rPr>
        <w:t xml:space="preserve">l) was collected. For both adults and nestlings in these validation experiments, blood samples were </w:t>
      </w:r>
      <w:proofErr w:type="gramStart"/>
      <w:r w:rsidRPr="004852A0">
        <w:rPr>
          <w:rFonts w:ascii="Palatino" w:hAnsi="Palatino"/>
        </w:rPr>
        <w:t>processed</w:t>
      </w:r>
      <w:proofErr w:type="gramEnd"/>
      <w:r w:rsidRPr="004852A0">
        <w:rPr>
          <w:rFonts w:ascii="Palatino" w:hAnsi="Palatino"/>
        </w:rPr>
        <w:t xml:space="preserve"> and corticosterone measured exactly as described </w:t>
      </w:r>
      <w:r w:rsidR="00C05BB5">
        <w:rPr>
          <w:rFonts w:ascii="Palatino" w:hAnsi="Palatino"/>
        </w:rPr>
        <w:t>in the main text</w:t>
      </w:r>
      <w:r w:rsidRPr="004852A0">
        <w:rPr>
          <w:rFonts w:ascii="Palatino" w:hAnsi="Palatino"/>
        </w:rPr>
        <w:t>.</w:t>
      </w:r>
    </w:p>
    <w:p w14:paraId="69AF91B8" w14:textId="3CDD320C" w:rsidR="005A2FA5" w:rsidRPr="004852A0" w:rsidRDefault="004852A0" w:rsidP="00292D60">
      <w:pPr>
        <w:ind w:firstLine="720"/>
        <w:rPr>
          <w:rFonts w:ascii="Palatino" w:hAnsi="Palatino"/>
        </w:rPr>
      </w:pPr>
      <w:r w:rsidRPr="004852A0">
        <w:rPr>
          <w:rFonts w:ascii="Palatino" w:hAnsi="Palatino"/>
        </w:rPr>
        <w:t>To compare corticosterone between treatment groups, we fit a single model for each dataset (adults and nestlings). For nestlings, we fit a linear mixed model with corticosterone measurement as the response, an interaction between treatment and sampling time point (fit as a factor) as predictors, and individual identity as a random effect. Because multiple nestlings were sampled from the same nest, this model included a random effect for nest of origin. For adults, we fit a similar model, except that there was no need for a random effect for nest since only one female was sampled at each nest. We used the full models to compare circulating corticosterone in saline versus Cortrosyn injected birds at each of the three timepoints. Significance in these mixed models was assessed with p-values based on the Satterthwaite's Method implemented by the `</w:t>
      </w:r>
      <w:proofErr w:type="spellStart"/>
      <w:r w:rsidRPr="004852A0">
        <w:rPr>
          <w:rFonts w:ascii="Palatino" w:hAnsi="Palatino"/>
        </w:rPr>
        <w:t>lmerTest</w:t>
      </w:r>
      <w:proofErr w:type="spellEnd"/>
      <w:r w:rsidRPr="004852A0">
        <w:rPr>
          <w:rFonts w:ascii="Palatino" w:hAnsi="Palatino"/>
        </w:rPr>
        <w:t>` package in R</w:t>
      </w:r>
      <w:r w:rsidR="00DE52A2">
        <w:rPr>
          <w:rFonts w:ascii="Palatino" w:hAnsi="Palatino"/>
        </w:rPr>
        <w:t xml:space="preserve"> </w:t>
      </w:r>
      <w:r w:rsidR="00DE52A2">
        <w:rPr>
          <w:rFonts w:ascii="Palatino" w:hAnsi="Palatino"/>
        </w:rPr>
        <w:fldChar w:fldCharType="begin"/>
      </w:r>
      <w:r w:rsidR="00DE52A2">
        <w:rPr>
          <w:rFonts w:ascii="Palatino" w:hAnsi="Palatino"/>
        </w:rPr>
        <w:instrText xml:space="preserve"> ADDIN ZOTERO_ITEM CSL_CITATION {"citationID":"XCpK0ebI","properties":{"formattedCitation":"(Kuznetsova et al., 2017)","plainCitation":"(Kuznetsova et al., 2017)","noteIndex":0},"citationItems":[{"id":71183,"uris":["http://zotero.org/users/4289944/items/386SSALN"],"uri":["http://zotero.org/users/4289944/items/386SSALN"],"itemData":{"id":71183,"type":"article-journal","container-title":"Journal of Statistical Software","DOI":"10.18637/jss.v082.i13","ISSN":"1548-7660","issue":"13","journalAbbreviation":"J. Stat. Soft.","language":"en","source":"DOI.org (Crossref)","title":"'lmerTest' Package: Tests in Linear Mixed Effects Models","title-short":"&lt;b&gt;lmerTest&lt;/b&gt; Package","URL":"http://www.jstatsoft.org/v82/i13/","volume":"82","author":[{"family":"Kuznetsova","given":"Alexandra"},{"family":"Brockhoff","given":"Per B."},{"family":"Christensen","given":"Rune H. B."}],"accessed":{"date-parts":[["2020",9,24]]},"issued":{"date-parts":[["2017"]]}}}],"schema":"https://github.com/citation-style-language/schema/raw/master/csl-citation.json"} </w:instrText>
      </w:r>
      <w:r w:rsidR="00DE52A2">
        <w:rPr>
          <w:rFonts w:ascii="Palatino" w:hAnsi="Palatino"/>
        </w:rPr>
        <w:fldChar w:fldCharType="separate"/>
      </w:r>
      <w:r w:rsidR="00DE52A2">
        <w:rPr>
          <w:rFonts w:ascii="Palatino" w:hAnsi="Palatino"/>
          <w:noProof/>
        </w:rPr>
        <w:t>(Kuznetsova et al., 2017)</w:t>
      </w:r>
      <w:r w:rsidR="00DE52A2">
        <w:rPr>
          <w:rFonts w:ascii="Palatino" w:hAnsi="Palatino"/>
        </w:rPr>
        <w:fldChar w:fldCharType="end"/>
      </w:r>
      <w:r w:rsidRPr="004852A0">
        <w:rPr>
          <w:rFonts w:ascii="Palatino" w:hAnsi="Palatino"/>
        </w:rPr>
        <w:t>.</w:t>
      </w:r>
    </w:p>
    <w:p w14:paraId="25251455" w14:textId="32EC754C" w:rsidR="005A2FA5" w:rsidRDefault="005A2FA5" w:rsidP="003C4490">
      <w:pPr>
        <w:rPr>
          <w:rFonts w:ascii="Palatino" w:hAnsi="Palatino"/>
          <w:b/>
          <w:bCs/>
          <w:i/>
          <w:iCs/>
        </w:rPr>
      </w:pPr>
    </w:p>
    <w:p w14:paraId="345CAD5E" w14:textId="15C49B67" w:rsidR="005A2FA5" w:rsidRDefault="007205A3" w:rsidP="003C4490">
      <w:pPr>
        <w:rPr>
          <w:rFonts w:ascii="Palatino" w:hAnsi="Palatino"/>
          <w:b/>
          <w:bCs/>
        </w:rPr>
      </w:pPr>
      <w:r>
        <w:rPr>
          <w:rFonts w:ascii="Palatino" w:hAnsi="Palatino"/>
          <w:b/>
          <w:bCs/>
        </w:rPr>
        <w:t>SUPPLEMENTARY RESULTS</w:t>
      </w:r>
    </w:p>
    <w:p w14:paraId="6E4AA9D8" w14:textId="2456933D" w:rsidR="005A2FA5" w:rsidRDefault="005A2FA5" w:rsidP="003C4490">
      <w:pPr>
        <w:rPr>
          <w:rFonts w:ascii="Palatino" w:hAnsi="Palatino"/>
          <w:b/>
          <w:bCs/>
        </w:rPr>
      </w:pPr>
    </w:p>
    <w:p w14:paraId="2FC745A6" w14:textId="0361530F" w:rsidR="00613A6A" w:rsidRPr="00613A6A" w:rsidRDefault="00613A6A" w:rsidP="00613A6A">
      <w:pPr>
        <w:ind w:firstLine="720"/>
        <w:rPr>
          <w:rFonts w:ascii="Palatino" w:hAnsi="Palatino"/>
        </w:rPr>
      </w:pPr>
      <w:r w:rsidRPr="00613A6A">
        <w:rPr>
          <w:rFonts w:ascii="Palatino" w:hAnsi="Palatino"/>
        </w:rPr>
        <w:t>Injection with Cortrosyn led to a clear increase in circulating corticosterone in both nestlings (Figure S</w:t>
      </w:r>
      <w:r w:rsidR="00457E5E">
        <w:rPr>
          <w:rFonts w:ascii="Palatino" w:hAnsi="Palatino"/>
        </w:rPr>
        <w:t>1</w:t>
      </w:r>
      <w:r w:rsidRPr="00613A6A">
        <w:rPr>
          <w:rFonts w:ascii="Palatino" w:hAnsi="Palatino"/>
        </w:rPr>
        <w:t>) and adults (Figure S</w:t>
      </w:r>
      <w:r w:rsidR="00457E5E">
        <w:rPr>
          <w:rFonts w:ascii="Palatino" w:hAnsi="Palatino"/>
        </w:rPr>
        <w:t>2</w:t>
      </w:r>
      <w:r w:rsidRPr="00613A6A">
        <w:rPr>
          <w:rFonts w:ascii="Palatino" w:hAnsi="Palatino"/>
        </w:rPr>
        <w:t>). For nestlings, corticoste</w:t>
      </w:r>
      <w:r w:rsidR="007C46D2">
        <w:rPr>
          <w:rFonts w:ascii="Palatino" w:hAnsi="Palatino"/>
        </w:rPr>
        <w:t>r</w:t>
      </w:r>
      <w:r w:rsidRPr="00613A6A">
        <w:rPr>
          <w:rFonts w:ascii="Palatino" w:hAnsi="Palatino"/>
        </w:rPr>
        <w:t xml:space="preserve">one increased in both groups from baseline to 15 </w:t>
      </w:r>
      <w:r w:rsidR="00220120" w:rsidRPr="00613A6A">
        <w:rPr>
          <w:rFonts w:ascii="Palatino" w:hAnsi="Palatino"/>
        </w:rPr>
        <w:t>minutes but</w:t>
      </w:r>
      <w:r w:rsidRPr="00613A6A">
        <w:rPr>
          <w:rFonts w:ascii="Palatino" w:hAnsi="Palatino"/>
        </w:rPr>
        <w:t xml:space="preserve"> increased significantly more in the </w:t>
      </w:r>
      <w:r w:rsidRPr="00613A6A">
        <w:rPr>
          <w:rFonts w:ascii="Palatino" w:hAnsi="Palatino"/>
        </w:rPr>
        <w:lastRenderedPageBreak/>
        <w:t xml:space="preserve">Cortrosyn injected group when compared to saline injection. From 15 to 30 minutes, saline injected nestlings declined in circulating corticosterone, but </w:t>
      </w:r>
      <w:proofErr w:type="spellStart"/>
      <w:r w:rsidRPr="00613A6A">
        <w:rPr>
          <w:rFonts w:ascii="Palatino" w:hAnsi="Palatino"/>
        </w:rPr>
        <w:t>Cotrosyn</w:t>
      </w:r>
      <w:proofErr w:type="spellEnd"/>
      <w:r w:rsidRPr="00613A6A">
        <w:rPr>
          <w:rFonts w:ascii="Palatino" w:hAnsi="Palatino"/>
        </w:rPr>
        <w:t xml:space="preserve"> injected nestlings continued to rise, resulting in an even larger difference in circulating corticosterone between the two groups at 30 minutes (Table S2, P &lt; 0.003). </w:t>
      </w:r>
    </w:p>
    <w:p w14:paraId="285B5D35" w14:textId="0AC7B8F1" w:rsidR="00D968F3" w:rsidRPr="00613A6A" w:rsidRDefault="00613A6A" w:rsidP="00613A6A">
      <w:pPr>
        <w:ind w:firstLine="720"/>
        <w:rPr>
          <w:rFonts w:ascii="Palatino" w:hAnsi="Palatino"/>
        </w:rPr>
      </w:pPr>
      <w:r w:rsidRPr="00613A6A">
        <w:rPr>
          <w:rFonts w:ascii="Palatino" w:hAnsi="Palatino"/>
        </w:rPr>
        <w:t>Adult females similarly increased circulating corticosterone from baseline to 30 minutes. The two treatment groups did not differ at the first or second timepoint (before Cortrosyn was injected). However, by the final timepoint (30 minutes after injection), the Cortrosyn injected group had significantly higher circulating corticosterone. This difference was driven by a continued increase in corticosterone from 30 to 60 minutes in the Cortrosyn group coupled with a stable circulating level from 30 to 60 minutes in the saline injected group (Table S2, P &lt; 0.001).</w:t>
      </w:r>
    </w:p>
    <w:p w14:paraId="04DF9079" w14:textId="0FB631A6" w:rsidR="005A2FA5" w:rsidRDefault="005A2FA5" w:rsidP="003C4490">
      <w:pPr>
        <w:rPr>
          <w:rFonts w:ascii="Palatino" w:hAnsi="Palatino"/>
          <w:b/>
          <w:bCs/>
        </w:rPr>
      </w:pPr>
    </w:p>
    <w:p w14:paraId="5B9B6FEA" w14:textId="792CCC81" w:rsidR="005A2FA5" w:rsidRDefault="007205A3" w:rsidP="003C4490">
      <w:pPr>
        <w:rPr>
          <w:rFonts w:ascii="Palatino" w:hAnsi="Palatino"/>
          <w:b/>
          <w:bCs/>
        </w:rPr>
      </w:pPr>
      <w:r>
        <w:rPr>
          <w:rFonts w:ascii="Palatino" w:hAnsi="Palatino"/>
          <w:b/>
          <w:bCs/>
        </w:rPr>
        <w:t>SUPPLEMENTARY TABLES &amp; FIGURES</w:t>
      </w:r>
    </w:p>
    <w:p w14:paraId="73883045" w14:textId="1BB463C8" w:rsidR="00D968F3" w:rsidRDefault="00D968F3" w:rsidP="003C4490">
      <w:pPr>
        <w:rPr>
          <w:rFonts w:ascii="Palatino" w:hAnsi="Palatino"/>
          <w:b/>
          <w:bCs/>
        </w:rPr>
      </w:pPr>
    </w:p>
    <w:p w14:paraId="2A7358DB" w14:textId="7E6D4304" w:rsidR="000B236A" w:rsidRDefault="00AD1922" w:rsidP="003C4490">
      <w:pPr>
        <w:rPr>
          <w:rFonts w:ascii="Palatino" w:hAnsi="Palatino"/>
          <w:i/>
          <w:iCs/>
        </w:rPr>
      </w:pPr>
      <w:r>
        <w:rPr>
          <w:rFonts w:ascii="Palatino" w:hAnsi="Palatino"/>
          <w:i/>
          <w:iCs/>
          <w:noProof/>
        </w:rPr>
        <w:drawing>
          <wp:inline distT="0" distB="0" distL="0" distR="0" wp14:anchorId="13B735ED" wp14:editId="2BDB74A9">
            <wp:extent cx="3924578" cy="3270482"/>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8959" cy="3282466"/>
                    </a:xfrm>
                    <a:prstGeom prst="rect">
                      <a:avLst/>
                    </a:prstGeom>
                  </pic:spPr>
                </pic:pic>
              </a:graphicData>
            </a:graphic>
          </wp:inline>
        </w:drawing>
      </w:r>
    </w:p>
    <w:p w14:paraId="7132FF98" w14:textId="682F54BA" w:rsidR="00E278D0" w:rsidRPr="00E92CE9" w:rsidRDefault="00AD1922" w:rsidP="003C4490">
      <w:pPr>
        <w:rPr>
          <w:rFonts w:ascii="Palatino" w:hAnsi="Palatino"/>
          <w:sz w:val="18"/>
          <w:szCs w:val="18"/>
        </w:rPr>
      </w:pPr>
      <w:r w:rsidRPr="00E92CE9">
        <w:rPr>
          <w:rFonts w:ascii="Palatino" w:hAnsi="Palatino"/>
          <w:b/>
          <w:bCs/>
          <w:sz w:val="18"/>
          <w:szCs w:val="18"/>
        </w:rPr>
        <w:t xml:space="preserve">Figure S1. </w:t>
      </w:r>
      <w:r w:rsidR="007F0BD8" w:rsidRPr="00E92CE9">
        <w:rPr>
          <w:rFonts w:ascii="Palatino" w:hAnsi="Palatino"/>
          <w:sz w:val="18"/>
          <w:szCs w:val="18"/>
        </w:rPr>
        <w:t>Circulating corticosterone before and after Cortrosyn or saline injection in adult females.</w:t>
      </w:r>
    </w:p>
    <w:p w14:paraId="5C669AF4" w14:textId="0A31DDF5" w:rsidR="00E278D0" w:rsidRDefault="00BC3F90" w:rsidP="003C4490">
      <w:pPr>
        <w:rPr>
          <w:rFonts w:ascii="Palatino" w:hAnsi="Palatino"/>
          <w:i/>
          <w:iCs/>
        </w:rPr>
      </w:pPr>
      <w:r>
        <w:rPr>
          <w:rFonts w:ascii="Palatino" w:hAnsi="Palatino"/>
          <w:i/>
          <w:iCs/>
          <w:noProof/>
        </w:rPr>
        <w:lastRenderedPageBreak/>
        <w:drawing>
          <wp:inline distT="0" distB="0" distL="0" distR="0" wp14:anchorId="43DE5712" wp14:editId="2117D6D8">
            <wp:extent cx="3884531" cy="3237109"/>
            <wp:effectExtent l="0" t="0" r="1905"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3322" cy="3244435"/>
                    </a:xfrm>
                    <a:prstGeom prst="rect">
                      <a:avLst/>
                    </a:prstGeom>
                  </pic:spPr>
                </pic:pic>
              </a:graphicData>
            </a:graphic>
          </wp:inline>
        </w:drawing>
      </w:r>
    </w:p>
    <w:p w14:paraId="361CA5FE" w14:textId="2168E4C1" w:rsidR="00BC3F90" w:rsidRPr="00E92CE9" w:rsidRDefault="00BC3F90" w:rsidP="003C4490">
      <w:pPr>
        <w:rPr>
          <w:rFonts w:ascii="Palatino" w:hAnsi="Palatino"/>
          <w:sz w:val="18"/>
          <w:szCs w:val="18"/>
        </w:rPr>
      </w:pPr>
      <w:r w:rsidRPr="00E92CE9">
        <w:rPr>
          <w:rFonts w:ascii="Palatino" w:hAnsi="Palatino"/>
          <w:b/>
          <w:bCs/>
          <w:sz w:val="18"/>
          <w:szCs w:val="18"/>
        </w:rPr>
        <w:t>Figure S</w:t>
      </w:r>
      <w:r w:rsidR="00FD3438">
        <w:rPr>
          <w:rFonts w:ascii="Palatino" w:hAnsi="Palatino"/>
          <w:b/>
          <w:bCs/>
          <w:sz w:val="18"/>
          <w:szCs w:val="18"/>
        </w:rPr>
        <w:t>2</w:t>
      </w:r>
      <w:r w:rsidRPr="00E92CE9">
        <w:rPr>
          <w:rFonts w:ascii="Palatino" w:hAnsi="Palatino"/>
          <w:b/>
          <w:bCs/>
          <w:sz w:val="18"/>
          <w:szCs w:val="18"/>
        </w:rPr>
        <w:t xml:space="preserve">. </w:t>
      </w:r>
      <w:r w:rsidRPr="00E92CE9">
        <w:rPr>
          <w:rFonts w:ascii="Palatino" w:hAnsi="Palatino"/>
          <w:sz w:val="18"/>
          <w:szCs w:val="18"/>
        </w:rPr>
        <w:t xml:space="preserve">Circulating corticosterone before and after Cortrosyn or saline injection in </w:t>
      </w:r>
      <w:proofErr w:type="gramStart"/>
      <w:r w:rsidRPr="00E92CE9">
        <w:rPr>
          <w:rFonts w:ascii="Palatino" w:hAnsi="Palatino"/>
          <w:sz w:val="18"/>
          <w:szCs w:val="18"/>
        </w:rPr>
        <w:t>15 day</w:t>
      </w:r>
      <w:proofErr w:type="gramEnd"/>
      <w:r w:rsidRPr="00E92CE9">
        <w:rPr>
          <w:rFonts w:ascii="Palatino" w:hAnsi="Palatino"/>
          <w:sz w:val="18"/>
          <w:szCs w:val="18"/>
        </w:rPr>
        <w:t xml:space="preserve"> old nestling tree swallows.</w:t>
      </w:r>
    </w:p>
    <w:p w14:paraId="47C4381B" w14:textId="168D5343" w:rsidR="00AD1922" w:rsidRDefault="00AD1922" w:rsidP="003C4490">
      <w:pPr>
        <w:rPr>
          <w:rFonts w:ascii="Palatino" w:hAnsi="Palatino"/>
          <w:b/>
          <w:bCs/>
        </w:rPr>
      </w:pPr>
    </w:p>
    <w:p w14:paraId="46BFF90C" w14:textId="77777777" w:rsidR="00E92CE9" w:rsidRDefault="00E92CE9" w:rsidP="003C4490">
      <w:pPr>
        <w:rPr>
          <w:rFonts w:ascii="Palatino" w:hAnsi="Palatino"/>
          <w:b/>
          <w:bCs/>
        </w:rPr>
      </w:pPr>
    </w:p>
    <w:p w14:paraId="35B8A287" w14:textId="514DF81F" w:rsidR="00BE388D" w:rsidRPr="00E92CE9" w:rsidRDefault="00E278D0" w:rsidP="003C4490">
      <w:pPr>
        <w:rPr>
          <w:rFonts w:ascii="Palatino" w:hAnsi="Palatino"/>
          <w:sz w:val="18"/>
          <w:szCs w:val="18"/>
        </w:rPr>
      </w:pPr>
      <w:r w:rsidRPr="00E92CE9">
        <w:rPr>
          <w:rFonts w:ascii="Palatino" w:hAnsi="Palatino"/>
          <w:b/>
          <w:bCs/>
          <w:sz w:val="18"/>
          <w:szCs w:val="18"/>
        </w:rPr>
        <w:t xml:space="preserve">Table S1. </w:t>
      </w:r>
      <w:r w:rsidR="00334B9E" w:rsidRPr="00E92CE9">
        <w:rPr>
          <w:rFonts w:ascii="Palatino" w:hAnsi="Palatino"/>
          <w:sz w:val="18"/>
          <w:szCs w:val="18"/>
        </w:rPr>
        <w:t xml:space="preserve">Model details for the effect of Cortrosyn injection on nestling and adult circulating corticosterone level. </w:t>
      </w:r>
      <w:r w:rsidR="00773130" w:rsidRPr="00E92CE9">
        <w:rPr>
          <w:rFonts w:ascii="Palatino" w:hAnsi="Palatino"/>
          <w:sz w:val="18"/>
          <w:szCs w:val="18"/>
        </w:rPr>
        <w:t xml:space="preserve">Timepoints 2 and 3 are at </w:t>
      </w:r>
      <w:r w:rsidR="0023702C" w:rsidRPr="00E92CE9">
        <w:rPr>
          <w:rFonts w:ascii="Palatino" w:hAnsi="Palatino"/>
          <w:sz w:val="18"/>
          <w:szCs w:val="18"/>
        </w:rPr>
        <w:t>15- and 30-minutes</w:t>
      </w:r>
      <w:r w:rsidR="00773130" w:rsidRPr="00E92CE9">
        <w:rPr>
          <w:rFonts w:ascii="Palatino" w:hAnsi="Palatino"/>
          <w:sz w:val="18"/>
          <w:szCs w:val="18"/>
        </w:rPr>
        <w:t xml:space="preserve"> post injection for nestlings and at 30 and 60 minutes for adults.</w:t>
      </w:r>
      <w:r w:rsidR="00932201" w:rsidRPr="00E92CE9">
        <w:rPr>
          <w:rFonts w:ascii="Palatino" w:hAnsi="Palatino"/>
          <w:sz w:val="18"/>
          <w:szCs w:val="18"/>
        </w:rPr>
        <w:t xml:space="preserve"> </w:t>
      </w:r>
    </w:p>
    <w:p w14:paraId="63F008C5" w14:textId="4259F5E0" w:rsidR="005A2FA5" w:rsidRDefault="00DF5E06" w:rsidP="003C4490">
      <w:pPr>
        <w:rPr>
          <w:rFonts w:ascii="Palatino" w:hAnsi="Palatino"/>
          <w:b/>
          <w:bCs/>
        </w:rPr>
      </w:pPr>
      <w:r>
        <w:rPr>
          <w:rFonts w:ascii="Palatino" w:hAnsi="Palatino"/>
          <w:b/>
          <w:bCs/>
          <w:noProof/>
        </w:rPr>
        <w:drawing>
          <wp:inline distT="0" distB="0" distL="0" distR="0" wp14:anchorId="4F84501C" wp14:editId="7CC31572">
            <wp:extent cx="4852327" cy="3842981"/>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1355" cy="3850131"/>
                    </a:xfrm>
                    <a:prstGeom prst="rect">
                      <a:avLst/>
                    </a:prstGeom>
                  </pic:spPr>
                </pic:pic>
              </a:graphicData>
            </a:graphic>
          </wp:inline>
        </w:drawing>
      </w:r>
    </w:p>
    <w:p w14:paraId="016F926F" w14:textId="77777777" w:rsidR="00E92CE9" w:rsidRDefault="00E92CE9" w:rsidP="003C4490">
      <w:pPr>
        <w:rPr>
          <w:rFonts w:ascii="Palatino" w:hAnsi="Palatino"/>
          <w:b/>
          <w:bCs/>
          <w:sz w:val="18"/>
          <w:szCs w:val="18"/>
        </w:rPr>
      </w:pPr>
    </w:p>
    <w:p w14:paraId="3AF1E5DC" w14:textId="77777777" w:rsidR="00E92CE9" w:rsidRDefault="00E92CE9" w:rsidP="003C4490">
      <w:pPr>
        <w:rPr>
          <w:rFonts w:ascii="Palatino" w:hAnsi="Palatino"/>
          <w:b/>
          <w:bCs/>
          <w:sz w:val="18"/>
          <w:szCs w:val="18"/>
        </w:rPr>
      </w:pPr>
    </w:p>
    <w:p w14:paraId="2369C3BC" w14:textId="3BF4D73C" w:rsidR="00093C1C" w:rsidRPr="00E92CE9" w:rsidRDefault="001B48EA" w:rsidP="003C4490">
      <w:pPr>
        <w:rPr>
          <w:rFonts w:ascii="Palatino" w:hAnsi="Palatino"/>
          <w:sz w:val="18"/>
          <w:szCs w:val="18"/>
        </w:rPr>
      </w:pPr>
      <w:r w:rsidRPr="00E92CE9">
        <w:rPr>
          <w:rFonts w:ascii="Palatino" w:hAnsi="Palatino"/>
          <w:b/>
          <w:bCs/>
          <w:sz w:val="18"/>
          <w:szCs w:val="18"/>
        </w:rPr>
        <w:lastRenderedPageBreak/>
        <w:t>Table S2.</w:t>
      </w:r>
      <w:r w:rsidRPr="00E92CE9">
        <w:rPr>
          <w:rFonts w:ascii="Palatino" w:hAnsi="Palatino"/>
          <w:sz w:val="18"/>
          <w:szCs w:val="18"/>
        </w:rPr>
        <w:t xml:space="preserve"> </w:t>
      </w:r>
      <w:r w:rsidR="007224F6" w:rsidRPr="00E92CE9">
        <w:rPr>
          <w:rFonts w:ascii="Palatino" w:hAnsi="Palatino"/>
          <w:sz w:val="18"/>
          <w:szCs w:val="18"/>
        </w:rPr>
        <w:t>Total s</w:t>
      </w:r>
      <w:r w:rsidRPr="00E92CE9">
        <w:rPr>
          <w:rFonts w:ascii="Palatino" w:hAnsi="Palatino"/>
          <w:sz w:val="18"/>
          <w:szCs w:val="18"/>
        </w:rPr>
        <w:t>ample sizes for</w:t>
      </w:r>
      <w:r w:rsidR="003F7D99" w:rsidRPr="00E92CE9">
        <w:rPr>
          <w:rFonts w:ascii="Palatino" w:hAnsi="Palatino"/>
          <w:sz w:val="18"/>
          <w:szCs w:val="18"/>
        </w:rPr>
        <w:t xml:space="preserve"> glucose measurements</w:t>
      </w:r>
      <w:r w:rsidRPr="00E92CE9">
        <w:rPr>
          <w:rFonts w:ascii="Palatino" w:hAnsi="Palatino"/>
          <w:sz w:val="18"/>
          <w:szCs w:val="18"/>
        </w:rPr>
        <w:t xml:space="preserve"> by year, location, and sample type.</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tblGrid>
      <w:tr w:rsidR="00160AC7" w:rsidRPr="007F54CD" w14:paraId="6F2C8B64" w14:textId="77777777" w:rsidTr="00D34AEE">
        <w:trPr>
          <w:jc w:val="center"/>
        </w:trPr>
        <w:tc>
          <w:tcPr>
            <w:tcW w:w="935" w:type="dxa"/>
          </w:tcPr>
          <w:p w14:paraId="3AF6F1BF" w14:textId="77777777" w:rsidR="00160AC7" w:rsidRPr="007F54CD" w:rsidRDefault="00160AC7" w:rsidP="003C4490">
            <w:pPr>
              <w:rPr>
                <w:rFonts w:ascii="Palatino" w:hAnsi="Palatino"/>
                <w:sz w:val="16"/>
                <w:szCs w:val="16"/>
              </w:rPr>
            </w:pPr>
          </w:p>
        </w:tc>
        <w:tc>
          <w:tcPr>
            <w:tcW w:w="935" w:type="dxa"/>
          </w:tcPr>
          <w:p w14:paraId="2EA50A0C" w14:textId="77777777" w:rsidR="00160AC7" w:rsidRPr="007F54CD" w:rsidRDefault="00160AC7" w:rsidP="003C4490">
            <w:pPr>
              <w:rPr>
                <w:rFonts w:ascii="Palatino" w:hAnsi="Palatino"/>
                <w:sz w:val="16"/>
                <w:szCs w:val="16"/>
              </w:rPr>
            </w:pPr>
          </w:p>
        </w:tc>
        <w:tc>
          <w:tcPr>
            <w:tcW w:w="2805" w:type="dxa"/>
            <w:gridSpan w:val="3"/>
          </w:tcPr>
          <w:p w14:paraId="40DAA1DE" w14:textId="4AD829F2" w:rsidR="00160AC7" w:rsidRPr="007F54CD" w:rsidRDefault="00160AC7" w:rsidP="007F54CD">
            <w:pPr>
              <w:jc w:val="center"/>
              <w:rPr>
                <w:rFonts w:ascii="Palatino" w:hAnsi="Palatino"/>
                <w:sz w:val="16"/>
                <w:szCs w:val="16"/>
              </w:rPr>
            </w:pPr>
            <w:r w:rsidRPr="007F54CD">
              <w:rPr>
                <w:rFonts w:ascii="Palatino" w:hAnsi="Palatino"/>
                <w:sz w:val="16"/>
                <w:szCs w:val="16"/>
              </w:rPr>
              <w:t>Adults</w:t>
            </w:r>
          </w:p>
        </w:tc>
        <w:tc>
          <w:tcPr>
            <w:tcW w:w="2805" w:type="dxa"/>
            <w:gridSpan w:val="3"/>
          </w:tcPr>
          <w:p w14:paraId="0BC06698" w14:textId="4DE0F86C" w:rsidR="00160AC7" w:rsidRPr="007F54CD" w:rsidRDefault="00160AC7" w:rsidP="007F54CD">
            <w:pPr>
              <w:jc w:val="center"/>
              <w:rPr>
                <w:rFonts w:ascii="Palatino" w:hAnsi="Palatino"/>
                <w:sz w:val="16"/>
                <w:szCs w:val="16"/>
              </w:rPr>
            </w:pPr>
            <w:r w:rsidRPr="007F54CD">
              <w:rPr>
                <w:rFonts w:ascii="Palatino" w:hAnsi="Palatino"/>
                <w:sz w:val="16"/>
                <w:szCs w:val="16"/>
              </w:rPr>
              <w:t>Nestlings</w:t>
            </w:r>
          </w:p>
        </w:tc>
      </w:tr>
      <w:tr w:rsidR="00160AC7" w:rsidRPr="007F54CD" w14:paraId="4134039E" w14:textId="77777777" w:rsidTr="00D34AEE">
        <w:trPr>
          <w:jc w:val="center"/>
        </w:trPr>
        <w:tc>
          <w:tcPr>
            <w:tcW w:w="935" w:type="dxa"/>
          </w:tcPr>
          <w:p w14:paraId="1709DB55" w14:textId="439FE4AC" w:rsidR="00160AC7" w:rsidRPr="007F54CD" w:rsidRDefault="00160AC7" w:rsidP="007F54CD">
            <w:pPr>
              <w:jc w:val="center"/>
              <w:rPr>
                <w:rFonts w:ascii="Palatino" w:hAnsi="Palatino"/>
                <w:sz w:val="16"/>
                <w:szCs w:val="16"/>
              </w:rPr>
            </w:pPr>
            <w:r w:rsidRPr="007F54CD">
              <w:rPr>
                <w:rFonts w:ascii="Palatino" w:hAnsi="Palatino"/>
                <w:sz w:val="16"/>
                <w:szCs w:val="16"/>
              </w:rPr>
              <w:t>State</w:t>
            </w:r>
          </w:p>
        </w:tc>
        <w:tc>
          <w:tcPr>
            <w:tcW w:w="935" w:type="dxa"/>
          </w:tcPr>
          <w:p w14:paraId="70301322" w14:textId="0BF41FBB" w:rsidR="00160AC7" w:rsidRPr="007F54CD" w:rsidRDefault="00160AC7" w:rsidP="007F54CD">
            <w:pPr>
              <w:jc w:val="center"/>
              <w:rPr>
                <w:rFonts w:ascii="Palatino" w:hAnsi="Palatino"/>
                <w:sz w:val="16"/>
                <w:szCs w:val="16"/>
              </w:rPr>
            </w:pPr>
            <w:r w:rsidRPr="007F54CD">
              <w:rPr>
                <w:rFonts w:ascii="Palatino" w:hAnsi="Palatino"/>
                <w:sz w:val="16"/>
                <w:szCs w:val="16"/>
              </w:rPr>
              <w:t>Year</w:t>
            </w:r>
          </w:p>
        </w:tc>
        <w:tc>
          <w:tcPr>
            <w:tcW w:w="935" w:type="dxa"/>
          </w:tcPr>
          <w:p w14:paraId="7F5AF596" w14:textId="6F0A5959" w:rsidR="00160AC7" w:rsidRPr="007F54CD" w:rsidRDefault="00160AC7" w:rsidP="007F54CD">
            <w:pPr>
              <w:jc w:val="center"/>
              <w:rPr>
                <w:rFonts w:ascii="Palatino" w:hAnsi="Palatino"/>
                <w:sz w:val="16"/>
                <w:szCs w:val="16"/>
              </w:rPr>
            </w:pPr>
            <w:r w:rsidRPr="007F54CD">
              <w:rPr>
                <w:rFonts w:ascii="Palatino" w:hAnsi="Palatino"/>
                <w:sz w:val="16"/>
                <w:szCs w:val="16"/>
              </w:rPr>
              <w:t>Base</w:t>
            </w:r>
          </w:p>
        </w:tc>
        <w:tc>
          <w:tcPr>
            <w:tcW w:w="935" w:type="dxa"/>
          </w:tcPr>
          <w:p w14:paraId="5F8C6D9B" w14:textId="24E87949" w:rsidR="00160AC7" w:rsidRPr="007F54CD" w:rsidRDefault="00160AC7" w:rsidP="007F54CD">
            <w:pPr>
              <w:jc w:val="center"/>
              <w:rPr>
                <w:rFonts w:ascii="Palatino" w:hAnsi="Palatino"/>
                <w:sz w:val="16"/>
                <w:szCs w:val="16"/>
              </w:rPr>
            </w:pPr>
            <w:r w:rsidRPr="007F54CD">
              <w:rPr>
                <w:rFonts w:ascii="Palatino" w:hAnsi="Palatino"/>
                <w:sz w:val="16"/>
                <w:szCs w:val="16"/>
              </w:rPr>
              <w:t>Induced</w:t>
            </w:r>
          </w:p>
        </w:tc>
        <w:tc>
          <w:tcPr>
            <w:tcW w:w="935" w:type="dxa"/>
          </w:tcPr>
          <w:p w14:paraId="5A8F320E" w14:textId="16C3C81A" w:rsidR="00160AC7" w:rsidRPr="007F54CD" w:rsidRDefault="00160AC7" w:rsidP="007F54CD">
            <w:pPr>
              <w:jc w:val="center"/>
              <w:rPr>
                <w:rFonts w:ascii="Palatino" w:hAnsi="Palatino"/>
                <w:sz w:val="16"/>
                <w:szCs w:val="16"/>
              </w:rPr>
            </w:pPr>
            <w:r w:rsidRPr="007F54CD">
              <w:rPr>
                <w:rFonts w:ascii="Palatino" w:hAnsi="Palatino"/>
                <w:sz w:val="16"/>
                <w:szCs w:val="16"/>
              </w:rPr>
              <w:t>Post-Cortrosyn</w:t>
            </w:r>
          </w:p>
        </w:tc>
        <w:tc>
          <w:tcPr>
            <w:tcW w:w="935" w:type="dxa"/>
          </w:tcPr>
          <w:p w14:paraId="428039D9" w14:textId="18149D3A" w:rsidR="00160AC7" w:rsidRPr="007F54CD" w:rsidRDefault="00160AC7" w:rsidP="007F54CD">
            <w:pPr>
              <w:jc w:val="center"/>
              <w:rPr>
                <w:rFonts w:ascii="Palatino" w:hAnsi="Palatino"/>
                <w:sz w:val="16"/>
                <w:szCs w:val="16"/>
              </w:rPr>
            </w:pPr>
            <w:r w:rsidRPr="007F54CD">
              <w:rPr>
                <w:rFonts w:ascii="Palatino" w:hAnsi="Palatino"/>
                <w:sz w:val="16"/>
                <w:szCs w:val="16"/>
              </w:rPr>
              <w:t>Base</w:t>
            </w:r>
          </w:p>
        </w:tc>
        <w:tc>
          <w:tcPr>
            <w:tcW w:w="935" w:type="dxa"/>
          </w:tcPr>
          <w:p w14:paraId="4C380FD9" w14:textId="38138B53" w:rsidR="00160AC7" w:rsidRPr="007F54CD" w:rsidRDefault="00160AC7" w:rsidP="007F54CD">
            <w:pPr>
              <w:jc w:val="center"/>
              <w:rPr>
                <w:rFonts w:ascii="Palatino" w:hAnsi="Palatino"/>
                <w:sz w:val="16"/>
                <w:szCs w:val="16"/>
              </w:rPr>
            </w:pPr>
            <w:r w:rsidRPr="007F54CD">
              <w:rPr>
                <w:rFonts w:ascii="Palatino" w:hAnsi="Palatino"/>
                <w:sz w:val="16"/>
                <w:szCs w:val="16"/>
              </w:rPr>
              <w:t>Induced</w:t>
            </w:r>
          </w:p>
        </w:tc>
        <w:tc>
          <w:tcPr>
            <w:tcW w:w="935" w:type="dxa"/>
          </w:tcPr>
          <w:p w14:paraId="25AEE280" w14:textId="34F1689B" w:rsidR="00160AC7" w:rsidRPr="007F54CD" w:rsidRDefault="00160AC7" w:rsidP="007F54CD">
            <w:pPr>
              <w:jc w:val="center"/>
              <w:rPr>
                <w:rFonts w:ascii="Palatino" w:hAnsi="Palatino"/>
                <w:sz w:val="16"/>
                <w:szCs w:val="16"/>
              </w:rPr>
            </w:pPr>
            <w:r w:rsidRPr="007F54CD">
              <w:rPr>
                <w:rFonts w:ascii="Palatino" w:hAnsi="Palatino"/>
                <w:sz w:val="16"/>
                <w:szCs w:val="16"/>
              </w:rPr>
              <w:t>Post-Cortrosyn</w:t>
            </w:r>
          </w:p>
        </w:tc>
      </w:tr>
      <w:tr w:rsidR="00160AC7" w:rsidRPr="007F54CD" w14:paraId="566F2333" w14:textId="77777777" w:rsidTr="00D34AEE">
        <w:trPr>
          <w:jc w:val="center"/>
        </w:trPr>
        <w:tc>
          <w:tcPr>
            <w:tcW w:w="935" w:type="dxa"/>
          </w:tcPr>
          <w:p w14:paraId="037BAA4E" w14:textId="5617096C" w:rsidR="00160AC7" w:rsidRPr="007F54CD" w:rsidRDefault="00160AC7" w:rsidP="007F54CD">
            <w:pPr>
              <w:jc w:val="center"/>
              <w:rPr>
                <w:rFonts w:ascii="Palatino" w:hAnsi="Palatino"/>
                <w:sz w:val="16"/>
                <w:szCs w:val="16"/>
              </w:rPr>
            </w:pPr>
            <w:r>
              <w:rPr>
                <w:rFonts w:ascii="Palatino" w:hAnsi="Palatino"/>
                <w:sz w:val="16"/>
                <w:szCs w:val="16"/>
              </w:rPr>
              <w:t>NY</w:t>
            </w:r>
          </w:p>
        </w:tc>
        <w:tc>
          <w:tcPr>
            <w:tcW w:w="935" w:type="dxa"/>
          </w:tcPr>
          <w:p w14:paraId="3A412703" w14:textId="16144904" w:rsidR="00160AC7" w:rsidRPr="007F54CD" w:rsidRDefault="00160AC7" w:rsidP="007F54CD">
            <w:pPr>
              <w:jc w:val="center"/>
              <w:rPr>
                <w:rFonts w:ascii="Palatino" w:hAnsi="Palatino"/>
                <w:sz w:val="16"/>
                <w:szCs w:val="16"/>
              </w:rPr>
            </w:pPr>
            <w:r>
              <w:rPr>
                <w:rFonts w:ascii="Palatino" w:hAnsi="Palatino"/>
                <w:sz w:val="16"/>
                <w:szCs w:val="16"/>
              </w:rPr>
              <w:t>2016</w:t>
            </w:r>
          </w:p>
        </w:tc>
        <w:tc>
          <w:tcPr>
            <w:tcW w:w="935" w:type="dxa"/>
          </w:tcPr>
          <w:p w14:paraId="70826C2A" w14:textId="5D065250" w:rsidR="00160AC7" w:rsidRPr="007F54CD" w:rsidRDefault="00160AC7" w:rsidP="007F54CD">
            <w:pPr>
              <w:jc w:val="center"/>
              <w:rPr>
                <w:rFonts w:ascii="Palatino" w:hAnsi="Palatino"/>
                <w:sz w:val="16"/>
                <w:szCs w:val="16"/>
              </w:rPr>
            </w:pPr>
            <w:r>
              <w:rPr>
                <w:rFonts w:ascii="Palatino" w:hAnsi="Palatino"/>
                <w:sz w:val="16"/>
                <w:szCs w:val="16"/>
              </w:rPr>
              <w:t>244</w:t>
            </w:r>
          </w:p>
        </w:tc>
        <w:tc>
          <w:tcPr>
            <w:tcW w:w="935" w:type="dxa"/>
          </w:tcPr>
          <w:p w14:paraId="567C6B70" w14:textId="52A12C0F" w:rsidR="00160AC7" w:rsidRPr="007F54CD" w:rsidRDefault="00160AC7" w:rsidP="007F54CD">
            <w:pPr>
              <w:jc w:val="center"/>
              <w:rPr>
                <w:rFonts w:ascii="Palatino" w:hAnsi="Palatino"/>
                <w:sz w:val="16"/>
                <w:szCs w:val="16"/>
              </w:rPr>
            </w:pPr>
            <w:r>
              <w:rPr>
                <w:rFonts w:ascii="Palatino" w:hAnsi="Palatino"/>
                <w:sz w:val="16"/>
                <w:szCs w:val="16"/>
              </w:rPr>
              <w:t>178</w:t>
            </w:r>
          </w:p>
        </w:tc>
        <w:tc>
          <w:tcPr>
            <w:tcW w:w="935" w:type="dxa"/>
          </w:tcPr>
          <w:p w14:paraId="71CB3348" w14:textId="624B4748"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1B7B4EF7" w14:textId="1662FF87"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64910C4E" w14:textId="6EF19FFA"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1AB615CD" w14:textId="183FD446" w:rsidR="00160AC7" w:rsidRPr="007F54CD" w:rsidRDefault="00160AC7" w:rsidP="007F54CD">
            <w:pPr>
              <w:jc w:val="center"/>
              <w:rPr>
                <w:rFonts w:ascii="Palatino" w:hAnsi="Palatino"/>
                <w:sz w:val="16"/>
                <w:szCs w:val="16"/>
              </w:rPr>
            </w:pPr>
            <w:r>
              <w:rPr>
                <w:rFonts w:ascii="Palatino" w:hAnsi="Palatino"/>
                <w:sz w:val="16"/>
                <w:szCs w:val="16"/>
              </w:rPr>
              <w:t>-</w:t>
            </w:r>
          </w:p>
        </w:tc>
      </w:tr>
      <w:tr w:rsidR="00160AC7" w:rsidRPr="007F54CD" w14:paraId="0FD28E21" w14:textId="77777777" w:rsidTr="00D34AEE">
        <w:trPr>
          <w:jc w:val="center"/>
        </w:trPr>
        <w:tc>
          <w:tcPr>
            <w:tcW w:w="935" w:type="dxa"/>
          </w:tcPr>
          <w:p w14:paraId="00A6518B" w14:textId="310DD2E4" w:rsidR="00160AC7" w:rsidRPr="007F54CD" w:rsidRDefault="00160AC7" w:rsidP="007F54CD">
            <w:pPr>
              <w:jc w:val="center"/>
              <w:rPr>
                <w:rFonts w:ascii="Palatino" w:hAnsi="Palatino"/>
                <w:sz w:val="16"/>
                <w:szCs w:val="16"/>
              </w:rPr>
            </w:pPr>
            <w:r>
              <w:rPr>
                <w:rFonts w:ascii="Palatino" w:hAnsi="Palatino"/>
                <w:sz w:val="16"/>
                <w:szCs w:val="16"/>
              </w:rPr>
              <w:t>NY</w:t>
            </w:r>
          </w:p>
        </w:tc>
        <w:tc>
          <w:tcPr>
            <w:tcW w:w="935" w:type="dxa"/>
          </w:tcPr>
          <w:p w14:paraId="0792F833" w14:textId="19EF0A40" w:rsidR="00160AC7" w:rsidRPr="007F54CD" w:rsidRDefault="00160AC7" w:rsidP="007F54CD">
            <w:pPr>
              <w:jc w:val="center"/>
              <w:rPr>
                <w:rFonts w:ascii="Palatino" w:hAnsi="Palatino"/>
                <w:sz w:val="16"/>
                <w:szCs w:val="16"/>
              </w:rPr>
            </w:pPr>
            <w:r>
              <w:rPr>
                <w:rFonts w:ascii="Palatino" w:hAnsi="Palatino"/>
                <w:sz w:val="16"/>
                <w:szCs w:val="16"/>
              </w:rPr>
              <w:t>2017</w:t>
            </w:r>
          </w:p>
        </w:tc>
        <w:tc>
          <w:tcPr>
            <w:tcW w:w="935" w:type="dxa"/>
          </w:tcPr>
          <w:p w14:paraId="2C486092" w14:textId="291966F9" w:rsidR="00160AC7" w:rsidRPr="007F54CD" w:rsidRDefault="00160AC7" w:rsidP="007F54CD">
            <w:pPr>
              <w:jc w:val="center"/>
              <w:rPr>
                <w:rFonts w:ascii="Palatino" w:hAnsi="Palatino"/>
                <w:sz w:val="16"/>
                <w:szCs w:val="16"/>
              </w:rPr>
            </w:pPr>
            <w:r>
              <w:rPr>
                <w:rFonts w:ascii="Palatino" w:hAnsi="Palatino"/>
                <w:sz w:val="16"/>
                <w:szCs w:val="16"/>
              </w:rPr>
              <w:t>140</w:t>
            </w:r>
          </w:p>
        </w:tc>
        <w:tc>
          <w:tcPr>
            <w:tcW w:w="935" w:type="dxa"/>
          </w:tcPr>
          <w:p w14:paraId="6FAD8E2D" w14:textId="30FE134D" w:rsidR="00160AC7" w:rsidRPr="007F54CD" w:rsidRDefault="00160AC7" w:rsidP="007F54CD">
            <w:pPr>
              <w:jc w:val="center"/>
              <w:rPr>
                <w:rFonts w:ascii="Palatino" w:hAnsi="Palatino"/>
                <w:sz w:val="16"/>
                <w:szCs w:val="16"/>
              </w:rPr>
            </w:pPr>
            <w:r>
              <w:rPr>
                <w:rFonts w:ascii="Palatino" w:hAnsi="Palatino"/>
                <w:sz w:val="16"/>
                <w:szCs w:val="16"/>
              </w:rPr>
              <w:t>138</w:t>
            </w:r>
          </w:p>
        </w:tc>
        <w:tc>
          <w:tcPr>
            <w:tcW w:w="935" w:type="dxa"/>
          </w:tcPr>
          <w:p w14:paraId="1FBB282E" w14:textId="4AFB96B3"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6A013F81" w14:textId="63BF5233"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4CEE2D0D" w14:textId="3DC16763"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7383514B" w14:textId="2F05036A" w:rsidR="00160AC7" w:rsidRPr="007F54CD" w:rsidRDefault="00160AC7" w:rsidP="007F54CD">
            <w:pPr>
              <w:jc w:val="center"/>
              <w:rPr>
                <w:rFonts w:ascii="Palatino" w:hAnsi="Palatino"/>
                <w:sz w:val="16"/>
                <w:szCs w:val="16"/>
              </w:rPr>
            </w:pPr>
            <w:r>
              <w:rPr>
                <w:rFonts w:ascii="Palatino" w:hAnsi="Palatino"/>
                <w:sz w:val="16"/>
                <w:szCs w:val="16"/>
              </w:rPr>
              <w:t>-</w:t>
            </w:r>
          </w:p>
        </w:tc>
      </w:tr>
      <w:tr w:rsidR="00160AC7" w:rsidRPr="007F54CD" w14:paraId="7B7A69D4" w14:textId="77777777" w:rsidTr="00D34AEE">
        <w:trPr>
          <w:jc w:val="center"/>
        </w:trPr>
        <w:tc>
          <w:tcPr>
            <w:tcW w:w="935" w:type="dxa"/>
          </w:tcPr>
          <w:p w14:paraId="1BA34069" w14:textId="11A706B5" w:rsidR="00160AC7" w:rsidRPr="007F54CD" w:rsidRDefault="00160AC7" w:rsidP="007F54CD">
            <w:pPr>
              <w:jc w:val="center"/>
              <w:rPr>
                <w:rFonts w:ascii="Palatino" w:hAnsi="Palatino"/>
                <w:sz w:val="16"/>
                <w:szCs w:val="16"/>
              </w:rPr>
            </w:pPr>
            <w:r>
              <w:rPr>
                <w:rFonts w:ascii="Palatino" w:hAnsi="Palatino"/>
                <w:sz w:val="16"/>
                <w:szCs w:val="16"/>
              </w:rPr>
              <w:t>NY</w:t>
            </w:r>
          </w:p>
        </w:tc>
        <w:tc>
          <w:tcPr>
            <w:tcW w:w="935" w:type="dxa"/>
          </w:tcPr>
          <w:p w14:paraId="60EACD5D" w14:textId="4C3E93C1" w:rsidR="00160AC7" w:rsidRPr="007F54CD" w:rsidRDefault="00160AC7" w:rsidP="007F54CD">
            <w:pPr>
              <w:jc w:val="center"/>
              <w:rPr>
                <w:rFonts w:ascii="Palatino" w:hAnsi="Palatino"/>
                <w:sz w:val="16"/>
                <w:szCs w:val="16"/>
              </w:rPr>
            </w:pPr>
            <w:r>
              <w:rPr>
                <w:rFonts w:ascii="Palatino" w:hAnsi="Palatino"/>
                <w:sz w:val="16"/>
                <w:szCs w:val="16"/>
              </w:rPr>
              <w:t>2018</w:t>
            </w:r>
          </w:p>
        </w:tc>
        <w:tc>
          <w:tcPr>
            <w:tcW w:w="935" w:type="dxa"/>
          </w:tcPr>
          <w:p w14:paraId="2AD56518" w14:textId="020998DE" w:rsidR="00160AC7" w:rsidRPr="007F54CD" w:rsidRDefault="00160AC7" w:rsidP="007F54CD">
            <w:pPr>
              <w:jc w:val="center"/>
              <w:rPr>
                <w:rFonts w:ascii="Palatino" w:hAnsi="Palatino"/>
                <w:sz w:val="16"/>
                <w:szCs w:val="16"/>
              </w:rPr>
            </w:pPr>
            <w:r>
              <w:rPr>
                <w:rFonts w:ascii="Palatino" w:hAnsi="Palatino"/>
                <w:sz w:val="16"/>
                <w:szCs w:val="16"/>
              </w:rPr>
              <w:t>188</w:t>
            </w:r>
          </w:p>
        </w:tc>
        <w:tc>
          <w:tcPr>
            <w:tcW w:w="935" w:type="dxa"/>
          </w:tcPr>
          <w:p w14:paraId="57940A4E" w14:textId="769A2C65" w:rsidR="00160AC7" w:rsidRPr="007F54CD" w:rsidRDefault="00160AC7" w:rsidP="007F54CD">
            <w:pPr>
              <w:jc w:val="center"/>
              <w:rPr>
                <w:rFonts w:ascii="Palatino" w:hAnsi="Palatino"/>
                <w:sz w:val="16"/>
                <w:szCs w:val="16"/>
              </w:rPr>
            </w:pPr>
            <w:r>
              <w:rPr>
                <w:rFonts w:ascii="Palatino" w:hAnsi="Palatino"/>
                <w:sz w:val="16"/>
                <w:szCs w:val="16"/>
              </w:rPr>
              <w:t>123</w:t>
            </w:r>
          </w:p>
        </w:tc>
        <w:tc>
          <w:tcPr>
            <w:tcW w:w="935" w:type="dxa"/>
          </w:tcPr>
          <w:p w14:paraId="1F64A600" w14:textId="6395100C"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7341110F" w14:textId="334EAC09"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22385C18" w14:textId="6C2AA36B"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7D2E7CE5" w14:textId="459B2F11" w:rsidR="00160AC7" w:rsidRPr="007F54CD" w:rsidRDefault="00160AC7" w:rsidP="007F54CD">
            <w:pPr>
              <w:jc w:val="center"/>
              <w:rPr>
                <w:rFonts w:ascii="Palatino" w:hAnsi="Palatino"/>
                <w:sz w:val="16"/>
                <w:szCs w:val="16"/>
              </w:rPr>
            </w:pPr>
            <w:r>
              <w:rPr>
                <w:rFonts w:ascii="Palatino" w:hAnsi="Palatino"/>
                <w:sz w:val="16"/>
                <w:szCs w:val="16"/>
              </w:rPr>
              <w:t>-</w:t>
            </w:r>
          </w:p>
        </w:tc>
      </w:tr>
      <w:tr w:rsidR="00160AC7" w:rsidRPr="007F54CD" w14:paraId="7837E218" w14:textId="77777777" w:rsidTr="00D34AEE">
        <w:trPr>
          <w:jc w:val="center"/>
        </w:trPr>
        <w:tc>
          <w:tcPr>
            <w:tcW w:w="935" w:type="dxa"/>
          </w:tcPr>
          <w:p w14:paraId="223AE7F9" w14:textId="67BD6FE6" w:rsidR="00160AC7" w:rsidRPr="007F54CD" w:rsidRDefault="00160AC7" w:rsidP="007F54CD">
            <w:pPr>
              <w:jc w:val="center"/>
              <w:rPr>
                <w:rFonts w:ascii="Palatino" w:hAnsi="Palatino"/>
                <w:sz w:val="16"/>
                <w:szCs w:val="16"/>
              </w:rPr>
            </w:pPr>
            <w:r>
              <w:rPr>
                <w:rFonts w:ascii="Palatino" w:hAnsi="Palatino"/>
                <w:sz w:val="16"/>
                <w:szCs w:val="16"/>
              </w:rPr>
              <w:t>NY</w:t>
            </w:r>
          </w:p>
        </w:tc>
        <w:tc>
          <w:tcPr>
            <w:tcW w:w="935" w:type="dxa"/>
          </w:tcPr>
          <w:p w14:paraId="48E1FBF8" w14:textId="6278379E" w:rsidR="00160AC7" w:rsidRPr="007F54CD" w:rsidRDefault="00160AC7" w:rsidP="007F54CD">
            <w:pPr>
              <w:jc w:val="center"/>
              <w:rPr>
                <w:rFonts w:ascii="Palatino" w:hAnsi="Palatino"/>
                <w:sz w:val="16"/>
                <w:szCs w:val="16"/>
              </w:rPr>
            </w:pPr>
            <w:r>
              <w:rPr>
                <w:rFonts w:ascii="Palatino" w:hAnsi="Palatino"/>
                <w:sz w:val="16"/>
                <w:szCs w:val="16"/>
              </w:rPr>
              <w:t>2019</w:t>
            </w:r>
          </w:p>
        </w:tc>
        <w:tc>
          <w:tcPr>
            <w:tcW w:w="935" w:type="dxa"/>
          </w:tcPr>
          <w:p w14:paraId="208C41FF" w14:textId="7022C1D9" w:rsidR="00160AC7" w:rsidRPr="007F54CD" w:rsidRDefault="00160AC7" w:rsidP="007F54CD">
            <w:pPr>
              <w:jc w:val="center"/>
              <w:rPr>
                <w:rFonts w:ascii="Palatino" w:hAnsi="Palatino"/>
                <w:sz w:val="16"/>
                <w:szCs w:val="16"/>
              </w:rPr>
            </w:pPr>
            <w:r>
              <w:rPr>
                <w:rFonts w:ascii="Palatino" w:hAnsi="Palatino"/>
                <w:sz w:val="16"/>
                <w:szCs w:val="16"/>
              </w:rPr>
              <w:t>204</w:t>
            </w:r>
          </w:p>
        </w:tc>
        <w:tc>
          <w:tcPr>
            <w:tcW w:w="935" w:type="dxa"/>
          </w:tcPr>
          <w:p w14:paraId="3FCC9280" w14:textId="020E955E" w:rsidR="00160AC7" w:rsidRPr="007F54CD" w:rsidRDefault="00160AC7" w:rsidP="007F54CD">
            <w:pPr>
              <w:jc w:val="center"/>
              <w:rPr>
                <w:rFonts w:ascii="Palatino" w:hAnsi="Palatino"/>
                <w:sz w:val="16"/>
                <w:szCs w:val="16"/>
              </w:rPr>
            </w:pPr>
            <w:r>
              <w:rPr>
                <w:rFonts w:ascii="Palatino" w:hAnsi="Palatino"/>
                <w:sz w:val="16"/>
                <w:szCs w:val="16"/>
              </w:rPr>
              <w:t>147</w:t>
            </w:r>
          </w:p>
        </w:tc>
        <w:tc>
          <w:tcPr>
            <w:tcW w:w="935" w:type="dxa"/>
          </w:tcPr>
          <w:p w14:paraId="469CEB06" w14:textId="0916F56A" w:rsidR="00160AC7" w:rsidRPr="007F54CD" w:rsidRDefault="00160AC7" w:rsidP="007F54CD">
            <w:pPr>
              <w:jc w:val="center"/>
              <w:rPr>
                <w:rFonts w:ascii="Palatino" w:hAnsi="Palatino"/>
                <w:sz w:val="16"/>
                <w:szCs w:val="16"/>
              </w:rPr>
            </w:pPr>
            <w:r>
              <w:rPr>
                <w:rFonts w:ascii="Palatino" w:hAnsi="Palatino"/>
                <w:sz w:val="16"/>
                <w:szCs w:val="16"/>
              </w:rPr>
              <w:t>45</w:t>
            </w:r>
          </w:p>
        </w:tc>
        <w:tc>
          <w:tcPr>
            <w:tcW w:w="935" w:type="dxa"/>
          </w:tcPr>
          <w:p w14:paraId="0CF125FE" w14:textId="23177A03" w:rsidR="00160AC7" w:rsidRPr="007F54CD" w:rsidRDefault="00160AC7" w:rsidP="007F54CD">
            <w:pPr>
              <w:jc w:val="center"/>
              <w:rPr>
                <w:rFonts w:ascii="Palatino" w:hAnsi="Palatino"/>
                <w:sz w:val="16"/>
                <w:szCs w:val="16"/>
              </w:rPr>
            </w:pPr>
            <w:r>
              <w:rPr>
                <w:rFonts w:ascii="Palatino" w:hAnsi="Palatino"/>
                <w:sz w:val="16"/>
                <w:szCs w:val="16"/>
              </w:rPr>
              <w:t>185</w:t>
            </w:r>
          </w:p>
        </w:tc>
        <w:tc>
          <w:tcPr>
            <w:tcW w:w="935" w:type="dxa"/>
          </w:tcPr>
          <w:p w14:paraId="1A4B2877" w14:textId="3988B5C1" w:rsidR="00160AC7" w:rsidRPr="007F54CD" w:rsidRDefault="00160AC7" w:rsidP="007F54CD">
            <w:pPr>
              <w:jc w:val="center"/>
              <w:rPr>
                <w:rFonts w:ascii="Palatino" w:hAnsi="Palatino"/>
                <w:sz w:val="16"/>
                <w:szCs w:val="16"/>
              </w:rPr>
            </w:pPr>
            <w:r>
              <w:rPr>
                <w:rFonts w:ascii="Palatino" w:hAnsi="Palatino"/>
                <w:sz w:val="16"/>
                <w:szCs w:val="16"/>
              </w:rPr>
              <w:t>177</w:t>
            </w:r>
          </w:p>
        </w:tc>
        <w:tc>
          <w:tcPr>
            <w:tcW w:w="935" w:type="dxa"/>
          </w:tcPr>
          <w:p w14:paraId="76F6E18D" w14:textId="08B217FB" w:rsidR="00160AC7" w:rsidRPr="007F54CD" w:rsidRDefault="00160AC7" w:rsidP="007F54CD">
            <w:pPr>
              <w:jc w:val="center"/>
              <w:rPr>
                <w:rFonts w:ascii="Palatino" w:hAnsi="Palatino"/>
                <w:sz w:val="16"/>
                <w:szCs w:val="16"/>
              </w:rPr>
            </w:pPr>
            <w:r>
              <w:rPr>
                <w:rFonts w:ascii="Palatino" w:hAnsi="Palatino"/>
                <w:sz w:val="16"/>
                <w:szCs w:val="16"/>
              </w:rPr>
              <w:t>159</w:t>
            </w:r>
          </w:p>
        </w:tc>
      </w:tr>
      <w:tr w:rsidR="00160AC7" w:rsidRPr="007F54CD" w14:paraId="0737DD21" w14:textId="77777777" w:rsidTr="00D34AEE">
        <w:trPr>
          <w:jc w:val="center"/>
        </w:trPr>
        <w:tc>
          <w:tcPr>
            <w:tcW w:w="935" w:type="dxa"/>
          </w:tcPr>
          <w:p w14:paraId="12E9A6F0" w14:textId="00824BE2" w:rsidR="00160AC7" w:rsidRPr="007F54CD" w:rsidRDefault="00160AC7" w:rsidP="007F54CD">
            <w:pPr>
              <w:jc w:val="center"/>
              <w:rPr>
                <w:rFonts w:ascii="Palatino" w:hAnsi="Palatino"/>
                <w:sz w:val="16"/>
                <w:szCs w:val="16"/>
              </w:rPr>
            </w:pPr>
            <w:r>
              <w:rPr>
                <w:rFonts w:ascii="Palatino" w:hAnsi="Palatino"/>
                <w:sz w:val="16"/>
                <w:szCs w:val="16"/>
              </w:rPr>
              <w:t>AK</w:t>
            </w:r>
          </w:p>
        </w:tc>
        <w:tc>
          <w:tcPr>
            <w:tcW w:w="935" w:type="dxa"/>
          </w:tcPr>
          <w:p w14:paraId="28B5EE2D" w14:textId="382737BB" w:rsidR="00160AC7" w:rsidRPr="007F54CD" w:rsidRDefault="00160AC7" w:rsidP="007F54CD">
            <w:pPr>
              <w:jc w:val="center"/>
              <w:rPr>
                <w:rFonts w:ascii="Palatino" w:hAnsi="Palatino"/>
                <w:sz w:val="16"/>
                <w:szCs w:val="16"/>
              </w:rPr>
            </w:pPr>
            <w:r>
              <w:rPr>
                <w:rFonts w:ascii="Palatino" w:hAnsi="Palatino"/>
                <w:sz w:val="16"/>
                <w:szCs w:val="16"/>
              </w:rPr>
              <w:t>2016</w:t>
            </w:r>
          </w:p>
        </w:tc>
        <w:tc>
          <w:tcPr>
            <w:tcW w:w="935" w:type="dxa"/>
          </w:tcPr>
          <w:p w14:paraId="667EF589" w14:textId="0BE7AABB" w:rsidR="00160AC7" w:rsidRPr="007F54CD" w:rsidRDefault="00417699" w:rsidP="007F54CD">
            <w:pPr>
              <w:jc w:val="center"/>
              <w:rPr>
                <w:rFonts w:ascii="Palatino" w:hAnsi="Palatino"/>
                <w:sz w:val="16"/>
                <w:szCs w:val="16"/>
              </w:rPr>
            </w:pPr>
            <w:r>
              <w:rPr>
                <w:rFonts w:ascii="Palatino" w:hAnsi="Palatino"/>
                <w:sz w:val="16"/>
                <w:szCs w:val="16"/>
              </w:rPr>
              <w:t>117</w:t>
            </w:r>
          </w:p>
        </w:tc>
        <w:tc>
          <w:tcPr>
            <w:tcW w:w="935" w:type="dxa"/>
          </w:tcPr>
          <w:p w14:paraId="2F9E63A9" w14:textId="52B1C490" w:rsidR="00160AC7" w:rsidRPr="007F54CD" w:rsidRDefault="005E2519" w:rsidP="007F54CD">
            <w:pPr>
              <w:jc w:val="center"/>
              <w:rPr>
                <w:rFonts w:ascii="Palatino" w:hAnsi="Palatino"/>
                <w:sz w:val="16"/>
                <w:szCs w:val="16"/>
              </w:rPr>
            </w:pPr>
            <w:r>
              <w:rPr>
                <w:rFonts w:ascii="Palatino" w:hAnsi="Palatino"/>
                <w:sz w:val="16"/>
                <w:szCs w:val="16"/>
              </w:rPr>
              <w:t>84</w:t>
            </w:r>
          </w:p>
        </w:tc>
        <w:tc>
          <w:tcPr>
            <w:tcW w:w="935" w:type="dxa"/>
          </w:tcPr>
          <w:p w14:paraId="4E3AEFD4" w14:textId="1C95DC68"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460F6B7C" w14:textId="1F052471"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589B5B39" w14:textId="2353D0E7"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4897EBA4" w14:textId="52DB2162" w:rsidR="00160AC7" w:rsidRPr="007F54CD" w:rsidRDefault="00160AC7" w:rsidP="007F54CD">
            <w:pPr>
              <w:jc w:val="center"/>
              <w:rPr>
                <w:rFonts w:ascii="Palatino" w:hAnsi="Palatino"/>
                <w:sz w:val="16"/>
                <w:szCs w:val="16"/>
              </w:rPr>
            </w:pPr>
            <w:r>
              <w:rPr>
                <w:rFonts w:ascii="Palatino" w:hAnsi="Palatino"/>
                <w:sz w:val="16"/>
                <w:szCs w:val="16"/>
              </w:rPr>
              <w:t>-</w:t>
            </w:r>
          </w:p>
        </w:tc>
      </w:tr>
      <w:tr w:rsidR="00160AC7" w:rsidRPr="007F54CD" w14:paraId="5181B5E0" w14:textId="77777777" w:rsidTr="00D34AEE">
        <w:trPr>
          <w:jc w:val="center"/>
        </w:trPr>
        <w:tc>
          <w:tcPr>
            <w:tcW w:w="935" w:type="dxa"/>
          </w:tcPr>
          <w:p w14:paraId="052AF9B5" w14:textId="1ADF2DFF" w:rsidR="00160AC7" w:rsidRPr="007F54CD" w:rsidRDefault="00160AC7" w:rsidP="007F54CD">
            <w:pPr>
              <w:jc w:val="center"/>
              <w:rPr>
                <w:rFonts w:ascii="Palatino" w:hAnsi="Palatino"/>
                <w:sz w:val="16"/>
                <w:szCs w:val="16"/>
              </w:rPr>
            </w:pPr>
            <w:r>
              <w:rPr>
                <w:rFonts w:ascii="Palatino" w:hAnsi="Palatino"/>
                <w:sz w:val="16"/>
                <w:szCs w:val="16"/>
              </w:rPr>
              <w:t>AK</w:t>
            </w:r>
          </w:p>
        </w:tc>
        <w:tc>
          <w:tcPr>
            <w:tcW w:w="935" w:type="dxa"/>
          </w:tcPr>
          <w:p w14:paraId="5CBA4981" w14:textId="5AC45B3D" w:rsidR="00160AC7" w:rsidRPr="007F54CD" w:rsidRDefault="00160AC7" w:rsidP="007F54CD">
            <w:pPr>
              <w:jc w:val="center"/>
              <w:rPr>
                <w:rFonts w:ascii="Palatino" w:hAnsi="Palatino"/>
                <w:sz w:val="16"/>
                <w:szCs w:val="16"/>
              </w:rPr>
            </w:pPr>
            <w:r>
              <w:rPr>
                <w:rFonts w:ascii="Palatino" w:hAnsi="Palatino"/>
                <w:sz w:val="16"/>
                <w:szCs w:val="16"/>
              </w:rPr>
              <w:t>2017</w:t>
            </w:r>
          </w:p>
        </w:tc>
        <w:tc>
          <w:tcPr>
            <w:tcW w:w="935" w:type="dxa"/>
          </w:tcPr>
          <w:p w14:paraId="71A2AEE7" w14:textId="0BEC2DB7" w:rsidR="00160AC7" w:rsidRPr="007F54CD" w:rsidRDefault="005E2519" w:rsidP="007F54CD">
            <w:pPr>
              <w:jc w:val="center"/>
              <w:rPr>
                <w:rFonts w:ascii="Palatino" w:hAnsi="Palatino"/>
                <w:sz w:val="16"/>
                <w:szCs w:val="16"/>
              </w:rPr>
            </w:pPr>
            <w:r>
              <w:rPr>
                <w:rFonts w:ascii="Palatino" w:hAnsi="Palatino"/>
                <w:sz w:val="16"/>
                <w:szCs w:val="16"/>
              </w:rPr>
              <w:t>134</w:t>
            </w:r>
          </w:p>
        </w:tc>
        <w:tc>
          <w:tcPr>
            <w:tcW w:w="935" w:type="dxa"/>
          </w:tcPr>
          <w:p w14:paraId="091CDA58" w14:textId="41B91E10" w:rsidR="00160AC7" w:rsidRPr="007F54CD" w:rsidRDefault="005E2519" w:rsidP="007F54CD">
            <w:pPr>
              <w:jc w:val="center"/>
              <w:rPr>
                <w:rFonts w:ascii="Palatino" w:hAnsi="Palatino"/>
                <w:sz w:val="16"/>
                <w:szCs w:val="16"/>
              </w:rPr>
            </w:pPr>
            <w:r>
              <w:rPr>
                <w:rFonts w:ascii="Palatino" w:hAnsi="Palatino"/>
                <w:sz w:val="16"/>
                <w:szCs w:val="16"/>
              </w:rPr>
              <w:t>100</w:t>
            </w:r>
          </w:p>
        </w:tc>
        <w:tc>
          <w:tcPr>
            <w:tcW w:w="935" w:type="dxa"/>
          </w:tcPr>
          <w:p w14:paraId="650D10E1" w14:textId="62E3D8A5"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414D6CD1" w14:textId="3B9C8B9C"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5254690A" w14:textId="7FA4C5CC"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5C9EC1E8" w14:textId="47F8C1F3" w:rsidR="00160AC7" w:rsidRPr="007F54CD" w:rsidRDefault="00160AC7" w:rsidP="007F54CD">
            <w:pPr>
              <w:jc w:val="center"/>
              <w:rPr>
                <w:rFonts w:ascii="Palatino" w:hAnsi="Palatino"/>
                <w:sz w:val="16"/>
                <w:szCs w:val="16"/>
              </w:rPr>
            </w:pPr>
            <w:r>
              <w:rPr>
                <w:rFonts w:ascii="Palatino" w:hAnsi="Palatino"/>
                <w:sz w:val="16"/>
                <w:szCs w:val="16"/>
              </w:rPr>
              <w:t>-</w:t>
            </w:r>
          </w:p>
        </w:tc>
      </w:tr>
      <w:tr w:rsidR="00160AC7" w:rsidRPr="007F54CD" w14:paraId="75C1656B" w14:textId="77777777" w:rsidTr="00D34AEE">
        <w:trPr>
          <w:jc w:val="center"/>
        </w:trPr>
        <w:tc>
          <w:tcPr>
            <w:tcW w:w="935" w:type="dxa"/>
          </w:tcPr>
          <w:p w14:paraId="782B2EFC" w14:textId="2E886124" w:rsidR="00160AC7" w:rsidRPr="007F54CD" w:rsidRDefault="00160AC7" w:rsidP="007F54CD">
            <w:pPr>
              <w:jc w:val="center"/>
              <w:rPr>
                <w:rFonts w:ascii="Palatino" w:hAnsi="Palatino"/>
                <w:sz w:val="16"/>
                <w:szCs w:val="16"/>
              </w:rPr>
            </w:pPr>
            <w:r>
              <w:rPr>
                <w:rFonts w:ascii="Palatino" w:hAnsi="Palatino"/>
                <w:sz w:val="16"/>
                <w:szCs w:val="16"/>
              </w:rPr>
              <w:t>TN</w:t>
            </w:r>
          </w:p>
        </w:tc>
        <w:tc>
          <w:tcPr>
            <w:tcW w:w="935" w:type="dxa"/>
          </w:tcPr>
          <w:p w14:paraId="2BB666DE" w14:textId="3C154B57" w:rsidR="00160AC7" w:rsidRPr="007F54CD" w:rsidRDefault="00160AC7" w:rsidP="007F54CD">
            <w:pPr>
              <w:jc w:val="center"/>
              <w:rPr>
                <w:rFonts w:ascii="Palatino" w:hAnsi="Palatino"/>
                <w:sz w:val="16"/>
                <w:szCs w:val="16"/>
              </w:rPr>
            </w:pPr>
            <w:r>
              <w:rPr>
                <w:rFonts w:ascii="Palatino" w:hAnsi="Palatino"/>
                <w:sz w:val="16"/>
                <w:szCs w:val="16"/>
              </w:rPr>
              <w:t>2018</w:t>
            </w:r>
          </w:p>
        </w:tc>
        <w:tc>
          <w:tcPr>
            <w:tcW w:w="935" w:type="dxa"/>
          </w:tcPr>
          <w:p w14:paraId="0F952D17" w14:textId="006D0649" w:rsidR="00160AC7" w:rsidRPr="007F54CD" w:rsidRDefault="005E2519" w:rsidP="007F54CD">
            <w:pPr>
              <w:jc w:val="center"/>
              <w:rPr>
                <w:rFonts w:ascii="Palatino" w:hAnsi="Palatino"/>
                <w:sz w:val="16"/>
                <w:szCs w:val="16"/>
              </w:rPr>
            </w:pPr>
            <w:r>
              <w:rPr>
                <w:rFonts w:ascii="Palatino" w:hAnsi="Palatino"/>
                <w:sz w:val="16"/>
                <w:szCs w:val="16"/>
              </w:rPr>
              <w:t>228</w:t>
            </w:r>
          </w:p>
        </w:tc>
        <w:tc>
          <w:tcPr>
            <w:tcW w:w="935" w:type="dxa"/>
          </w:tcPr>
          <w:p w14:paraId="68EF880C" w14:textId="3DE4649C" w:rsidR="00160AC7" w:rsidRPr="007F54CD" w:rsidRDefault="005E2519" w:rsidP="007F54CD">
            <w:pPr>
              <w:jc w:val="center"/>
              <w:rPr>
                <w:rFonts w:ascii="Palatino" w:hAnsi="Palatino"/>
                <w:sz w:val="16"/>
                <w:szCs w:val="16"/>
              </w:rPr>
            </w:pPr>
            <w:r>
              <w:rPr>
                <w:rFonts w:ascii="Palatino" w:hAnsi="Palatino"/>
                <w:sz w:val="16"/>
                <w:szCs w:val="16"/>
              </w:rPr>
              <w:t>167</w:t>
            </w:r>
          </w:p>
        </w:tc>
        <w:tc>
          <w:tcPr>
            <w:tcW w:w="935" w:type="dxa"/>
          </w:tcPr>
          <w:p w14:paraId="504243AA" w14:textId="0F6184EF"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192AA6B4" w14:textId="2D35543B"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144A07FB" w14:textId="71ED23D0"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45E4CE0B" w14:textId="288BAE63" w:rsidR="00160AC7" w:rsidRPr="007F54CD" w:rsidRDefault="00160AC7" w:rsidP="007F54CD">
            <w:pPr>
              <w:jc w:val="center"/>
              <w:rPr>
                <w:rFonts w:ascii="Palatino" w:hAnsi="Palatino"/>
                <w:sz w:val="16"/>
                <w:szCs w:val="16"/>
              </w:rPr>
            </w:pPr>
            <w:r>
              <w:rPr>
                <w:rFonts w:ascii="Palatino" w:hAnsi="Palatino"/>
                <w:sz w:val="16"/>
                <w:szCs w:val="16"/>
              </w:rPr>
              <w:t>-</w:t>
            </w:r>
          </w:p>
        </w:tc>
      </w:tr>
      <w:tr w:rsidR="00160AC7" w:rsidRPr="007F54CD" w14:paraId="51C48144" w14:textId="77777777" w:rsidTr="00D34AEE">
        <w:trPr>
          <w:jc w:val="center"/>
        </w:trPr>
        <w:tc>
          <w:tcPr>
            <w:tcW w:w="935" w:type="dxa"/>
          </w:tcPr>
          <w:p w14:paraId="4B034A19" w14:textId="48DC94C8" w:rsidR="00160AC7" w:rsidRDefault="00160AC7" w:rsidP="007F54CD">
            <w:pPr>
              <w:jc w:val="center"/>
              <w:rPr>
                <w:rFonts w:ascii="Palatino" w:hAnsi="Palatino"/>
                <w:sz w:val="16"/>
                <w:szCs w:val="16"/>
              </w:rPr>
            </w:pPr>
            <w:r>
              <w:rPr>
                <w:rFonts w:ascii="Palatino" w:hAnsi="Palatino"/>
                <w:sz w:val="16"/>
                <w:szCs w:val="16"/>
              </w:rPr>
              <w:t>WY</w:t>
            </w:r>
          </w:p>
        </w:tc>
        <w:tc>
          <w:tcPr>
            <w:tcW w:w="935" w:type="dxa"/>
          </w:tcPr>
          <w:p w14:paraId="583E7A18" w14:textId="1C928E2F" w:rsidR="00160AC7" w:rsidRDefault="00160AC7" w:rsidP="007F54CD">
            <w:pPr>
              <w:jc w:val="center"/>
              <w:rPr>
                <w:rFonts w:ascii="Palatino" w:hAnsi="Palatino"/>
                <w:sz w:val="16"/>
                <w:szCs w:val="16"/>
              </w:rPr>
            </w:pPr>
            <w:r>
              <w:rPr>
                <w:rFonts w:ascii="Palatino" w:hAnsi="Palatino"/>
                <w:sz w:val="16"/>
                <w:szCs w:val="16"/>
              </w:rPr>
              <w:t>2018</w:t>
            </w:r>
          </w:p>
        </w:tc>
        <w:tc>
          <w:tcPr>
            <w:tcW w:w="935" w:type="dxa"/>
          </w:tcPr>
          <w:p w14:paraId="6FDEE2D4" w14:textId="7BF49E8F" w:rsidR="00160AC7" w:rsidRPr="007F54CD" w:rsidRDefault="005E2519" w:rsidP="007F54CD">
            <w:pPr>
              <w:jc w:val="center"/>
              <w:rPr>
                <w:rFonts w:ascii="Palatino" w:hAnsi="Palatino"/>
                <w:sz w:val="16"/>
                <w:szCs w:val="16"/>
              </w:rPr>
            </w:pPr>
            <w:r>
              <w:rPr>
                <w:rFonts w:ascii="Palatino" w:hAnsi="Palatino"/>
                <w:sz w:val="16"/>
                <w:szCs w:val="16"/>
              </w:rPr>
              <w:t>236</w:t>
            </w:r>
          </w:p>
        </w:tc>
        <w:tc>
          <w:tcPr>
            <w:tcW w:w="935" w:type="dxa"/>
          </w:tcPr>
          <w:p w14:paraId="54B0BF5F" w14:textId="45E957A7" w:rsidR="00160AC7" w:rsidRPr="007F54CD" w:rsidRDefault="005E2519" w:rsidP="007F54CD">
            <w:pPr>
              <w:jc w:val="center"/>
              <w:rPr>
                <w:rFonts w:ascii="Palatino" w:hAnsi="Palatino"/>
                <w:sz w:val="16"/>
                <w:szCs w:val="16"/>
              </w:rPr>
            </w:pPr>
            <w:r>
              <w:rPr>
                <w:rFonts w:ascii="Palatino" w:hAnsi="Palatino"/>
                <w:sz w:val="16"/>
                <w:szCs w:val="16"/>
              </w:rPr>
              <w:t>160</w:t>
            </w:r>
          </w:p>
        </w:tc>
        <w:tc>
          <w:tcPr>
            <w:tcW w:w="935" w:type="dxa"/>
          </w:tcPr>
          <w:p w14:paraId="79681C0D" w14:textId="3F435D67"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2A09054D" w14:textId="11ADD699"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371D2813" w14:textId="550E5BC3" w:rsidR="00160AC7" w:rsidRPr="007F54CD" w:rsidRDefault="00160AC7" w:rsidP="007F54CD">
            <w:pPr>
              <w:jc w:val="center"/>
              <w:rPr>
                <w:rFonts w:ascii="Palatino" w:hAnsi="Palatino"/>
                <w:sz w:val="16"/>
                <w:szCs w:val="16"/>
              </w:rPr>
            </w:pPr>
            <w:r>
              <w:rPr>
                <w:rFonts w:ascii="Palatino" w:hAnsi="Palatino"/>
                <w:sz w:val="16"/>
                <w:szCs w:val="16"/>
              </w:rPr>
              <w:t>-</w:t>
            </w:r>
          </w:p>
        </w:tc>
        <w:tc>
          <w:tcPr>
            <w:tcW w:w="935" w:type="dxa"/>
          </w:tcPr>
          <w:p w14:paraId="682E42C5" w14:textId="7D620F75" w:rsidR="00160AC7" w:rsidRPr="007F54CD" w:rsidRDefault="00160AC7" w:rsidP="007F54CD">
            <w:pPr>
              <w:jc w:val="center"/>
              <w:rPr>
                <w:rFonts w:ascii="Palatino" w:hAnsi="Palatino"/>
                <w:sz w:val="16"/>
                <w:szCs w:val="16"/>
              </w:rPr>
            </w:pPr>
            <w:r>
              <w:rPr>
                <w:rFonts w:ascii="Palatino" w:hAnsi="Palatino"/>
                <w:sz w:val="16"/>
                <w:szCs w:val="16"/>
              </w:rPr>
              <w:t>-</w:t>
            </w:r>
          </w:p>
        </w:tc>
      </w:tr>
    </w:tbl>
    <w:p w14:paraId="1CCD1DE4" w14:textId="77777777" w:rsidR="007F54CD" w:rsidRDefault="007F54CD" w:rsidP="003C4490">
      <w:pPr>
        <w:rPr>
          <w:rFonts w:ascii="Palatino" w:hAnsi="Palatino"/>
        </w:rPr>
      </w:pPr>
    </w:p>
    <w:p w14:paraId="21D5B27F" w14:textId="77777777" w:rsidR="001B48EA" w:rsidRPr="001B48EA" w:rsidRDefault="001B48EA" w:rsidP="003C4490">
      <w:pPr>
        <w:rPr>
          <w:rFonts w:ascii="Palatino" w:hAnsi="Palatino"/>
        </w:rPr>
      </w:pPr>
    </w:p>
    <w:p w14:paraId="1390C89B" w14:textId="77777777" w:rsidR="001B48EA" w:rsidRDefault="001B48EA" w:rsidP="003C4490">
      <w:pPr>
        <w:rPr>
          <w:rFonts w:ascii="Palatino" w:hAnsi="Palatino"/>
          <w:b/>
          <w:bCs/>
        </w:rPr>
      </w:pPr>
    </w:p>
    <w:p w14:paraId="79AF995C" w14:textId="63F89EC7" w:rsidR="00E92CE9" w:rsidRPr="0060456B" w:rsidRDefault="00747971" w:rsidP="003C4490">
      <w:pPr>
        <w:rPr>
          <w:rFonts w:ascii="Palatino" w:hAnsi="Palatino"/>
        </w:rPr>
      </w:pPr>
      <w:r w:rsidRPr="00E92CE9">
        <w:rPr>
          <w:rFonts w:ascii="Palatino" w:hAnsi="Palatino"/>
          <w:b/>
          <w:bCs/>
          <w:sz w:val="18"/>
          <w:szCs w:val="18"/>
        </w:rPr>
        <w:t>Table S</w:t>
      </w:r>
      <w:r w:rsidR="001B48EA" w:rsidRPr="00E92CE9">
        <w:rPr>
          <w:rFonts w:ascii="Palatino" w:hAnsi="Palatino"/>
          <w:b/>
          <w:bCs/>
          <w:sz w:val="18"/>
          <w:szCs w:val="18"/>
        </w:rPr>
        <w:t>3</w:t>
      </w:r>
      <w:r w:rsidRPr="00E92CE9">
        <w:rPr>
          <w:rFonts w:ascii="Palatino" w:hAnsi="Palatino"/>
          <w:b/>
          <w:bCs/>
          <w:sz w:val="18"/>
          <w:szCs w:val="18"/>
        </w:rPr>
        <w:t>.</w:t>
      </w:r>
      <w:r w:rsidRPr="00E92CE9">
        <w:rPr>
          <w:rFonts w:ascii="Palatino" w:hAnsi="Palatino"/>
          <w:sz w:val="18"/>
          <w:szCs w:val="18"/>
        </w:rPr>
        <w:t xml:space="preserve"> </w:t>
      </w:r>
      <w:r w:rsidR="00CF68A9" w:rsidRPr="00E92CE9">
        <w:rPr>
          <w:rFonts w:ascii="Palatino" w:hAnsi="Palatino"/>
          <w:sz w:val="18"/>
          <w:szCs w:val="18"/>
        </w:rPr>
        <w:t>Results of linear mixed models with glucose or corticosterone as the response and sample type as a categorical predictor.</w:t>
      </w:r>
    </w:p>
    <w:p w14:paraId="1A4AEF86" w14:textId="0F2B6C6E" w:rsidR="00D4446B" w:rsidRDefault="0060456B">
      <w:pPr>
        <w:rPr>
          <w:rFonts w:ascii="Palatino" w:hAnsi="Palatino"/>
          <w:b/>
          <w:bCs/>
          <w:sz w:val="18"/>
          <w:szCs w:val="18"/>
        </w:rPr>
      </w:pPr>
      <w:r>
        <w:rPr>
          <w:rFonts w:ascii="Palatino" w:hAnsi="Palatino"/>
          <w:b/>
          <w:bCs/>
          <w:noProof/>
          <w:sz w:val="18"/>
          <w:szCs w:val="18"/>
        </w:rPr>
        <w:drawing>
          <wp:inline distT="0" distB="0" distL="0" distR="0" wp14:anchorId="0FEB812B" wp14:editId="7FF50E24">
            <wp:extent cx="5943600" cy="1902460"/>
            <wp:effectExtent l="0" t="0" r="0" b="254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02460"/>
                    </a:xfrm>
                    <a:prstGeom prst="rect">
                      <a:avLst/>
                    </a:prstGeom>
                  </pic:spPr>
                </pic:pic>
              </a:graphicData>
            </a:graphic>
          </wp:inline>
        </w:drawing>
      </w:r>
      <w:r w:rsidR="00D4446B">
        <w:rPr>
          <w:rFonts w:ascii="Palatino" w:hAnsi="Palatino"/>
          <w:b/>
          <w:bCs/>
          <w:sz w:val="18"/>
          <w:szCs w:val="18"/>
        </w:rPr>
        <w:br w:type="page"/>
      </w:r>
    </w:p>
    <w:p w14:paraId="354891F6" w14:textId="76AC03D8" w:rsidR="00961F91" w:rsidRPr="00961F91" w:rsidRDefault="00CE76AB" w:rsidP="003C4490">
      <w:pPr>
        <w:rPr>
          <w:rFonts w:ascii="Palatino" w:hAnsi="Palatino"/>
          <w:sz w:val="18"/>
          <w:szCs w:val="18"/>
        </w:rPr>
      </w:pPr>
      <w:r w:rsidRPr="00E92CE9">
        <w:rPr>
          <w:rFonts w:ascii="Palatino" w:hAnsi="Palatino"/>
          <w:b/>
          <w:bCs/>
          <w:sz w:val="18"/>
          <w:szCs w:val="18"/>
        </w:rPr>
        <w:lastRenderedPageBreak/>
        <w:t>Table S4.</w:t>
      </w:r>
      <w:r w:rsidRPr="00E92CE9">
        <w:rPr>
          <w:rFonts w:ascii="Palatino" w:hAnsi="Palatino"/>
          <w:sz w:val="18"/>
          <w:szCs w:val="18"/>
        </w:rPr>
        <w:t xml:space="preserve"> Results of linear mixed models on New York adults with glucose as the response variable and </w:t>
      </w:r>
      <w:r w:rsidR="004668EE" w:rsidRPr="00E92CE9">
        <w:rPr>
          <w:rFonts w:ascii="Palatino" w:hAnsi="Palatino"/>
          <w:sz w:val="18"/>
          <w:szCs w:val="18"/>
        </w:rPr>
        <w:t xml:space="preserve">corticosterone, </w:t>
      </w:r>
      <w:r w:rsidR="00EA0459" w:rsidRPr="00E92CE9">
        <w:rPr>
          <w:rFonts w:ascii="Palatino" w:hAnsi="Palatino"/>
          <w:sz w:val="18"/>
          <w:szCs w:val="18"/>
        </w:rPr>
        <w:t xml:space="preserve">mass, a corticosterone by mass interaction, and sex as predictors. In each case, the corticosterone measure included spans the same interval as the glucose response variable. </w:t>
      </w:r>
      <w:r w:rsidR="00570B5A" w:rsidRPr="00E92CE9">
        <w:rPr>
          <w:rFonts w:ascii="Palatino" w:hAnsi="Palatino"/>
          <w:sz w:val="18"/>
          <w:szCs w:val="18"/>
        </w:rPr>
        <w:t xml:space="preserve">Unsupported interactions were dropped. </w:t>
      </w:r>
      <w:r w:rsidR="00CF2490" w:rsidRPr="00E92CE9">
        <w:rPr>
          <w:rFonts w:ascii="Palatino" w:hAnsi="Palatino"/>
          <w:sz w:val="18"/>
          <w:szCs w:val="18"/>
        </w:rPr>
        <w:t>Corticosterone and mass are scaled to a mean of zero and standard deviation of one to make effect sizes easier to interpret.</w:t>
      </w:r>
    </w:p>
    <w:p w14:paraId="76C43312" w14:textId="52AEA20D" w:rsidR="00961F91" w:rsidRDefault="00961F91" w:rsidP="003C4490">
      <w:pPr>
        <w:rPr>
          <w:rFonts w:ascii="Palatino" w:hAnsi="Palatino"/>
        </w:rPr>
      </w:pPr>
      <w:r>
        <w:rPr>
          <w:rFonts w:ascii="Palatino" w:hAnsi="Palatino"/>
          <w:noProof/>
        </w:rPr>
        <w:drawing>
          <wp:inline distT="0" distB="0" distL="0" distR="0" wp14:anchorId="108BBAF2" wp14:editId="4CCD3391">
            <wp:extent cx="5943600" cy="205930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554CB24C" w14:textId="2C2EC912" w:rsidR="00E92CE9" w:rsidRDefault="00E92CE9" w:rsidP="003C4490">
      <w:pPr>
        <w:rPr>
          <w:rFonts w:ascii="Palatino" w:hAnsi="Palatino"/>
        </w:rPr>
      </w:pPr>
    </w:p>
    <w:p w14:paraId="47ABE96E" w14:textId="0816D071" w:rsidR="00E92CE9" w:rsidRPr="008870E9" w:rsidRDefault="00E92CE9" w:rsidP="003C4490">
      <w:pPr>
        <w:rPr>
          <w:rFonts w:ascii="Palatino" w:hAnsi="Palatino"/>
          <w:sz w:val="18"/>
          <w:szCs w:val="18"/>
        </w:rPr>
      </w:pPr>
      <w:r w:rsidRPr="00E92CE9">
        <w:rPr>
          <w:rFonts w:ascii="Palatino" w:hAnsi="Palatino"/>
          <w:b/>
          <w:bCs/>
          <w:sz w:val="18"/>
          <w:szCs w:val="18"/>
        </w:rPr>
        <w:t>Table S</w:t>
      </w:r>
      <w:r>
        <w:rPr>
          <w:rFonts w:ascii="Palatino" w:hAnsi="Palatino"/>
          <w:b/>
          <w:bCs/>
          <w:sz w:val="18"/>
          <w:szCs w:val="18"/>
        </w:rPr>
        <w:t>5</w:t>
      </w:r>
      <w:r w:rsidRPr="00E92CE9">
        <w:rPr>
          <w:rFonts w:ascii="Palatino" w:hAnsi="Palatino"/>
          <w:b/>
          <w:bCs/>
          <w:sz w:val="18"/>
          <w:szCs w:val="18"/>
        </w:rPr>
        <w:t>.</w:t>
      </w:r>
      <w:r w:rsidRPr="00E92CE9">
        <w:rPr>
          <w:rFonts w:ascii="Palatino" w:hAnsi="Palatino"/>
          <w:sz w:val="18"/>
          <w:szCs w:val="18"/>
        </w:rPr>
        <w:t xml:space="preserve"> Results of linear mixed models on New York </w:t>
      </w:r>
      <w:r>
        <w:rPr>
          <w:rFonts w:ascii="Palatino" w:hAnsi="Palatino"/>
          <w:sz w:val="18"/>
          <w:szCs w:val="18"/>
        </w:rPr>
        <w:t>nestlings</w:t>
      </w:r>
      <w:r w:rsidRPr="00E92CE9">
        <w:rPr>
          <w:rFonts w:ascii="Palatino" w:hAnsi="Palatino"/>
          <w:sz w:val="18"/>
          <w:szCs w:val="18"/>
        </w:rPr>
        <w:t xml:space="preserve"> with glucose as the response variable and corticosterone, mass, a corticosterone by mass interaction, and sex as predictors. In each case, the corticosterone measure included spans the same interval as the glucose response variable. Unsupported interactions were dropped. Corticosterone and mass are scaled to a mean of zero and standard deviation of one to make effect sizes easier to interpret.</w:t>
      </w:r>
    </w:p>
    <w:p w14:paraId="31D9CF9A" w14:textId="14235668" w:rsidR="001D1C9B" w:rsidRDefault="008870E9">
      <w:pPr>
        <w:rPr>
          <w:rFonts w:ascii="Palatino" w:hAnsi="Palatino"/>
          <w:b/>
          <w:bCs/>
          <w:sz w:val="18"/>
          <w:szCs w:val="18"/>
        </w:rPr>
      </w:pPr>
      <w:r>
        <w:rPr>
          <w:rFonts w:ascii="Palatino" w:hAnsi="Palatino"/>
          <w:b/>
          <w:bCs/>
          <w:noProof/>
          <w:sz w:val="18"/>
          <w:szCs w:val="18"/>
        </w:rPr>
        <w:drawing>
          <wp:inline distT="0" distB="0" distL="0" distR="0" wp14:anchorId="2AB68995" wp14:editId="767E5E04">
            <wp:extent cx="5943600" cy="1899285"/>
            <wp:effectExtent l="0" t="0" r="0" b="571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inline>
        </w:drawing>
      </w:r>
      <w:r w:rsidR="001D1C9B">
        <w:rPr>
          <w:rFonts w:ascii="Palatino" w:hAnsi="Palatino"/>
          <w:b/>
          <w:bCs/>
          <w:sz w:val="18"/>
          <w:szCs w:val="18"/>
        </w:rPr>
        <w:br w:type="page"/>
      </w:r>
    </w:p>
    <w:p w14:paraId="5E9866A7" w14:textId="08D685A5" w:rsidR="00994A99" w:rsidRPr="00994A99" w:rsidRDefault="00B13349" w:rsidP="00B13349">
      <w:pPr>
        <w:rPr>
          <w:rFonts w:ascii="Palatino" w:hAnsi="Palatino"/>
          <w:sz w:val="18"/>
          <w:szCs w:val="18"/>
        </w:rPr>
      </w:pPr>
      <w:r w:rsidRPr="00E92CE9">
        <w:rPr>
          <w:rFonts w:ascii="Palatino" w:hAnsi="Palatino"/>
          <w:b/>
          <w:bCs/>
          <w:sz w:val="18"/>
          <w:szCs w:val="18"/>
        </w:rPr>
        <w:lastRenderedPageBreak/>
        <w:t>Table S</w:t>
      </w:r>
      <w:r>
        <w:rPr>
          <w:rFonts w:ascii="Palatino" w:hAnsi="Palatino"/>
          <w:b/>
          <w:bCs/>
          <w:sz w:val="18"/>
          <w:szCs w:val="18"/>
        </w:rPr>
        <w:t>6</w:t>
      </w:r>
      <w:r w:rsidRPr="00E92CE9">
        <w:rPr>
          <w:rFonts w:ascii="Palatino" w:hAnsi="Palatino"/>
          <w:b/>
          <w:bCs/>
          <w:sz w:val="18"/>
          <w:szCs w:val="18"/>
        </w:rPr>
        <w:t>.</w:t>
      </w:r>
      <w:r w:rsidRPr="00E92CE9">
        <w:rPr>
          <w:rFonts w:ascii="Palatino" w:hAnsi="Palatino"/>
          <w:sz w:val="18"/>
          <w:szCs w:val="18"/>
        </w:rPr>
        <w:t xml:space="preserve"> Results of linear mixed models with </w:t>
      </w:r>
      <w:r>
        <w:rPr>
          <w:rFonts w:ascii="Palatino" w:hAnsi="Palatino"/>
          <w:sz w:val="18"/>
          <w:szCs w:val="18"/>
        </w:rPr>
        <w:t>baseline glucose as the response and corticosterone, mass, and their interaction as predictors in each of the four studied populations. Only adult females are included</w:t>
      </w:r>
      <w:r w:rsidR="00B03F32">
        <w:rPr>
          <w:rFonts w:ascii="Palatino" w:hAnsi="Palatino"/>
          <w:sz w:val="18"/>
          <w:szCs w:val="18"/>
        </w:rPr>
        <w:t xml:space="preserve">. </w:t>
      </w:r>
      <w:r w:rsidR="00BD2580">
        <w:rPr>
          <w:rFonts w:ascii="Palatino" w:hAnsi="Palatino"/>
          <w:sz w:val="18"/>
          <w:szCs w:val="18"/>
        </w:rPr>
        <w:t>Predictors are scaled to a mean of zero and standard deviation of one.</w:t>
      </w:r>
    </w:p>
    <w:p w14:paraId="4C37AAB6" w14:textId="4913D452" w:rsidR="00994A99" w:rsidRDefault="00994A99" w:rsidP="00B13349">
      <w:pPr>
        <w:rPr>
          <w:rFonts w:ascii="Palatino" w:hAnsi="Palatino"/>
          <w:b/>
          <w:bCs/>
          <w:sz w:val="18"/>
          <w:szCs w:val="18"/>
        </w:rPr>
      </w:pPr>
      <w:r>
        <w:rPr>
          <w:rFonts w:ascii="Palatino" w:hAnsi="Palatino"/>
          <w:b/>
          <w:bCs/>
          <w:noProof/>
          <w:sz w:val="18"/>
          <w:szCs w:val="18"/>
        </w:rPr>
        <w:drawing>
          <wp:inline distT="0" distB="0" distL="0" distR="0" wp14:anchorId="18C520E3" wp14:editId="65DB977E">
            <wp:extent cx="5943600" cy="154051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40510"/>
                    </a:xfrm>
                    <a:prstGeom prst="rect">
                      <a:avLst/>
                    </a:prstGeom>
                  </pic:spPr>
                </pic:pic>
              </a:graphicData>
            </a:graphic>
          </wp:inline>
        </w:drawing>
      </w:r>
    </w:p>
    <w:p w14:paraId="7B0196DC" w14:textId="5B68F379" w:rsidR="002D70A5" w:rsidRDefault="002D70A5" w:rsidP="003C4490">
      <w:pPr>
        <w:rPr>
          <w:rFonts w:ascii="Palatino" w:hAnsi="Palatino"/>
        </w:rPr>
      </w:pPr>
    </w:p>
    <w:p w14:paraId="21F8E330" w14:textId="65C07517" w:rsidR="00EC4214" w:rsidRPr="00102EF3" w:rsidRDefault="00D17B0A" w:rsidP="003C4490">
      <w:pPr>
        <w:rPr>
          <w:rFonts w:ascii="Palatino" w:hAnsi="Palatino"/>
          <w:sz w:val="18"/>
          <w:szCs w:val="18"/>
        </w:rPr>
      </w:pPr>
      <w:r w:rsidRPr="00E92CE9">
        <w:rPr>
          <w:rFonts w:ascii="Palatino" w:hAnsi="Palatino"/>
          <w:b/>
          <w:bCs/>
          <w:sz w:val="18"/>
          <w:szCs w:val="18"/>
        </w:rPr>
        <w:t>Table S</w:t>
      </w:r>
      <w:r w:rsidR="007031DB">
        <w:rPr>
          <w:rFonts w:ascii="Palatino" w:hAnsi="Palatino"/>
          <w:b/>
          <w:bCs/>
          <w:sz w:val="18"/>
          <w:szCs w:val="18"/>
        </w:rPr>
        <w:t>7</w:t>
      </w:r>
      <w:r w:rsidRPr="00E92CE9">
        <w:rPr>
          <w:rFonts w:ascii="Palatino" w:hAnsi="Palatino"/>
          <w:b/>
          <w:bCs/>
          <w:sz w:val="18"/>
          <w:szCs w:val="18"/>
        </w:rPr>
        <w:t>.</w:t>
      </w:r>
      <w:r w:rsidRPr="00E92CE9">
        <w:rPr>
          <w:rFonts w:ascii="Palatino" w:hAnsi="Palatino"/>
          <w:sz w:val="18"/>
          <w:szCs w:val="18"/>
        </w:rPr>
        <w:t xml:space="preserve"> Results of linear mixed models with </w:t>
      </w:r>
      <w:r>
        <w:rPr>
          <w:rFonts w:ascii="Palatino" w:hAnsi="Palatino"/>
          <w:sz w:val="18"/>
          <w:szCs w:val="18"/>
        </w:rPr>
        <w:t>induced - baseline glucose as the response and induced – baseline corticosterone, mass, and their interaction as predictors in each of the four studied populations. Only adult females are included.</w:t>
      </w:r>
      <w:r w:rsidR="00BD2580">
        <w:rPr>
          <w:rFonts w:ascii="Palatino" w:hAnsi="Palatino"/>
          <w:sz w:val="18"/>
          <w:szCs w:val="18"/>
        </w:rPr>
        <w:t xml:space="preserve"> Predictors are scaled to a mean of zero and standard deviation of one.</w:t>
      </w:r>
    </w:p>
    <w:p w14:paraId="0C28E71A" w14:textId="6674BBAC" w:rsidR="002D70A5" w:rsidRPr="00CE76AB" w:rsidRDefault="00102EF3" w:rsidP="003C4490">
      <w:pPr>
        <w:rPr>
          <w:rFonts w:ascii="Palatino" w:hAnsi="Palatino"/>
        </w:rPr>
      </w:pPr>
      <w:r>
        <w:rPr>
          <w:rFonts w:ascii="Palatino" w:hAnsi="Palatino"/>
          <w:noProof/>
        </w:rPr>
        <w:drawing>
          <wp:inline distT="0" distB="0" distL="0" distR="0" wp14:anchorId="2750AAE6" wp14:editId="05D94E41">
            <wp:extent cx="5943600" cy="1557020"/>
            <wp:effectExtent l="0" t="0" r="0" b="508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557020"/>
                    </a:xfrm>
                    <a:prstGeom prst="rect">
                      <a:avLst/>
                    </a:prstGeom>
                  </pic:spPr>
                </pic:pic>
              </a:graphicData>
            </a:graphic>
          </wp:inline>
        </w:drawing>
      </w:r>
    </w:p>
    <w:p w14:paraId="5382FBA8" w14:textId="77777777" w:rsidR="00CE76AB" w:rsidRDefault="00CE76AB" w:rsidP="003C4490">
      <w:pPr>
        <w:rPr>
          <w:rFonts w:ascii="Palatino" w:hAnsi="Palatino"/>
        </w:rPr>
      </w:pPr>
    </w:p>
    <w:p w14:paraId="6665CFF4" w14:textId="3B56AA5D" w:rsidR="0088033F" w:rsidRDefault="007205A3" w:rsidP="003C4490">
      <w:pPr>
        <w:rPr>
          <w:rFonts w:ascii="Palatino" w:hAnsi="Palatino"/>
          <w:b/>
          <w:bCs/>
        </w:rPr>
      </w:pPr>
      <w:r>
        <w:rPr>
          <w:rFonts w:ascii="Palatino" w:hAnsi="Palatino"/>
          <w:b/>
          <w:bCs/>
        </w:rPr>
        <w:t>SUPPLEMENTARY REFERENCES</w:t>
      </w:r>
    </w:p>
    <w:p w14:paraId="75B58811" w14:textId="5031F414" w:rsidR="0088033F" w:rsidRDefault="0088033F" w:rsidP="003C4490">
      <w:pPr>
        <w:rPr>
          <w:rFonts w:ascii="Palatino" w:hAnsi="Palatino"/>
          <w:b/>
          <w:bCs/>
        </w:rPr>
      </w:pPr>
    </w:p>
    <w:p w14:paraId="52781248" w14:textId="77777777" w:rsidR="007D22F2" w:rsidRPr="007D22F2" w:rsidRDefault="007D22F2" w:rsidP="007D22F2">
      <w:pPr>
        <w:pStyle w:val="Bibliography"/>
        <w:rPr>
          <w:rFonts w:ascii="Palatino" w:hAnsi="Palatino"/>
        </w:rPr>
      </w:pPr>
      <w:r>
        <w:rPr>
          <w:rFonts w:ascii="Palatino" w:hAnsi="Palatino"/>
        </w:rPr>
        <w:fldChar w:fldCharType="begin"/>
      </w:r>
      <w:r>
        <w:rPr>
          <w:rFonts w:ascii="Palatino" w:hAnsi="Palatino"/>
        </w:rPr>
        <w:instrText xml:space="preserve"> ADDIN ZOTERO_BIBL {"uncited":[],"omitted":[],"custom":[]} CSL_BIBLIOGRAPHY </w:instrText>
      </w:r>
      <w:r>
        <w:rPr>
          <w:rFonts w:ascii="Palatino" w:hAnsi="Palatino"/>
        </w:rPr>
        <w:fldChar w:fldCharType="separate"/>
      </w:r>
      <w:r w:rsidRPr="007D22F2">
        <w:rPr>
          <w:rFonts w:ascii="Palatino" w:hAnsi="Palatino"/>
        </w:rPr>
        <w:t xml:space="preserve">Kuznetsova, A., Brockhoff, P. B. and Christensen, R. H. B. (2017). “lmerTest” Package: Tests in Linear Mixed Effects Models. </w:t>
      </w:r>
      <w:r w:rsidRPr="007D22F2">
        <w:rPr>
          <w:rFonts w:ascii="Palatino" w:hAnsi="Palatino"/>
          <w:i/>
          <w:iCs/>
        </w:rPr>
        <w:t>J. Stat. Soft.</w:t>
      </w:r>
      <w:r w:rsidRPr="007D22F2">
        <w:rPr>
          <w:rFonts w:ascii="Palatino" w:hAnsi="Palatino"/>
        </w:rPr>
        <w:t xml:space="preserve"> 82,.</w:t>
      </w:r>
    </w:p>
    <w:p w14:paraId="276D7F81" w14:textId="00EEE688" w:rsidR="0088033F" w:rsidRPr="0088033F" w:rsidRDefault="007D22F2" w:rsidP="003C4490">
      <w:pPr>
        <w:rPr>
          <w:rFonts w:ascii="Palatino" w:hAnsi="Palatino"/>
          <w:b/>
          <w:bCs/>
        </w:rPr>
      </w:pPr>
      <w:r>
        <w:rPr>
          <w:rFonts w:ascii="Palatino" w:hAnsi="Palatino"/>
          <w:b/>
          <w:bCs/>
        </w:rPr>
        <w:fldChar w:fldCharType="end"/>
      </w:r>
    </w:p>
    <w:sectPr w:rsidR="0088033F" w:rsidRPr="0088033F" w:rsidSect="00756ED7">
      <w:headerReference w:type="default" r:id="rId16"/>
      <w:footerReference w:type="even" r:id="rId17"/>
      <w:footerReference w:type="default" r:id="rId18"/>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CA082" w14:textId="77777777" w:rsidR="00370130" w:rsidRDefault="00370130" w:rsidP="003C4490">
      <w:r>
        <w:separator/>
      </w:r>
    </w:p>
  </w:endnote>
  <w:endnote w:type="continuationSeparator" w:id="0">
    <w:p w14:paraId="28AB7315" w14:textId="77777777" w:rsidR="00370130" w:rsidRDefault="00370130" w:rsidP="003C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tino">
    <w:altName w:val="﷽﷽﷽﷽﷽﷽﷽﷽ Historic"/>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377886"/>
      <w:docPartObj>
        <w:docPartGallery w:val="Page Numbers (Bottom of Page)"/>
        <w:docPartUnique/>
      </w:docPartObj>
    </w:sdtPr>
    <w:sdtEndPr>
      <w:rPr>
        <w:rStyle w:val="PageNumber"/>
      </w:rPr>
    </w:sdtEndPr>
    <w:sdtContent>
      <w:p w14:paraId="5EDEBE25" w14:textId="5E96E7B0" w:rsidR="00756ED7" w:rsidRDefault="00756ED7" w:rsidP="00130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FB48F" w14:textId="77777777" w:rsidR="00756ED7" w:rsidRDefault="00756ED7" w:rsidP="00756E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6472584"/>
      <w:docPartObj>
        <w:docPartGallery w:val="Page Numbers (Bottom of Page)"/>
        <w:docPartUnique/>
      </w:docPartObj>
    </w:sdtPr>
    <w:sdtEndPr>
      <w:rPr>
        <w:rStyle w:val="PageNumber"/>
      </w:rPr>
    </w:sdtEndPr>
    <w:sdtContent>
      <w:p w14:paraId="7CAB97C0" w14:textId="31365895" w:rsidR="00756ED7" w:rsidRDefault="00756ED7" w:rsidP="00130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393B7B" w14:textId="77777777" w:rsidR="00756ED7" w:rsidRDefault="00756ED7" w:rsidP="00756E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1F290" w14:textId="77777777" w:rsidR="00370130" w:rsidRDefault="00370130" w:rsidP="003C4490">
      <w:r>
        <w:separator/>
      </w:r>
    </w:p>
  </w:footnote>
  <w:footnote w:type="continuationSeparator" w:id="0">
    <w:p w14:paraId="14E88F31" w14:textId="77777777" w:rsidR="00370130" w:rsidRDefault="00370130" w:rsidP="003C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B79F4" w14:textId="26D9E192" w:rsidR="00785578" w:rsidRPr="003C4490" w:rsidRDefault="00785578">
    <w:pPr>
      <w:pStyle w:val="Header"/>
      <w:rPr>
        <w:rFonts w:ascii="Palatino" w:hAnsi="Palatino"/>
      </w:rPr>
    </w:pPr>
    <w:r w:rsidRPr="003C4490">
      <w:rPr>
        <w:rFonts w:ascii="Palatino" w:hAnsi="Palatino"/>
      </w:rPr>
      <w:t>Glucose and corticosterone</w:t>
    </w:r>
    <w:r w:rsidR="00FD6BEB">
      <w:rPr>
        <w:rFonts w:ascii="Palatino" w:hAnsi="Palatino"/>
      </w:rPr>
      <w:t>: supplement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41AD2"/>
    <w:multiLevelType w:val="hybridMultilevel"/>
    <w:tmpl w:val="44AE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CB"/>
    <w:rsid w:val="00012E23"/>
    <w:rsid w:val="00013EC1"/>
    <w:rsid w:val="000365BE"/>
    <w:rsid w:val="0003671D"/>
    <w:rsid w:val="00081D6C"/>
    <w:rsid w:val="000853F0"/>
    <w:rsid w:val="00093C1C"/>
    <w:rsid w:val="000B236A"/>
    <w:rsid w:val="000B6794"/>
    <w:rsid w:val="000C148A"/>
    <w:rsid w:val="000D3B12"/>
    <w:rsid w:val="000E2B1A"/>
    <w:rsid w:val="00102EF3"/>
    <w:rsid w:val="00114C50"/>
    <w:rsid w:val="0012698B"/>
    <w:rsid w:val="001314D7"/>
    <w:rsid w:val="0014136A"/>
    <w:rsid w:val="0014685D"/>
    <w:rsid w:val="00160AC7"/>
    <w:rsid w:val="001B1DD0"/>
    <w:rsid w:val="001B48EA"/>
    <w:rsid w:val="001D099B"/>
    <w:rsid w:val="001D1C9B"/>
    <w:rsid w:val="001E0419"/>
    <w:rsid w:val="001E2D63"/>
    <w:rsid w:val="001F738F"/>
    <w:rsid w:val="00212091"/>
    <w:rsid w:val="00220120"/>
    <w:rsid w:val="0023702C"/>
    <w:rsid w:val="00237A9D"/>
    <w:rsid w:val="00275898"/>
    <w:rsid w:val="00280835"/>
    <w:rsid w:val="002823BE"/>
    <w:rsid w:val="00292D60"/>
    <w:rsid w:val="002C3D10"/>
    <w:rsid w:val="002D70A5"/>
    <w:rsid w:val="00305D1C"/>
    <w:rsid w:val="00334B9E"/>
    <w:rsid w:val="00342F1D"/>
    <w:rsid w:val="003531C7"/>
    <w:rsid w:val="00360D1E"/>
    <w:rsid w:val="0036743A"/>
    <w:rsid w:val="00370130"/>
    <w:rsid w:val="00372B92"/>
    <w:rsid w:val="003864C1"/>
    <w:rsid w:val="00395D98"/>
    <w:rsid w:val="003A3146"/>
    <w:rsid w:val="003A7777"/>
    <w:rsid w:val="003B3D93"/>
    <w:rsid w:val="003B7A0B"/>
    <w:rsid w:val="003C4490"/>
    <w:rsid w:val="003F7D99"/>
    <w:rsid w:val="00400B53"/>
    <w:rsid w:val="00417699"/>
    <w:rsid w:val="00425DD9"/>
    <w:rsid w:val="004313A3"/>
    <w:rsid w:val="00457E5E"/>
    <w:rsid w:val="004668EE"/>
    <w:rsid w:val="0047468F"/>
    <w:rsid w:val="004852A0"/>
    <w:rsid w:val="00487525"/>
    <w:rsid w:val="004A6CFE"/>
    <w:rsid w:val="004D0F24"/>
    <w:rsid w:val="004D1299"/>
    <w:rsid w:val="004D2A92"/>
    <w:rsid w:val="004D2C70"/>
    <w:rsid w:val="004D3AA7"/>
    <w:rsid w:val="005125CF"/>
    <w:rsid w:val="0054561E"/>
    <w:rsid w:val="00553238"/>
    <w:rsid w:val="00556D16"/>
    <w:rsid w:val="005660F9"/>
    <w:rsid w:val="00570B5A"/>
    <w:rsid w:val="00585651"/>
    <w:rsid w:val="005A2FA5"/>
    <w:rsid w:val="005A7FCC"/>
    <w:rsid w:val="005E2519"/>
    <w:rsid w:val="005F4644"/>
    <w:rsid w:val="005F4749"/>
    <w:rsid w:val="0060456B"/>
    <w:rsid w:val="0061166F"/>
    <w:rsid w:val="00613A6A"/>
    <w:rsid w:val="00617F03"/>
    <w:rsid w:val="00624AB8"/>
    <w:rsid w:val="00692AD3"/>
    <w:rsid w:val="006E3A28"/>
    <w:rsid w:val="006F1759"/>
    <w:rsid w:val="007031DB"/>
    <w:rsid w:val="007205A3"/>
    <w:rsid w:val="007224F6"/>
    <w:rsid w:val="00747971"/>
    <w:rsid w:val="00756ED7"/>
    <w:rsid w:val="00773130"/>
    <w:rsid w:val="00781096"/>
    <w:rsid w:val="00785578"/>
    <w:rsid w:val="00793C82"/>
    <w:rsid w:val="007C46D2"/>
    <w:rsid w:val="007D22F2"/>
    <w:rsid w:val="007F0BD8"/>
    <w:rsid w:val="007F54CD"/>
    <w:rsid w:val="00813B6C"/>
    <w:rsid w:val="008279F6"/>
    <w:rsid w:val="008347CB"/>
    <w:rsid w:val="008404BC"/>
    <w:rsid w:val="0084223A"/>
    <w:rsid w:val="008552A9"/>
    <w:rsid w:val="00860C7E"/>
    <w:rsid w:val="008721EC"/>
    <w:rsid w:val="0088033F"/>
    <w:rsid w:val="008870E9"/>
    <w:rsid w:val="008B229A"/>
    <w:rsid w:val="008F65DB"/>
    <w:rsid w:val="00902766"/>
    <w:rsid w:val="00910B85"/>
    <w:rsid w:val="009118FA"/>
    <w:rsid w:val="009315FB"/>
    <w:rsid w:val="00932201"/>
    <w:rsid w:val="0094317B"/>
    <w:rsid w:val="00951321"/>
    <w:rsid w:val="009600E7"/>
    <w:rsid w:val="00961F91"/>
    <w:rsid w:val="00962D24"/>
    <w:rsid w:val="00994A99"/>
    <w:rsid w:val="009954E0"/>
    <w:rsid w:val="0099766F"/>
    <w:rsid w:val="009B4902"/>
    <w:rsid w:val="009B60FC"/>
    <w:rsid w:val="009B67EA"/>
    <w:rsid w:val="009C7F18"/>
    <w:rsid w:val="00A00C50"/>
    <w:rsid w:val="00A37D1F"/>
    <w:rsid w:val="00A714C1"/>
    <w:rsid w:val="00A72F21"/>
    <w:rsid w:val="00A91C6A"/>
    <w:rsid w:val="00AB3037"/>
    <w:rsid w:val="00AC5273"/>
    <w:rsid w:val="00AD1922"/>
    <w:rsid w:val="00AD7E53"/>
    <w:rsid w:val="00AF37A6"/>
    <w:rsid w:val="00B03F32"/>
    <w:rsid w:val="00B13349"/>
    <w:rsid w:val="00B22C4A"/>
    <w:rsid w:val="00B3455E"/>
    <w:rsid w:val="00B6297D"/>
    <w:rsid w:val="00B667AF"/>
    <w:rsid w:val="00B868DA"/>
    <w:rsid w:val="00B94EBF"/>
    <w:rsid w:val="00BA11D8"/>
    <w:rsid w:val="00BA71C4"/>
    <w:rsid w:val="00BB621B"/>
    <w:rsid w:val="00BC3F90"/>
    <w:rsid w:val="00BC667C"/>
    <w:rsid w:val="00BC7E55"/>
    <w:rsid w:val="00BD2580"/>
    <w:rsid w:val="00BE22BE"/>
    <w:rsid w:val="00BE388D"/>
    <w:rsid w:val="00C05BB5"/>
    <w:rsid w:val="00C07F89"/>
    <w:rsid w:val="00C50A87"/>
    <w:rsid w:val="00C62A6D"/>
    <w:rsid w:val="00C66E23"/>
    <w:rsid w:val="00CA131E"/>
    <w:rsid w:val="00CB4592"/>
    <w:rsid w:val="00CB4F80"/>
    <w:rsid w:val="00CD199E"/>
    <w:rsid w:val="00CD6B89"/>
    <w:rsid w:val="00CE76AB"/>
    <w:rsid w:val="00CF2490"/>
    <w:rsid w:val="00CF68A9"/>
    <w:rsid w:val="00D10BE0"/>
    <w:rsid w:val="00D17B0A"/>
    <w:rsid w:val="00D22D76"/>
    <w:rsid w:val="00D24099"/>
    <w:rsid w:val="00D27585"/>
    <w:rsid w:val="00D34AEE"/>
    <w:rsid w:val="00D4446B"/>
    <w:rsid w:val="00D63F94"/>
    <w:rsid w:val="00D64EA4"/>
    <w:rsid w:val="00D65E7F"/>
    <w:rsid w:val="00D968F3"/>
    <w:rsid w:val="00DB6521"/>
    <w:rsid w:val="00DD4145"/>
    <w:rsid w:val="00DE52A2"/>
    <w:rsid w:val="00DF5D3F"/>
    <w:rsid w:val="00DF5E06"/>
    <w:rsid w:val="00DF5F03"/>
    <w:rsid w:val="00E10827"/>
    <w:rsid w:val="00E13FA8"/>
    <w:rsid w:val="00E250E2"/>
    <w:rsid w:val="00E278D0"/>
    <w:rsid w:val="00E32D6C"/>
    <w:rsid w:val="00E334B7"/>
    <w:rsid w:val="00E701DB"/>
    <w:rsid w:val="00E8047B"/>
    <w:rsid w:val="00E92CE9"/>
    <w:rsid w:val="00EA0459"/>
    <w:rsid w:val="00EA6EF2"/>
    <w:rsid w:val="00EB2293"/>
    <w:rsid w:val="00EC032C"/>
    <w:rsid w:val="00EC4214"/>
    <w:rsid w:val="00F22F50"/>
    <w:rsid w:val="00F23529"/>
    <w:rsid w:val="00F34D35"/>
    <w:rsid w:val="00F3542F"/>
    <w:rsid w:val="00F44260"/>
    <w:rsid w:val="00F4781B"/>
    <w:rsid w:val="00F549C7"/>
    <w:rsid w:val="00F62D24"/>
    <w:rsid w:val="00F710CC"/>
    <w:rsid w:val="00F768E6"/>
    <w:rsid w:val="00FA02F0"/>
    <w:rsid w:val="00FA359C"/>
    <w:rsid w:val="00FD3438"/>
    <w:rsid w:val="00FD6BEB"/>
    <w:rsid w:val="00FE7D1E"/>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A662"/>
  <w15:chartTrackingRefBased/>
  <w15:docId w15:val="{64184207-AFFA-D040-BD88-A94249D7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14C1"/>
  </w:style>
  <w:style w:type="paragraph" w:styleId="NoSpacing">
    <w:name w:val="No Spacing"/>
    <w:uiPriority w:val="1"/>
    <w:qFormat/>
    <w:rsid w:val="003C4490"/>
    <w:rPr>
      <w:rFonts w:ascii="Times New Roman" w:eastAsiaTheme="minorEastAsia" w:hAnsi="Times New Roman" w:cs="Times New Roman"/>
      <w:lang w:eastAsia="ja-JP"/>
    </w:rPr>
  </w:style>
  <w:style w:type="character" w:styleId="Hyperlink">
    <w:name w:val="Hyperlink"/>
    <w:basedOn w:val="DefaultParagraphFont"/>
    <w:uiPriority w:val="99"/>
    <w:unhideWhenUsed/>
    <w:rsid w:val="003C4490"/>
    <w:rPr>
      <w:color w:val="0563C1" w:themeColor="hyperlink"/>
      <w:u w:val="single"/>
    </w:rPr>
  </w:style>
  <w:style w:type="character" w:styleId="CommentReference">
    <w:name w:val="annotation reference"/>
    <w:basedOn w:val="DefaultParagraphFont"/>
    <w:uiPriority w:val="99"/>
    <w:semiHidden/>
    <w:unhideWhenUsed/>
    <w:rsid w:val="003C4490"/>
    <w:rPr>
      <w:sz w:val="18"/>
      <w:szCs w:val="18"/>
    </w:rPr>
  </w:style>
  <w:style w:type="paragraph" w:styleId="CommentText">
    <w:name w:val="annotation text"/>
    <w:basedOn w:val="Normal"/>
    <w:link w:val="CommentTextChar"/>
    <w:uiPriority w:val="99"/>
    <w:semiHidden/>
    <w:unhideWhenUsed/>
    <w:rsid w:val="003C4490"/>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3C4490"/>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C4490"/>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3C449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3C4490"/>
    <w:pPr>
      <w:tabs>
        <w:tab w:val="center" w:pos="4680"/>
        <w:tab w:val="right" w:pos="9360"/>
      </w:tabs>
    </w:pPr>
  </w:style>
  <w:style w:type="character" w:customStyle="1" w:styleId="HeaderChar">
    <w:name w:val="Header Char"/>
    <w:basedOn w:val="DefaultParagraphFont"/>
    <w:link w:val="Header"/>
    <w:uiPriority w:val="99"/>
    <w:rsid w:val="003C4490"/>
  </w:style>
  <w:style w:type="paragraph" w:styleId="Footer">
    <w:name w:val="footer"/>
    <w:basedOn w:val="Normal"/>
    <w:link w:val="FooterChar"/>
    <w:uiPriority w:val="99"/>
    <w:unhideWhenUsed/>
    <w:rsid w:val="003C4490"/>
    <w:pPr>
      <w:tabs>
        <w:tab w:val="center" w:pos="4680"/>
        <w:tab w:val="right" w:pos="9360"/>
      </w:tabs>
    </w:pPr>
  </w:style>
  <w:style w:type="character" w:customStyle="1" w:styleId="FooterChar">
    <w:name w:val="Footer Char"/>
    <w:basedOn w:val="DefaultParagraphFont"/>
    <w:link w:val="Footer"/>
    <w:uiPriority w:val="99"/>
    <w:rsid w:val="003C4490"/>
  </w:style>
  <w:style w:type="paragraph" w:styleId="ListParagraph">
    <w:name w:val="List Paragraph"/>
    <w:basedOn w:val="Normal"/>
    <w:uiPriority w:val="34"/>
    <w:qFormat/>
    <w:rsid w:val="003C4490"/>
    <w:pPr>
      <w:ind w:left="720"/>
      <w:contextualSpacing/>
    </w:pPr>
  </w:style>
  <w:style w:type="paragraph" w:styleId="Bibliography">
    <w:name w:val="Bibliography"/>
    <w:basedOn w:val="Normal"/>
    <w:next w:val="Normal"/>
    <w:uiPriority w:val="37"/>
    <w:unhideWhenUsed/>
    <w:rsid w:val="007D22F2"/>
    <w:pPr>
      <w:spacing w:after="240"/>
      <w:ind w:left="720" w:hanging="720"/>
    </w:pPr>
  </w:style>
  <w:style w:type="table" w:styleId="TableGrid">
    <w:name w:val="Table Grid"/>
    <w:basedOn w:val="TableNormal"/>
    <w:uiPriority w:val="39"/>
    <w:rsid w:val="007F5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56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036002">
      <w:bodyDiv w:val="1"/>
      <w:marLeft w:val="0"/>
      <w:marRight w:val="0"/>
      <w:marTop w:val="0"/>
      <w:marBottom w:val="0"/>
      <w:divBdr>
        <w:top w:val="none" w:sz="0" w:space="0" w:color="auto"/>
        <w:left w:val="none" w:sz="0" w:space="0" w:color="auto"/>
        <w:bottom w:val="none" w:sz="0" w:space="0" w:color="auto"/>
        <w:right w:val="none" w:sz="0" w:space="0" w:color="auto"/>
      </w:divBdr>
    </w:div>
    <w:div w:id="199938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ct63@cornell.edu" TargetMode="Externa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Claverie Johns Taff</dc:creator>
  <cp:keywords/>
  <dc:description/>
  <cp:lastModifiedBy>Conor Claverie Johns Taff</cp:lastModifiedBy>
  <cp:revision>196</cp:revision>
  <dcterms:created xsi:type="dcterms:W3CDTF">2021-01-28T20:46:00Z</dcterms:created>
  <dcterms:modified xsi:type="dcterms:W3CDTF">2021-02-04T19:44:00Z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id="bGXQOMmG"/&gt;&lt;style id="http://www.zotero.org/styles/the-journal-of-experimental-biology" hasBibliography="1" bibliographyStyleHasBeenSet="1"/&gt;&lt;prefs&gt;&lt;pref name="fieldType" value="Field"/&gt;&lt;/prefs&gt;&lt;</vt:lpwstr>
  </property>
  <property fmtid="{D5CDD505-2E9C-101B-9397-08002B2CF9AE}" pid="3" name="ZOTERO_PREF_2">
    <vt:lpwstr>/data&gt;</vt:lpwstr>
  </property>
</Properties>
</file>