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  <w:r>
        <w:rPr>
          <w:rFonts w:ascii="DFKai-SB" w:eastAsia="DFKai-SB" w:hAnsi="DFKai-SB"/>
          <w:b w:val="false"/>
          <w:bCs w:val="false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DFKai-SB" w:eastAsia="DFKai-SB" w:hAnsi="DFKai-SB"/>
          <w:b w:val="false"/>
          <w:bCs w:val="false"/>
          <w:sz w:val="26"/>
          <w:szCs w:val="26"/>
        </w:rPr>
        <w:t xml:space="preserve">林業及自然保育署臺中分署</w:t>
      </w:r>
    </w:p>
    <w:p>
      <w:pPr>
        <w:spacing w:after="60"/>
        <w:jc w:val="center"/>
      </w:pPr>
      <w:r>
        <w:rPr>
          <w:rFonts w:ascii="DFKai-SB" w:eastAsia="DFKai-SB" w:hAnsi="DFKai-SB"/>
          <w:b w:val="false"/>
          <w:bCs w:val="false"/>
          <w:sz w:val="24"/>
          <w:szCs w:val="24"/>
        </w:rPr>
        <w:t xml:space="preserve">114—115 年林業永續多元輔導計畫</w:t>
      </w:r>
    </w:p>
    <w:p>
      <w:pPr>
        <w:pBdr>
          <w:bottom w:val="single" w:color="2E6B3E" w:sz="12" w:space="1"/>
        </w:pBdr>
        <w:spacing w:after="520" w:before="80"/>
      </w:pPr>
    </w:p>
    <w:p>
      <w:pPr>
        <w:spacing w:after="60"/>
        <w:jc w:val="center"/>
      </w:pPr>
      <w:r>
        <w:rPr>
          <w:rFonts w:ascii="DFKai-SB" w:eastAsia="DFKai-SB" w:hAnsi="DFKai-SB"/>
          <w:b/>
          <w:bCs/>
          <w:sz w:val="36"/>
          <w:szCs w:val="36"/>
        </w:rPr>
        <w:t xml:space="preserve">土肉桂修枝矮化及施肥</w:t>
      </w:r>
    </w:p>
    <w:p>
      <w:pPr>
        <w:spacing w:after="420"/>
        <w:jc w:val="center"/>
      </w:pPr>
      <w:r>
        <w:rPr>
          <w:rFonts w:ascii="DFKai-SB" w:eastAsia="DFKai-SB" w:hAnsi="DFKai-SB"/>
          <w:b/>
          <w:bCs/>
          <w:sz w:val="36"/>
          <w:szCs w:val="36"/>
        </w:rPr>
        <w:t xml:space="preserve">對生長影響之研究</w:t>
      </w:r>
    </w:p>
    <w:p>
      <w:pPr>
        <w:spacing w:after="60"/>
        <w:jc w:val="center"/>
      </w:pPr>
      <w:r>
        <w:rPr>
          <w:rFonts w:ascii="DFKai-SB" w:eastAsia="DFKai-SB" w:hAnsi="DFKai-SB"/>
          <w:b/>
          <w:bCs/>
          <w:sz w:val="30"/>
          <w:szCs w:val="30"/>
        </w:rPr>
        <w:t xml:space="preserve">下一期（第四期）樣區調查</w:t>
      </w:r>
    </w:p>
    <w:p>
      <w:pPr>
        <w:spacing w:after="240"/>
        <w:jc w:val="center"/>
      </w:pPr>
      <w:r>
        <w:rPr>
          <w:rFonts w:ascii="DFKai-SB" w:eastAsia="DFKai-SB" w:hAnsi="DFKai-SB"/>
          <w:b/>
          <w:bCs/>
          <w:sz w:val="30"/>
          <w:szCs w:val="30"/>
        </w:rPr>
        <w:t xml:space="preserve">作業程序手冊</w:t>
      </w:r>
    </w:p>
    <w:p>
      <w:pPr>
        <w:spacing w:after="200"/>
        <w:jc w:val="center"/>
      </w:pPr>
      <w:r>
        <w:rPr>
          <w:rFonts w:ascii="DFKai-SB" w:eastAsia="DFKai-SB" w:hAnsi="DFKai-SB"/>
          <w:b w:val="false"/>
          <w:bCs w:val="false"/>
          <w:sz w:val="24"/>
          <w:szCs w:val="24"/>
        </w:rPr>
        <w:t xml:space="preserve">—— 永久樣區複查標準作業程序（SOP）——</w:t>
      </w:r>
    </w:p>
    <w:p>
      <w:pPr>
        <w:spacing w:after="1500"/>
        <w:jc w:val="center"/>
      </w:pPr>
      <w:r>
        <w:rPr>
          <w:rFonts w:ascii="DFKai-SB" w:eastAsia="DFKai-SB" w:hAnsi="DFKai-SB"/>
          <w:sz w:val="22"/>
          <w:szCs w:val="22"/>
        </w:rPr>
        <w:t xml:space="preserve">研究樹種：土肉桂 </w:t>
      </w:r>
      <w:r>
        <w:rPr>
          <w:rFonts w:ascii="DFKai-SB" w:eastAsia="DFKai-SB" w:hAnsi="DFKai-SB"/>
          <w:i/>
          <w:iCs/>
          <w:sz w:val="22"/>
          <w:szCs w:val="22"/>
        </w:rPr>
        <w:t xml:space="preserve">Cinnamomum osmophloeum</w:t>
      </w:r>
    </w:p>
    <w:p>
      <w:pPr>
        <w:pBdr>
          <w:bottom w:val="single" w:color="2E6B3E" w:sz="12" w:space="1"/>
        </w:pBdr>
        <w:spacing w:after="200" w:before="200"/>
      </w:pPr>
    </w:p>
    <w:p>
      <w:pPr>
        <w:spacing w:after="80"/>
        <w:jc w:val="center"/>
      </w:pPr>
      <w:r>
        <w:rPr>
          <w:rFonts w:ascii="DFKai-SB" w:eastAsia="DFKai-SB" w:hAnsi="DFKai-SB"/>
          <w:b w:val="false"/>
          <w:bCs w:val="false"/>
          <w:sz w:val="24"/>
          <w:szCs w:val="24"/>
        </w:rPr>
        <w:t xml:space="preserve">版 本：第 1.0 版</w:t>
      </w:r>
    </w:p>
    <w:p>
      <w:pPr>
        <w:spacing w:after="80"/>
        <w:jc w:val="center"/>
      </w:pPr>
      <w:r>
        <w:rPr>
          <w:rFonts w:ascii="DFKai-SB" w:eastAsia="DFKai-SB" w:hAnsi="DFKai-SB"/>
          <w:b w:val="false"/>
          <w:bCs w:val="false"/>
          <w:sz w:val="24"/>
          <w:szCs w:val="24"/>
        </w:rPr>
        <w:t xml:space="preserve">編製日期：中華民國 115 年 6 月</w:t>
      </w:r>
    </w:p>
    <w:p>
      <w:pPr>
        <w:spacing w:after="80"/>
        <w:jc w:val="center"/>
      </w:pPr>
      <w:r>
        <w:rPr>
          <w:rFonts w:ascii="DFKai-SB" w:eastAsia="DFKai-SB" w:hAnsi="DFKai-SB"/>
          <w:b w:val="false"/>
          <w:bCs w:val="false"/>
          <w:sz w:val="22"/>
          <w:szCs w:val="22"/>
        </w:rPr>
        <w:t xml:space="preserve">適用期別：第四期複查（115Q2；推定調查日 2026-06-30，實際依現場排定）</w:t>
      </w:r>
    </w:p>
    <w:p>
      <w:r>
        <w:br w:type="page"/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目 次</w:t>
      </w:r>
    </w:p>
    <w:p>
      <w:pPr>
        <w:spacing w:after="80" w:line="340" w:lineRule="auto"/>
        <w:ind w:left="240"/>
      </w:pPr>
      <w:r>
        <w:t xml:space="preserve">壹、目的與適用範圍</w:t>
      </w:r>
    </w:p>
    <w:p>
      <w:pPr>
        <w:spacing w:after="80" w:line="340" w:lineRule="auto"/>
        <w:ind w:left="240"/>
      </w:pPr>
      <w:r>
        <w:t xml:space="preserve">貳、試驗設計與樣區概況</w:t>
      </w:r>
    </w:p>
    <w:p>
      <w:pPr>
        <w:spacing w:after="80" w:line="340" w:lineRule="auto"/>
        <w:ind w:left="240"/>
      </w:pPr>
      <w:r>
        <w:t xml:space="preserve">參、調查時程與期別</w:t>
      </w:r>
    </w:p>
    <w:p>
      <w:pPr>
        <w:spacing w:after="80" w:line="340" w:lineRule="auto"/>
        <w:ind w:left="240"/>
      </w:pPr>
      <w:r>
        <w:t xml:space="preserve">肆、調查前準備</w:t>
      </w:r>
    </w:p>
    <w:p>
      <w:pPr>
        <w:spacing w:after="80" w:line="340" w:lineRule="auto"/>
        <w:ind w:left="240"/>
      </w:pPr>
      <w:r>
        <w:t xml:space="preserve">伍、現場調查作業程序</w:t>
      </w:r>
    </w:p>
    <w:p>
      <w:pPr>
        <w:spacing w:after="80" w:line="340" w:lineRule="auto"/>
        <w:ind w:left="240"/>
      </w:pPr>
      <w:r>
        <w:t xml:space="preserve">陸、量測規範與精度</w:t>
      </w:r>
    </w:p>
    <w:p>
      <w:pPr>
        <w:spacing w:after="80" w:line="340" w:lineRule="auto"/>
        <w:ind w:left="240"/>
      </w:pPr>
      <w:r>
        <w:t xml:space="preserve">柒、系統登錄程序（ForestMRV）</w:t>
      </w:r>
    </w:p>
    <w:p>
      <w:pPr>
        <w:spacing w:after="80" w:line="340" w:lineRule="auto"/>
        <w:ind w:left="240"/>
      </w:pPr>
      <w:r>
        <w:t xml:space="preserve">捌、品質管制（QAQC）</w:t>
      </w:r>
    </w:p>
    <w:p>
      <w:pPr>
        <w:spacing w:after="80" w:line="340" w:lineRule="auto"/>
        <w:ind w:left="240"/>
      </w:pPr>
      <w:r>
        <w:t xml:space="preserve">玖、資料彙整、報表與備份</w:t>
      </w:r>
    </w:p>
    <w:p>
      <w:pPr>
        <w:spacing w:after="80" w:line="340" w:lineRule="auto"/>
        <w:ind w:left="240"/>
      </w:pPr>
      <w:r>
        <w:t xml:space="preserve">拾、安全與注意事項</w:t>
      </w:r>
    </w:p>
    <w:p>
      <w:pPr>
        <w:spacing w:after="80" w:line="340" w:lineRule="auto"/>
        <w:ind w:left="240"/>
      </w:pPr>
      <w:r>
        <w:t xml:space="preserve">附錄一 樣區基本資料表</w:t>
      </w:r>
    </w:p>
    <w:p>
      <w:pPr>
        <w:spacing w:after="80" w:line="340" w:lineRule="auto"/>
        <w:ind w:left="240"/>
      </w:pPr>
      <w:r>
        <w:t xml:space="preserve">附錄二 處理代碼與析因因子</w:t>
      </w:r>
    </w:p>
    <w:p>
      <w:pPr>
        <w:spacing w:after="80" w:line="340" w:lineRule="auto"/>
        <w:ind w:left="240"/>
      </w:pPr>
      <w:r>
        <w:t xml:space="preserve">附錄三 立木狀態碼對照表</w:t>
      </w:r>
    </w:p>
    <w:p>
      <w:pPr>
        <w:spacing w:after="80" w:line="340" w:lineRule="auto"/>
        <w:ind w:left="240"/>
      </w:pPr>
      <w:r>
        <w:t xml:space="preserve">附錄四 器材檢核清單</w:t>
      </w:r>
    </w:p>
    <w:p>
      <w:pPr>
        <w:spacing w:after="80" w:line="340" w:lineRule="auto"/>
        <w:ind w:left="240"/>
      </w:pPr>
      <w:r>
        <w:t xml:space="preserve">附錄五 野外記錄表（紙本備援）</w:t>
      </w:r>
    </w:p>
    <w:p>
      <w:r>
        <w:br w:type="page"/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壹、目的與適用範圍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一、目的</w:t>
      </w:r>
    </w:p>
    <w:p>
      <w:pPr>
        <w:spacing w:after="100" w:line="360" w:lineRule="auto"/>
        <w:ind w:firstLine="480"/>
        <w:jc w:val="both"/>
      </w:pPr>
      <w:r>
        <w:t xml:space="preserve">本手冊規範「土肉桂修枝矮化及施肥對生長影響之研究」永久樣區之下一期（第四期）複查作業，目的在確保各期調查之量測部位、量測方法、資料登錄與品質管制具一致性與可重複性，使跨期生長量（直徑、樹高增量）、枯死率、進界木與碳貯存變化之推估符合測量、報告、查證（MRV）與透明、一致、可比、完整、準確（TACCC）原則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二、適用範圍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適用對象：本研究全部 4 處樣區、共 16 個樣區—處理單元之每木複查。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適用人員：現場調查人員（含協助調查之學生）、資料登錄人員、品管複核人員。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適用系統：森林監測平臺 ForestMRV（網址 forestry-rs-monitor.web.app）之永久樣區複查（路 I）功能。</w:t>
      </w:r>
    </w:p>
    <w:p>
      <w:pPr>
        <w:spacing w:after="100" w:line="360" w:lineRule="auto"/>
        <w:ind w:firstLine="480"/>
        <w:jc w:val="both"/>
      </w:pPr>
      <w:r>
        <w:rPr>
          <w:b w:val="false"/>
          <w:bCs w:val="false"/>
          <w:i w:val="false"/>
          <w:iCs w:val="false"/>
        </w:rPr>
        <w:t xml:space="preserve">本研究樹種為土肉桂（</w:t>
      </w:r>
      <w:r>
        <w:rPr>
          <w:b w:val="false"/>
          <w:bCs w:val="false"/>
          <w:i/>
          <w:iCs/>
        </w:rPr>
        <w:t xml:space="preserve">Cinnamomum osmophloeum</w:t>
      </w:r>
      <w:r>
        <w:rPr>
          <w:b w:val="false"/>
          <w:bCs w:val="false"/>
          <w:i w:val="false"/>
          <w:iCs w:val="false"/>
        </w:rPr>
        <w:t xml:space="preserve">），全區單一樹種。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貳、試驗設計與樣區概況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一、試驗設計</w:t>
      </w:r>
    </w:p>
    <w:p>
      <w:pPr>
        <w:spacing w:after="100" w:line="360" w:lineRule="auto"/>
        <w:ind w:firstLine="480"/>
        <w:jc w:val="both"/>
      </w:pPr>
      <w:r>
        <w:t xml:space="preserve">本研究採二因子析因配置加對照，二因子為「修剪矮化」與「施肥」，共 4 種處理：對照（C0）、修剪矮化（P1）、施肥 150 公克（F150）、修剪加施肥（P1F150）。4 處樣區各完整配置上述 4 種處理，形成 16 個樣區—處理單元，每單元定期監測同一批永久標記之樣木。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二、樣區概況</w:t>
      </w:r>
    </w:p>
    <w:p>
      <w:pPr>
        <w:spacing w:after="100" w:line="360" w:lineRule="auto"/>
        <w:ind w:firstLine="480"/>
        <w:jc w:val="both"/>
      </w:pPr>
      <w:r>
        <w:t xml:space="preserve">本研究樣區分為兩類立地：成熟林 1 處（樣區 115121，15—20 年生）與幼齡林 3 處（樣區 117218、811、8110，1—2 年生）。兩類立地之徑級量測部位不同，詳見第陸章。各樣區基本資料見附錄一。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三、量測部位規定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成熟林（樣區 115121）：量測胸高直徑（DBH），量測高度為樹幹基部往上 1.3 公尺處。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幼齡林（樣區 117218、811、8110）：因苗木未達胸高，量測地際直徑（地徑），量測位置為根頸（地際）。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不同量測部位之徑值不得相互併算生物量；幼齡地徑於系統內標記為地徑（basal），本期暫不換算材積與碳量，僅累計斷面積與生長量。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四、多莖（萌蘗）處理原則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土肉桂常見萌蘗多莖，同一樣木之各莖均須逐莖量測直徑與樹高。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系統以二次平均徑彙整同株各莖為單一代表徑，計算式為 Dq 等於各莖直徑平方和除以莖數後取平方根；代表樹高採各莖樹高之算術平均。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材積、斷面積與碳量採「逐莖計算後加總」為整株值，避免以代表徑低估多莖整株量。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參、調查時程與期別</w:t>
      </w:r>
    </w:p>
    <w:p>
      <w:pPr>
        <w:spacing w:after="100" w:line="360" w:lineRule="auto"/>
        <w:ind w:firstLine="480"/>
        <w:jc w:val="both"/>
      </w:pPr>
      <w:r>
        <w:t xml:space="preserve">本研究已完成前三期複查：第一期（114Q3）、第二期（114Q4）、第三期（115Q1）。本手冊適用之下一期為第四期（115Q2）。各期調查宜維持約一季之間隔，以利年均生長量推估；實際調查日期以現場排定並回填系統為準。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表 3-1 各期別對照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期別</w:t>
            </w:r>
          </w:p>
        </w:tc>
        <w:tc>
          <w:tcPr>
            <w:tcW w:type="dxa" w:w="22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季別代碼</w:t>
            </w:r>
          </w:p>
        </w:tc>
        <w:tc>
          <w:tcPr>
            <w:tcW w:type="dxa" w:w="26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推定/實際調查日</w:t>
            </w:r>
          </w:p>
        </w:tc>
        <w:tc>
          <w:tcPr>
            <w:tcW w:type="dxa" w:w="2626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狀態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第一期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114Q3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2025-09-30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第二期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114Q4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2025-12-31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第三期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115Q1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2026-03-31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第四期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115Q2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2026-06-30（推定，待現場排定）</w:t>
            </w:r>
          </w:p>
        </w:tc>
        <w:tc>
          <w:tcPr>
            <w:tcW w:type="dxa" w:w="2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本期辦理</w:t>
            </w:r>
          </w:p>
        </w:tc>
      </w:tr>
    </w:tbl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肆、調查前準備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一、人員編組與分工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每組以 2 至 3 人為原則：1 人量測、1 人讀數與紙本記錄、1 人系統登錄或照相。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指派 1 名品管複核人員，負責當日抽樣複測與資料核對。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二、器材清單</w:t>
      </w:r>
    </w:p>
    <w:p>
      <w:pPr>
        <w:spacing w:after="100" w:line="360" w:lineRule="auto"/>
        <w:ind w:firstLine="480"/>
        <w:jc w:val="both"/>
      </w:pPr>
      <w:r>
        <w:t xml:space="preserve">出發前依附錄四逐項檢核。基本器材包含：徑帶或輪尺、雷射測高儀或測高桿、捲尺、噴漆或樹牌補釘、行動裝置（已安裝瀏覽器並可連線 ForestMRV）、紙本野外記錄表（附錄五）、相機、定位輔助工具及個人防護裝備。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三、系統端準備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由主持人或系統管理員於 ForestMRV 進入本專案，於各樣區詳情頁之「期別」區點選「開啟新一期複查」，建立第四期；系統將凍結前一期測值並以該期為當期採集。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於期別區點選「列印複查野外清單」，印出帶有上期值（上期直徑、樹高、活力、期距）之逐棵核對清單，作為現場底稿。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確認各樣區之量測部位設定（成熟林為胸徑、幼齡林為地徑）無誤。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伍、現場調查作業程序</w:t>
      </w:r>
    </w:p>
    <w:p>
      <w:pPr>
        <w:spacing w:after="100" w:line="360" w:lineRule="auto"/>
        <w:ind w:firstLine="480"/>
        <w:jc w:val="both"/>
      </w:pPr>
      <w:r>
        <w:t xml:space="preserve">以樣區—處理單元為單位，依列印之複查野外清單逐棵進行，程序如下。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一、立木定位與身分核對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依清單之樣木編號（格式為樣區代碼—處理—流水號，例如 115121-C0-001）找到對應樹牌。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核對樹種與位置；樹牌脫落或字跡不清者，依原編號補釘新牌，並於系統標記為樹牌脫落以利後續查核。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二、直徑量測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成熟林於 1.3 公尺胸高處、幼齡林於地際，以徑帶或輪尺量測，讀數至 0.1 公分。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量測位置應與上期一致；遇分叉、瘤節或傾斜木，依標準作法於規定高度上方平整處量測，並於備註說明。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多莖樣木逐莖量測，記錄各莖直徑。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三、樹高量測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以雷射測高儀或測高桿量測全高，讀數至 0.1 公尺。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多莖樣木逐莖量測樹高；系統代表樹高採各莖算術平均。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四、活力與狀態判定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存活木：依健康、衰弱判定活力等級。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枯死木：判定為枯立或倒伏，系統狀態記為枯死；該期直徑與樹高留空。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進界木：本期新達標或新出現之個體，記為進界，並記錄其進界期別。</w:t>
      </w:r>
    </w:p>
    <w:p>
      <w:pPr>
        <w:spacing w:after="70" w:line="340" w:lineRule="auto"/>
        <w:ind w:left="480" w:hanging="300"/>
        <w:jc w:val="both"/>
      </w:pPr>
      <w:r>
        <w:t xml:space="preserve">4. </w:t>
      </w:r>
      <w:r>
        <w:t xml:space="preserve">失蹤木：經清單比對仍無法尋獲者，記為失蹤，不可逕以枯死或新木替代。</w:t>
      </w:r>
    </w:p>
    <w:p>
      <w:pPr>
        <w:spacing w:after="100" w:line="360" w:lineRule="auto"/>
        <w:ind w:firstLine="480"/>
        <w:jc w:val="both"/>
      </w:pPr>
      <w:r>
        <w:t xml:space="preserve">附註：第三期（115Q1）幼齡樣區已出現枯死個體，第四期應特別留意苗木存活情形，確實判別枯死、失蹤與進界，避免污染枯死率與進界木統計。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五、影像紀錄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每樣區—處理單元至少拍攝整體景觀照 1 張；異常或枯死個體須個別拍照存證。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照片宜含可辨識之樣木編號或樹牌。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陸、量測規範與精度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表 6-1 量測項目與精度規範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200"/>
        <w:gridCol w:w="2400"/>
        <w:gridCol w:w="2200"/>
        <w:gridCol w:w="2226"/>
      </w:tblGrid>
      <w:tr>
        <w:trPr>
          <w:tblHeader/>
        </w:trPr>
        <w:tc>
          <w:tcPr>
            <w:tcW w:type="dxa" w:w="22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量測項目</w:t>
            </w:r>
          </w:p>
        </w:tc>
        <w:tc>
          <w:tcPr>
            <w:tcW w:type="dxa" w:w="24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部位/方法</w:t>
            </w:r>
          </w:p>
        </w:tc>
        <w:tc>
          <w:tcPr>
            <w:tcW w:type="dxa" w:w="22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單位/精度</w:t>
            </w:r>
          </w:p>
        </w:tc>
        <w:tc>
          <w:tcPr>
            <w:tcW w:type="dxa" w:w="2226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直徑（成熟林）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胸高 1.3 m，徑帶/輪尺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公分，至 0.1</w:t>
            </w:r>
          </w:p>
        </w:tc>
        <w:tc>
          <w:tcPr>
            <w:tcW w:type="dxa" w:w="2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與上期同位量測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直徑（幼齡林）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地際（根頸）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公分，至 0.1</w:t>
            </w:r>
          </w:p>
        </w:tc>
        <w:tc>
          <w:tcPr>
            <w:tcW w:type="dxa" w:w="2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地徑，勿與胸徑併算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樹高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雷射測高儀/測高桿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公尺，至 0.1</w:t>
            </w:r>
          </w:p>
        </w:tc>
        <w:tc>
          <w:tcPr>
            <w:tcW w:type="dxa" w:w="2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全高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多莖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逐莖量測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同上</w:t>
            </w:r>
          </w:p>
        </w:tc>
        <w:tc>
          <w:tcPr>
            <w:tcW w:type="dxa" w:w="2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系統以 Dq 與平均樹高彙整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活力/狀態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目視判定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等級/狀態碼</w:t>
            </w:r>
          </w:p>
        </w:tc>
        <w:tc>
          <w:tcPr>
            <w:tcW w:type="dxa" w:w="2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見附錄三</w:t>
            </w:r>
          </w:p>
        </w:tc>
      </w:tr>
    </w:tbl>
    <w:p>
      <w:pPr>
        <w:spacing w:after="100" w:line="360" w:lineRule="auto"/>
        <w:ind w:firstLine="480"/>
        <w:jc w:val="both"/>
      </w:pPr>
      <w:r>
        <w:t xml:space="preserve">量測誤差容許值（供品管參考）：直徑容許差以 ±0.3 公分為原則，樹高容許差以 ±5% 為原則；逾容許者應重新量測。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柒、系統登錄程序（ForestMRV）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一、登入與進入樣區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以授權帳號登入 ForestMRV，進入本專案後選取目標樣區，確認當期為第四期。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二、立木表單登錄與上期值核對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於「立木調查」分頁，點選目標樣木開啟表單；系統於表單頂端顯示「上期面板」（上期直徑、樹高、活力、期距）供現場核對。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輸入本期直徑、樹高、活力與狀態。系統即時顯示與上期之直徑、樹高變化量並於異常增減時給予軟提示（不阻擋存檔，僅供核對）。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多莖樣木逐莖輸入；枯死木將直徑、樹高留空並選取枯死狀態。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三、重號與座標防呆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新增立木時，若與同樣區既有樣木編號重複，系統於複查期將導向「重測既有立木」，第一期則直接擋下，避免同株重複計數。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本研究樣木無逐株座標，毋須輸入定位座標；如誤填超出合理範圍之座標，系統將於儲存時攔截。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四、即時計算與歷期檢視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存檔時系統依樹種材積式即時計算斷面積、材積與碳量並凍結為當期歷史測值（幼齡地徑僅計斷面積）。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於立木清單點選各樣木之「歷期」按鈕，可檢視該樹歷次（第一期至本期）之直徑、樹高、活力與碳量逐期值，供現場合理性研判。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捌、品質管制（QAQC）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抽樣複測：每樣區—處理單元由品管人員隨機抽取至少 10% 樣木重新量測，與原值比對。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誤差判定：超出第陸章容許值者，會同原量測人員確認後更正。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完整性檢核：對照複查野外清單，確認上期所有樣木均有本期結果（存活、枯死、失蹤或進界其一），無遺漏。</w:t>
      </w:r>
    </w:p>
    <w:p>
      <w:pPr>
        <w:spacing w:after="70" w:line="340" w:lineRule="auto"/>
        <w:ind w:left="480" w:hanging="300"/>
        <w:jc w:val="both"/>
      </w:pPr>
      <w:r>
        <w:t xml:space="preserve">4. </w:t>
      </w:r>
      <w:r>
        <w:t xml:space="preserve">一致性檢核：確認量測部位、單位與多莖處理符合本手冊規定。</w:t>
      </w:r>
    </w:p>
    <w:p>
      <w:pPr>
        <w:spacing w:after="70" w:line="340" w:lineRule="auto"/>
        <w:ind w:left="480" w:hanging="300"/>
        <w:jc w:val="both"/>
      </w:pPr>
      <w:r>
        <w:t xml:space="preserve">5. </w:t>
      </w:r>
      <w:r>
        <w:t xml:space="preserve">簽核：當日調查與複核完成後，由品管人員簽署紙本記錄表，並於系統確認登錄完成。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玖、資料彙整、報表與備份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全部樣區登錄完成後，於專案「儀表板」分頁之「複查成長報表（I-6）」點選「產生複查報表」，檢視期別摘要（活立木數、平均直徑、總斷面積、總材積、活碳）與期間轉換（年均直徑與樹高增量、枯死率、進界木、淨碳變化）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經研判數據合理後，匯出複查報表 CSV 留存。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紙本記錄表掃描歸檔；影像依樣區與期別分類保存。</w:t>
      </w:r>
    </w:p>
    <w:p>
      <w:pPr>
        <w:spacing w:after="70" w:line="340" w:lineRule="auto"/>
        <w:ind w:left="480" w:hanging="300"/>
        <w:jc w:val="both"/>
      </w:pPr>
      <w:r>
        <w:t xml:space="preserve">4. </w:t>
      </w:r>
      <w:r>
        <w:t xml:space="preserve">資料正本以雲端資料庫為準，本機僅作工作副本，避免單點遺失。</w:t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拾、安全與注意事項</w:t>
      </w:r>
    </w:p>
    <w:p>
      <w:pPr>
        <w:spacing w:after="70" w:line="340" w:lineRule="auto"/>
        <w:ind w:left="480" w:hanging="300"/>
        <w:jc w:val="both"/>
      </w:pPr>
      <w:r>
        <w:t xml:space="preserve">1. </w:t>
      </w:r>
      <w:r>
        <w:t xml:space="preserve">山區作業注意地形、落石與天候，避免單獨行動，並告知行程與預計返回時間。</w:t>
      </w:r>
    </w:p>
    <w:p>
      <w:pPr>
        <w:spacing w:after="70" w:line="340" w:lineRule="auto"/>
        <w:ind w:left="480" w:hanging="300"/>
        <w:jc w:val="both"/>
      </w:pPr>
      <w:r>
        <w:t xml:space="preserve">2. </w:t>
      </w:r>
      <w:r>
        <w:t xml:space="preserve">注意虎頭蜂、蛇類及有毒植物；攜帶基本急救用品。</w:t>
      </w:r>
    </w:p>
    <w:p>
      <w:pPr>
        <w:spacing w:after="70" w:line="340" w:lineRule="auto"/>
        <w:ind w:left="480" w:hanging="300"/>
        <w:jc w:val="both"/>
      </w:pPr>
      <w:r>
        <w:t xml:space="preserve">3. </w:t>
      </w:r>
      <w:r>
        <w:t xml:space="preserve">量測器材（輪尺、測高儀）使用後檢查歸位，避免遺落於樣區。</w:t>
      </w:r>
    </w:p>
    <w:p>
      <w:pPr>
        <w:spacing w:after="70" w:line="340" w:lineRule="auto"/>
        <w:ind w:left="480" w:hanging="300"/>
        <w:jc w:val="both"/>
      </w:pPr>
      <w:r>
        <w:t xml:space="preserve">4. </w:t>
      </w:r>
      <w:r>
        <w:t xml:space="preserve">尊重林地與承租人權益，作業後恢復現場、不留垃圾。</w:t>
      </w:r>
    </w:p>
    <w:p>
      <w:r>
        <w:br w:type="page"/>
      </w:r>
    </w:p>
    <w:p>
      <w:pPr>
        <w:keepNext/>
        <w:spacing w:after="140" w:before="260"/>
      </w:pPr>
      <w:r>
        <w:rPr>
          <w:b/>
          <w:bCs/>
          <w:sz w:val="30"/>
          <w:szCs w:val="30"/>
        </w:rPr>
        <w:t xml:space="preserve">附錄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附錄一 樣區基本資料表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3000"/>
        <w:gridCol w:w="2100"/>
        <w:gridCol w:w="1226"/>
        <w:gridCol w:w="1200"/>
      </w:tblGrid>
      <w:tr>
        <w:trPr>
          <w:tblHeader/>
        </w:trPr>
        <w:tc>
          <w:tcPr>
            <w:tcW w:type="dxa" w:w="15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樣區代碼</w:t>
            </w:r>
          </w:p>
        </w:tc>
        <w:tc>
          <w:tcPr>
            <w:tcW w:type="dxa" w:w="30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事業區・林班（假地號）</w:t>
            </w:r>
          </w:p>
        </w:tc>
        <w:tc>
          <w:tcPr>
            <w:tcW w:type="dxa" w:w="21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林型（齡級）</w:t>
            </w:r>
          </w:p>
        </w:tc>
        <w:tc>
          <w:tcPr>
            <w:tcW w:type="dxa" w:w="1226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量測部位</w:t>
            </w:r>
          </w:p>
        </w:tc>
        <w:tc>
          <w:tcPr>
            <w:tcW w:type="dxa" w:w="12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面積(ha)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115121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大安溪事業區 115 林班假 12 號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成熟林（15—20 年生）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胸徑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0.5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117218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大安溪事業區 117 林班假 28 號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幼齡林（1—2 年生）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地徑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0.355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811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八仙山事業區 8 林班假 1 號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幼齡林（1—2 年生）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地徑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0.2372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8110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八仙山事業區 8 林班假 1 號-10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幼齡林（1—2 年生）</w:t>
            </w:r>
          </w:p>
        </w:tc>
        <w:tc>
          <w:tcPr>
            <w:tcW w:type="dxa" w:w="1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地徑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0.4482</w:t>
            </w:r>
          </w:p>
        </w:tc>
      </w:tr>
    </w:tbl>
    <w:p>
      <w:pPr>
        <w:spacing w:after="120" w:before="60"/>
      </w:pPr>
      <w:r>
        <w:t xml:space="preserve">附註：各樣區均配置 C0、P1、F150、P1F150 四處理，合計 16 個樣區—處理單元。</w:t>
      </w:r>
    </w:p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附錄二 處理代碼與析因因子</w:t>
      </w:r>
    </w:p>
    <w:tbl>
      <w:tblPr>
        <w:tblW w:type="dxa" w:w="75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500"/>
        <w:gridCol w:w="2600"/>
        <w:gridCol w:w="1700"/>
        <w:gridCol w:w="1700"/>
      </w:tblGrid>
      <w:tr>
        <w:trPr>
          <w:tblHeader/>
        </w:trPr>
        <w:tc>
          <w:tcPr>
            <w:tcW w:type="dxa" w:w="15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處理代碼</w:t>
            </w:r>
          </w:p>
        </w:tc>
        <w:tc>
          <w:tcPr>
            <w:tcW w:type="dxa" w:w="26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處理內容</w:t>
            </w:r>
          </w:p>
        </w:tc>
        <w:tc>
          <w:tcPr>
            <w:tcW w:type="dxa" w:w="17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修剪（0/1）</w:t>
            </w:r>
          </w:p>
        </w:tc>
        <w:tc>
          <w:tcPr>
            <w:tcW w:type="dxa" w:w="17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施肥（公克）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C0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對照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修剪矮化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F150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施肥 150 公克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150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P1F150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修剪加施肥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150</w:t>
            </w:r>
          </w:p>
        </w:tc>
      </w:tr>
    </w:tbl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附錄三 立木狀態碼對照表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類別</w:t>
            </w:r>
          </w:p>
        </w:tc>
        <w:tc>
          <w:tcPr>
            <w:tcW w:type="dxa" w:w="24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狀態</w:t>
            </w:r>
          </w:p>
        </w:tc>
        <w:tc>
          <w:tcPr>
            <w:tcW w:type="dxa" w:w="4426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說明與作業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活力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健康／衰弱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存活木依目視判定活力等級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複查命運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存活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兩期皆活，計入生長量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複查命運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枯死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枯立或倒伏；直徑、樹高留空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複查命運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進界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本期新出現/新達標；記錄進界期別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複查命運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失蹤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無法尋獲；不得以枯死或新木替代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身分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樹牌脫落</w:t>
            </w:r>
          </w:p>
        </w:tc>
        <w:tc>
          <w:tcPr>
            <w:tcW w:type="dxa" w:w="4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依原編號補釘新牌並標記</w:t>
            </w:r>
          </w:p>
        </w:tc>
      </w:tr>
    </w:tbl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附錄四 器材檢核清單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項目</w:t>
            </w:r>
          </w:p>
        </w:tc>
        <w:tc>
          <w:tcPr>
            <w:tcW w:type="dxa" w:w="4513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檢核（□）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徑帶／輪尺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雷射測高儀／測高桿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捲尺、噴漆、樹牌與補釘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行動裝置（可連線 ForestMRV）與電源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複查野外清單（已列印）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紙本野外記錄表（附錄五）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相機／攝影設備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急救用品與個人防護裝備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□</w:t>
            </w:r>
          </w:p>
        </w:tc>
      </w:tr>
    </w:tbl>
    <w:p>
      <w:pPr>
        <w:keepNext/>
        <w:spacing w:after="100" w:before="160"/>
      </w:pPr>
      <w:r>
        <w:rPr>
          <w:b/>
          <w:bCs/>
          <w:sz w:val="26"/>
          <w:szCs w:val="26"/>
        </w:rPr>
        <w:t xml:space="preserve">附錄五 野外記錄表（紙本備援）</w:t>
      </w:r>
    </w:p>
    <w:p>
      <w:pPr>
        <w:spacing w:after="100" w:before="60"/>
      </w:pPr>
      <w:r>
        <w:t xml:space="preserve">樣區—處理：____________   調查日期：____________   記錄人：____________</w:t>
      </w:r>
    </w:p>
    <w:tbl>
      <w:tblPr>
        <w:tblW w:type="dxa" w:w="8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700"/>
        <w:gridCol w:w="1100"/>
        <w:gridCol w:w="1100"/>
        <w:gridCol w:w="1100"/>
        <w:gridCol w:w="1400"/>
        <w:gridCol w:w="1626"/>
      </w:tblGrid>
      <w:tr>
        <w:trPr>
          <w:tblHeader/>
        </w:trPr>
        <w:tc>
          <w:tcPr>
            <w:tcW w:type="dxa" w:w="17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樣木編號</w:t>
            </w:r>
          </w:p>
        </w:tc>
        <w:tc>
          <w:tcPr>
            <w:tcW w:type="dxa" w:w="11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莖序</w:t>
            </w:r>
          </w:p>
        </w:tc>
        <w:tc>
          <w:tcPr>
            <w:tcW w:type="dxa" w:w="11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直徑(cm)</w:t>
            </w:r>
          </w:p>
        </w:tc>
        <w:tc>
          <w:tcPr>
            <w:tcW w:type="dxa" w:w="11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樹高(m)</w:t>
            </w:r>
          </w:p>
        </w:tc>
        <w:tc>
          <w:tcPr>
            <w:tcW w:type="dxa" w:w="1400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活力/狀態</w:t>
            </w:r>
          </w:p>
        </w:tc>
        <w:tc>
          <w:tcPr>
            <w:tcW w:type="dxa" w:w="1626"/>
            <w:shd w:fill="D9E8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t xml:space="preserve"/>
            </w:r>
          </w:p>
        </w:tc>
      </w:tr>
    </w:tbl>
    <w:p>
      <w:pPr>
        <w:spacing w:before="80"/>
      </w:pPr>
      <w:r>
        <w:t xml:space="preserve">附註：本表為連線異常時之紙本備援，回程後須將資料補登 ForestMRV。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eastAsia="DFKai-SB" w:hAnsi="DFKai-S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2026-06-09T09:03:42.526Z</dcterms:created>
  <dcterms:modified xsi:type="dcterms:W3CDTF">2026-06-09T09:03:42.589Z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