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333333"/>
          <w:sz w:val="24"/>
          <w:szCs w:val="24"/>
          <w:highlight w:val="white"/>
        </w:rPr>
      </w:pPr>
      <w:r w:rsidDel="00000000" w:rsidR="00000000" w:rsidRPr="00000000">
        <w:rPr>
          <w:b w:val="1"/>
          <w:color w:val="333333"/>
          <w:sz w:val="24"/>
          <w:szCs w:val="24"/>
          <w:highlight w:val="white"/>
          <w:rtl w:val="0"/>
        </w:rPr>
        <w:t xml:space="preserve">Proposal for Capstone</w:t>
      </w:r>
    </w:p>
    <w:p w:rsidR="00000000" w:rsidDel="00000000" w:rsidP="00000000" w:rsidRDefault="00000000" w:rsidRPr="00000000" w14:paraId="00000002">
      <w:pPr>
        <w:shd w:fill="ffffff" w:val="clear"/>
        <w:spacing w:after="200" w:lineRule="auto"/>
        <w:rPr>
          <w:i w:val="1"/>
          <w:color w:val="333333"/>
          <w:sz w:val="24"/>
          <w:szCs w:val="24"/>
        </w:rPr>
      </w:pPr>
      <w:r w:rsidDel="00000000" w:rsidR="00000000" w:rsidRPr="00000000">
        <w:rPr>
          <w:i w:val="1"/>
          <w:color w:val="333333"/>
          <w:sz w:val="24"/>
          <w:szCs w:val="24"/>
          <w:rtl w:val="0"/>
        </w:rPr>
        <w:t xml:space="preserve">Introduction:</w:t>
      </w:r>
    </w:p>
    <w:p w:rsidR="00000000" w:rsidDel="00000000" w:rsidP="00000000" w:rsidRDefault="00000000" w:rsidRPr="00000000" w14:paraId="00000003">
      <w:pPr>
        <w:shd w:fill="ffffff" w:val="clear"/>
        <w:spacing w:after="200" w:lineRule="auto"/>
        <w:rPr>
          <w:color w:val="333333"/>
          <w:sz w:val="24"/>
          <w:szCs w:val="24"/>
        </w:rPr>
      </w:pPr>
      <w:r w:rsidDel="00000000" w:rsidR="00000000" w:rsidRPr="00000000">
        <w:rPr>
          <w:color w:val="333333"/>
          <w:sz w:val="24"/>
          <w:szCs w:val="24"/>
          <w:rtl w:val="0"/>
        </w:rPr>
        <w:t xml:space="preserve">Banning books in public schools has a long and controversial history in the United States and is not a practice that has been decreasing.  According to the New York Times, “</w:t>
      </w:r>
      <w:r w:rsidDel="00000000" w:rsidR="00000000" w:rsidRPr="00000000">
        <w:rPr>
          <w:color w:val="363636"/>
          <w:sz w:val="24"/>
          <w:szCs w:val="24"/>
          <w:highlight w:val="white"/>
          <w:rtl w:val="0"/>
        </w:rPr>
        <w:t xml:space="preserve">the American Library Association received an “unprecedented” 330 reports of book challenges last fall.”</w:t>
      </w:r>
      <w:r w:rsidDel="00000000" w:rsidR="00000000" w:rsidRPr="00000000">
        <w:rPr>
          <w:color w:val="363636"/>
          <w:sz w:val="24"/>
          <w:szCs w:val="24"/>
          <w:highlight w:val="white"/>
          <w:vertAlign w:val="superscript"/>
        </w:rPr>
        <w:footnoteReference w:customMarkFollows="0" w:id="0"/>
      </w:r>
      <w:r w:rsidDel="00000000" w:rsidR="00000000" w:rsidRPr="00000000">
        <w:rPr>
          <w:color w:val="363636"/>
          <w:sz w:val="24"/>
          <w:szCs w:val="24"/>
          <w:highlight w:val="white"/>
          <w:rtl w:val="0"/>
        </w:rPr>
        <w:t xml:space="preserve">  Does banning books protect the innocence of children or limit their ability to learn?  Is there a connection between areas where the overall population is less educated and those that ban more books?  While exploratory data analysis may not be able to fully answer these questions and their complex implications, exploring data for banned books, literacy rates, and education levels may be able to help us find useful patterns and connections.  Finally, we can compile these findings to help individual school districts, administrators, and educators understand more about the practice of banning books and ideally to understand additional facts to consider as they make these choices in the future.</w:t>
      </w:r>
      <w:r w:rsidDel="00000000" w:rsidR="00000000" w:rsidRPr="00000000">
        <w:rPr>
          <w:rtl w:val="0"/>
        </w:rPr>
      </w:r>
    </w:p>
    <w:p w:rsidR="00000000" w:rsidDel="00000000" w:rsidP="00000000" w:rsidRDefault="00000000" w:rsidRPr="00000000" w14:paraId="00000004">
      <w:pPr>
        <w:shd w:fill="ffffff" w:val="clear"/>
        <w:spacing w:after="200" w:lineRule="auto"/>
        <w:rPr>
          <w:i w:val="1"/>
          <w:color w:val="333333"/>
          <w:sz w:val="24"/>
          <w:szCs w:val="24"/>
        </w:rPr>
      </w:pPr>
      <w:r w:rsidDel="00000000" w:rsidR="00000000" w:rsidRPr="00000000">
        <w:rPr>
          <w:i w:val="1"/>
          <w:color w:val="333333"/>
          <w:sz w:val="24"/>
          <w:szCs w:val="24"/>
          <w:rtl w:val="0"/>
        </w:rPr>
        <w:t xml:space="preserve">Project description:</w:t>
      </w:r>
    </w:p>
    <w:p w:rsidR="00000000" w:rsidDel="00000000" w:rsidP="00000000" w:rsidRDefault="00000000" w:rsidRPr="00000000" w14:paraId="00000005">
      <w:pPr>
        <w:shd w:fill="ffffff" w:val="clear"/>
        <w:spacing w:after="200" w:lineRule="auto"/>
        <w:rPr>
          <w:color w:val="333333"/>
          <w:sz w:val="24"/>
          <w:szCs w:val="24"/>
        </w:rPr>
      </w:pPr>
      <w:r w:rsidDel="00000000" w:rsidR="00000000" w:rsidRPr="00000000">
        <w:rPr>
          <w:color w:val="333333"/>
          <w:sz w:val="24"/>
          <w:szCs w:val="24"/>
          <w:rtl w:val="0"/>
        </w:rPr>
        <w:t xml:space="preserve">This project is aimed at helping Client X create a more personalised customer experience.  We will focus on two main objectives: (1) an analysis of banned books, literacy rates, and education levels and (2) the development of a presentation to help express this analysis and any relevant findings.  These two branches of the project will combine to give school districts a better understanding of banning books and will allow them to consider these facts in the choices they make for future students.</w:t>
      </w:r>
    </w:p>
    <w:p w:rsidR="00000000" w:rsidDel="00000000" w:rsidP="00000000" w:rsidRDefault="00000000" w:rsidRPr="00000000" w14:paraId="00000006">
      <w:pPr>
        <w:shd w:fill="ffffff" w:val="clear"/>
        <w:spacing w:after="200" w:lineRule="auto"/>
        <w:rPr>
          <w:color w:val="333333"/>
          <w:sz w:val="24"/>
          <w:szCs w:val="24"/>
        </w:rPr>
      </w:pPr>
      <w:r w:rsidDel="00000000" w:rsidR="00000000" w:rsidRPr="00000000">
        <w:rPr>
          <w:color w:val="333333"/>
          <w:sz w:val="24"/>
          <w:szCs w:val="24"/>
          <w:rtl w:val="0"/>
        </w:rPr>
        <w:t xml:space="preserve">In Objective 1, “Insights”, we will perform an analysis on data such as </w:t>
      </w:r>
      <w:r w:rsidDel="00000000" w:rsidR="00000000" w:rsidRPr="00000000">
        <w:rPr>
          <w:color w:val="333333"/>
          <w:sz w:val="24"/>
          <w:szCs w:val="24"/>
          <w:rtl w:val="0"/>
        </w:rPr>
        <w:t xml:space="preserve">PEN America's Index of School Book Bans, National Center for Education Statistics, </w:t>
      </w:r>
      <w:r w:rsidDel="00000000" w:rsidR="00000000" w:rsidRPr="00000000">
        <w:rPr>
          <w:sz w:val="24"/>
          <w:szCs w:val="24"/>
          <w:rtl w:val="0"/>
        </w:rPr>
        <w:t xml:space="preserve">World bank world development indicator, and any other easily accessible, reliable, relevant datasets deemed necessary during exploratory analysis</w:t>
      </w:r>
      <w:r w:rsidDel="00000000" w:rsidR="00000000" w:rsidRPr="00000000">
        <w:rPr>
          <w:color w:val="333333"/>
          <w:sz w:val="24"/>
          <w:szCs w:val="24"/>
          <w:rtl w:val="0"/>
        </w:rPr>
        <w:t xml:space="preserve">. We will first perform an in-depth analysis in which we will assess data quality and completeness and perform preliminary exploratory analyses, looking for clear relationships between various aspects. We will then select a subset of features that we feel have the most utility for meaningful, interpretable conclusions. To achieve this we will explore several methodologies before determining which we feel has the most promise for these particular datasets.</w:t>
      </w:r>
    </w:p>
    <w:p w:rsidR="00000000" w:rsidDel="00000000" w:rsidP="00000000" w:rsidRDefault="00000000" w:rsidRPr="00000000" w14:paraId="00000007">
      <w:pPr>
        <w:shd w:fill="ffffff" w:val="clear"/>
        <w:spacing w:after="200" w:lineRule="auto"/>
        <w:rPr>
          <w:color w:val="333333"/>
          <w:sz w:val="24"/>
          <w:szCs w:val="24"/>
        </w:rPr>
      </w:pPr>
      <w:r w:rsidDel="00000000" w:rsidR="00000000" w:rsidRPr="00000000">
        <w:rPr>
          <w:color w:val="333333"/>
          <w:sz w:val="24"/>
          <w:szCs w:val="24"/>
          <w:rtl w:val="0"/>
        </w:rPr>
        <w:t xml:space="preserve">While performing this and future analysis, we will also consider problems or concerns with the data, its collection, or any other indications that we should be cautious of as we proceed.  We may be unable to avoid any of these concerns, but we will monitor them as we analyze the data and report them during our final presentation as to avoid misleading conclusions.  Before beginning analysis, we are considering aspects such as how literacy rates are determined, the potential for researcher and analyser individual bias in areas like worldview, politics, and personal experience, </w:t>
      </w:r>
    </w:p>
    <w:p w:rsidR="00000000" w:rsidDel="00000000" w:rsidP="00000000" w:rsidRDefault="00000000" w:rsidRPr="00000000" w14:paraId="00000008">
      <w:pPr>
        <w:shd w:fill="ffffff" w:val="clear"/>
        <w:spacing w:after="200" w:lineRule="auto"/>
        <w:rPr>
          <w:color w:val="333333"/>
          <w:sz w:val="24"/>
          <w:szCs w:val="24"/>
        </w:rPr>
      </w:pPr>
      <w:r w:rsidDel="00000000" w:rsidR="00000000" w:rsidRPr="00000000">
        <w:rPr>
          <w:color w:val="333333"/>
          <w:sz w:val="24"/>
          <w:szCs w:val="24"/>
          <w:rtl w:val="0"/>
        </w:rPr>
        <w:t xml:space="preserve">In Objective 2, “Product recommendations”, we will focus on creating recommendations that can be used to advise school districts and others considering future book banning decisions. We plan to use the aspects identified in Objective 1 as the focus of these conclusions.  However we may find through the course of researching that a different approach is more appropriate. We have broken this project into two discrete phases: research and building. The research phase will explore various approaches intended to gain enough knowledge to identify the most meaningful connections.</w:t>
      </w:r>
    </w:p>
    <w:p w:rsidR="00000000" w:rsidDel="00000000" w:rsidP="00000000" w:rsidRDefault="00000000" w:rsidRPr="00000000" w14:paraId="00000009">
      <w:pPr>
        <w:shd w:fill="ffffff" w:val="clear"/>
        <w:spacing w:after="200" w:lineRule="auto"/>
        <w:rPr>
          <w:color w:val="333333"/>
          <w:sz w:val="24"/>
          <w:szCs w:val="24"/>
        </w:rPr>
      </w:pPr>
      <w:r w:rsidDel="00000000" w:rsidR="00000000" w:rsidRPr="00000000">
        <w:rPr>
          <w:color w:val="333333"/>
          <w:sz w:val="24"/>
          <w:szCs w:val="24"/>
          <w:rtl w:val="0"/>
        </w:rPr>
        <w:t xml:space="preserve">We outline the plan for this project below.</w:t>
      </w:r>
    </w:p>
    <w:p w:rsidR="00000000" w:rsidDel="00000000" w:rsidP="00000000" w:rsidRDefault="00000000" w:rsidRPr="00000000" w14:paraId="0000000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00" w:lineRule="auto"/>
        <w:rPr>
          <w:b w:val="1"/>
          <w:color w:val="333333"/>
          <w:sz w:val="24"/>
          <w:szCs w:val="24"/>
          <w:highlight w:val="white"/>
        </w:rPr>
      </w:pPr>
      <w:r w:rsidDel="00000000" w:rsidR="00000000" w:rsidRPr="00000000">
        <w:rPr>
          <w:b w:val="1"/>
          <w:color w:val="333333"/>
          <w:sz w:val="24"/>
          <w:szCs w:val="24"/>
          <w:highlight w:val="white"/>
          <w:rtl w:val="0"/>
        </w:rPr>
        <w:t xml:space="preserve">Project Proposal: Insights and Recommendations</w:t>
      </w:r>
      <w:r w:rsidDel="00000000" w:rsidR="00000000" w:rsidRPr="00000000">
        <w:rPr>
          <w:b w:val="1"/>
          <w:color w:val="333333"/>
          <w:sz w:val="24"/>
          <w:szCs w:val="24"/>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0C">
      <w:pPr>
        <w:spacing w:after="200" w:lineRule="auto"/>
        <w:rPr>
          <w:i w:val="1"/>
          <w:color w:val="333333"/>
          <w:sz w:val="24"/>
          <w:szCs w:val="24"/>
          <w:highlight w:val="white"/>
        </w:rPr>
      </w:pPr>
      <w:r w:rsidDel="00000000" w:rsidR="00000000" w:rsidRPr="00000000">
        <w:rPr>
          <w:i w:val="1"/>
          <w:color w:val="333333"/>
          <w:sz w:val="24"/>
          <w:szCs w:val="24"/>
          <w:highlight w:val="white"/>
          <w:rtl w:val="0"/>
        </w:rPr>
        <w:t xml:space="preserve">Objective: This project is aimed at developing recommendations that will employ innovative approaches to understanding any connections between banning books and literacy in individual school districts.</w:t>
      </w:r>
    </w:p>
    <w:p w:rsidR="00000000" w:rsidDel="00000000" w:rsidP="00000000" w:rsidRDefault="00000000" w:rsidRPr="00000000" w14:paraId="0000000D">
      <w:pPr>
        <w:shd w:fill="ffffff" w:val="clear"/>
        <w:rPr>
          <w:b w:val="1"/>
          <w:color w:val="333333"/>
          <w:sz w:val="24"/>
          <w:szCs w:val="24"/>
        </w:rPr>
      </w:pPr>
      <w:r w:rsidDel="00000000" w:rsidR="00000000" w:rsidRPr="00000000">
        <w:rPr>
          <w:b w:val="1"/>
          <w:color w:val="333333"/>
          <w:sz w:val="24"/>
          <w:szCs w:val="24"/>
          <w:rtl w:val="0"/>
        </w:rPr>
        <w:t xml:space="preserve">Objective 1: Data insights</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3615"/>
        <w:gridCol w:w="2730"/>
        <w:gridCol w:w="1560"/>
        <w:tblGridChange w:id="0">
          <w:tblGrid>
            <w:gridCol w:w="1440"/>
            <w:gridCol w:w="3615"/>
            <w:gridCol w:w="2730"/>
            <w:gridCol w:w="1560"/>
          </w:tblGrid>
        </w:tblGridChange>
      </w:tblGrid>
      <w:tr>
        <w:trPr>
          <w:cantSplit w:val="0"/>
          <w:trHeight w:val="750" w:hRule="atLeast"/>
          <w:tblHeader w:val="0"/>
        </w:trPr>
        <w:tc>
          <w:tcPr>
            <w:tcBorders>
              <w:top w:color="dddddd" w:space="0" w:sz="6" w:val="single"/>
              <w:left w:color="000000" w:space="0" w:sz="0" w:val="nil"/>
              <w:bottom w:color="dddddd" w:space="0" w:sz="6"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E">
            <w:pPr>
              <w:spacing w:after="180" w:lineRule="auto"/>
              <w:jc w:val="center"/>
              <w:rPr>
                <w:color w:val="333333"/>
              </w:rPr>
            </w:pPr>
            <w:r w:rsidDel="00000000" w:rsidR="00000000" w:rsidRPr="00000000">
              <w:rPr>
                <w:b w:val="1"/>
                <w:color w:val="333333"/>
                <w:rtl w:val="0"/>
              </w:rPr>
              <w:t xml:space="preserve">Milestone</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F">
            <w:pPr>
              <w:spacing w:after="180" w:lineRule="auto"/>
              <w:jc w:val="center"/>
              <w:rPr>
                <w:color w:val="333333"/>
              </w:rPr>
            </w:pPr>
            <w:r w:rsidDel="00000000" w:rsidR="00000000" w:rsidRPr="00000000">
              <w:rPr>
                <w:b w:val="1"/>
                <w:color w:val="333333"/>
                <w:rtl w:val="0"/>
              </w:rPr>
              <w:t xml:space="preserve">Work Carried Out</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0">
            <w:pPr>
              <w:spacing w:after="180" w:lineRule="auto"/>
              <w:jc w:val="center"/>
              <w:rPr>
                <w:color w:val="333333"/>
              </w:rPr>
            </w:pPr>
            <w:r w:rsidDel="00000000" w:rsidR="00000000" w:rsidRPr="00000000">
              <w:rPr>
                <w:b w:val="1"/>
                <w:color w:val="333333"/>
                <w:rtl w:val="0"/>
              </w:rPr>
              <w:t xml:space="preserve">Outcome/Deliverable</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1">
            <w:pPr>
              <w:spacing w:after="180" w:lineRule="auto"/>
              <w:jc w:val="center"/>
              <w:rPr>
                <w:color w:val="333333"/>
              </w:rPr>
            </w:pPr>
            <w:r w:rsidDel="00000000" w:rsidR="00000000" w:rsidRPr="00000000">
              <w:rPr>
                <w:b w:val="1"/>
                <w:color w:val="333333"/>
                <w:rtl w:val="0"/>
              </w:rPr>
              <w:t xml:space="preserve">Time to complete</w:t>
            </w:r>
            <w:r w:rsidDel="00000000" w:rsidR="00000000" w:rsidRPr="00000000">
              <w:rPr>
                <w:rtl w:val="0"/>
              </w:rPr>
            </w:r>
          </w:p>
        </w:tc>
      </w:tr>
      <w:tr>
        <w:trPr>
          <w:cantSplit w:val="0"/>
          <w:trHeight w:val="3915" w:hRule="atLeast"/>
          <w:tblHeader w:val="0"/>
        </w:trPr>
        <w:tc>
          <w:tcPr>
            <w:tcBorders>
              <w:top w:color="dddddd" w:space="0" w:sz="6" w:val="single"/>
              <w:left w:color="000000" w:space="0" w:sz="0" w:val="nil"/>
              <w:bottom w:color="dddddd" w:space="0" w:sz="6"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2">
            <w:pPr>
              <w:spacing w:after="180" w:lineRule="auto"/>
              <w:rPr>
                <w:color w:val="333333"/>
                <w:sz w:val="20"/>
                <w:szCs w:val="20"/>
              </w:rPr>
            </w:pPr>
            <w:r w:rsidDel="00000000" w:rsidR="00000000" w:rsidRPr="00000000">
              <w:rPr>
                <w:color w:val="333333"/>
                <w:sz w:val="20"/>
                <w:szCs w:val="20"/>
                <w:rtl w:val="0"/>
              </w:rPr>
              <w:t xml:space="preserve">Milestone 1</w:t>
            </w:r>
          </w:p>
        </w:tc>
        <w:tc>
          <w:tcPr>
            <w:tcBorders>
              <w:top w:color="dddddd" w:space="0" w:sz="6" w:val="single"/>
              <w:left w:color="000000" w:space="0" w:sz="0" w:val="nil"/>
              <w:bottom w:color="dddddd" w:space="0" w:sz="6"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3">
            <w:pPr>
              <w:numPr>
                <w:ilvl w:val="0"/>
                <w:numId w:val="1"/>
              </w:numPr>
              <w:spacing w:after="0" w:afterAutospacing="0" w:lineRule="auto"/>
              <w:ind w:left="720" w:hanging="360"/>
              <w:rPr>
                <w:sz w:val="20"/>
                <w:szCs w:val="20"/>
              </w:rPr>
            </w:pPr>
            <w:r w:rsidDel="00000000" w:rsidR="00000000" w:rsidRPr="00000000">
              <w:rPr>
                <w:b w:val="1"/>
                <w:color w:val="333333"/>
                <w:sz w:val="20"/>
                <w:szCs w:val="20"/>
                <w:rtl w:val="0"/>
              </w:rPr>
              <w:t xml:space="preserve">Exploratory data analysis</w:t>
            </w:r>
          </w:p>
          <w:p w:rsidR="00000000" w:rsidDel="00000000" w:rsidP="00000000" w:rsidRDefault="00000000" w:rsidRPr="00000000" w14:paraId="00000014">
            <w:pPr>
              <w:numPr>
                <w:ilvl w:val="0"/>
                <w:numId w:val="1"/>
              </w:numPr>
              <w:spacing w:after="0" w:afterAutospacing="0" w:lineRule="auto"/>
              <w:ind w:left="720" w:hanging="360"/>
              <w:rPr>
                <w:sz w:val="20"/>
                <w:szCs w:val="20"/>
              </w:rPr>
            </w:pPr>
            <w:r w:rsidDel="00000000" w:rsidR="00000000" w:rsidRPr="00000000">
              <w:rPr>
                <w:color w:val="333333"/>
                <w:sz w:val="20"/>
                <w:szCs w:val="20"/>
                <w:rtl w:val="0"/>
              </w:rPr>
              <w:t xml:space="preserve">We will explore the data available to support the project.</w:t>
            </w:r>
          </w:p>
          <w:p w:rsidR="00000000" w:rsidDel="00000000" w:rsidP="00000000" w:rsidRDefault="00000000" w:rsidRPr="00000000" w14:paraId="00000015">
            <w:pPr>
              <w:numPr>
                <w:ilvl w:val="0"/>
                <w:numId w:val="1"/>
              </w:numPr>
              <w:spacing w:after="560" w:lineRule="auto"/>
              <w:ind w:left="720" w:hanging="360"/>
              <w:rPr>
                <w:sz w:val="20"/>
                <w:szCs w:val="20"/>
              </w:rPr>
            </w:pPr>
            <w:r w:rsidDel="00000000" w:rsidR="00000000" w:rsidRPr="00000000">
              <w:rPr>
                <w:color w:val="333333"/>
                <w:sz w:val="20"/>
                <w:szCs w:val="20"/>
                <w:rtl w:val="0"/>
              </w:rPr>
              <w:t xml:space="preserve">We will ensure that data are accessible and will perform a preliminary analysis with a view to identifying a subset of features that best-suited for deeper analysis in Milestone 2.</w:t>
            </w:r>
          </w:p>
        </w:tc>
        <w:tc>
          <w:tcPr>
            <w:tcBorders>
              <w:top w:color="dddddd" w:space="0" w:sz="6" w:val="single"/>
              <w:left w:color="000000" w:space="0" w:sz="0" w:val="nil"/>
              <w:bottom w:color="dddddd" w:space="0" w:sz="6"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6">
            <w:pPr>
              <w:numPr>
                <w:ilvl w:val="0"/>
                <w:numId w:val="7"/>
              </w:numPr>
              <w:spacing w:after="0" w:afterAutospacing="0" w:lineRule="auto"/>
              <w:ind w:left="720" w:hanging="360"/>
              <w:rPr>
                <w:sz w:val="20"/>
                <w:szCs w:val="20"/>
              </w:rPr>
            </w:pPr>
            <w:r w:rsidDel="00000000" w:rsidR="00000000" w:rsidRPr="00000000">
              <w:rPr>
                <w:color w:val="333333"/>
                <w:sz w:val="20"/>
                <w:szCs w:val="20"/>
                <w:rtl w:val="0"/>
              </w:rPr>
              <w:t xml:space="preserve">A presentation or report showing the initial findings of relationships between features.</w:t>
            </w:r>
          </w:p>
          <w:p w:rsidR="00000000" w:rsidDel="00000000" w:rsidP="00000000" w:rsidRDefault="00000000" w:rsidRPr="00000000" w14:paraId="00000017">
            <w:pPr>
              <w:numPr>
                <w:ilvl w:val="0"/>
                <w:numId w:val="7"/>
              </w:numPr>
              <w:spacing w:after="560" w:lineRule="auto"/>
              <w:ind w:left="720" w:hanging="360"/>
              <w:rPr>
                <w:sz w:val="20"/>
                <w:szCs w:val="20"/>
              </w:rPr>
            </w:pPr>
            <w:r w:rsidDel="00000000" w:rsidR="00000000" w:rsidRPr="00000000">
              <w:rPr>
                <w:color w:val="333333"/>
                <w:sz w:val="20"/>
                <w:szCs w:val="20"/>
                <w:rtl w:val="0"/>
              </w:rPr>
              <w:t xml:space="preserve">A list of features to use for further research.</w:t>
            </w:r>
          </w:p>
        </w:tc>
        <w:tc>
          <w:tcPr>
            <w:tcBorders>
              <w:top w:color="dddddd" w:space="0" w:sz="6" w:val="single"/>
              <w:left w:color="000000" w:space="0" w:sz="0" w:val="nil"/>
              <w:bottom w:color="dddddd" w:space="0" w:sz="6"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8">
            <w:pPr>
              <w:spacing w:after="180" w:lineRule="auto"/>
              <w:rPr>
                <w:color w:val="333333"/>
                <w:sz w:val="20"/>
                <w:szCs w:val="20"/>
              </w:rPr>
            </w:pPr>
            <w:r w:rsidDel="00000000" w:rsidR="00000000" w:rsidRPr="00000000">
              <w:rPr>
                <w:color w:val="333333"/>
                <w:sz w:val="20"/>
                <w:szCs w:val="20"/>
                <w:rtl w:val="0"/>
              </w:rPr>
              <w:t xml:space="preserve">6-8 hours</w:t>
            </w:r>
          </w:p>
        </w:tc>
      </w:tr>
      <w:tr>
        <w:trPr>
          <w:cantSplit w:val="0"/>
          <w:trHeight w:val="2565" w:hRule="atLeast"/>
          <w:tblHeader w:val="0"/>
        </w:trPr>
        <w:tc>
          <w:tcPr>
            <w:tcBorders>
              <w:top w:color="dddddd" w:space="0" w:sz="6" w:val="single"/>
              <w:left w:color="000000" w:space="0" w:sz="0" w:val="nil"/>
              <w:bottom w:color="dddddd" w:space="0" w:sz="12"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9">
            <w:pPr>
              <w:spacing w:after="180" w:lineRule="auto"/>
              <w:rPr>
                <w:color w:val="333333"/>
                <w:sz w:val="20"/>
                <w:szCs w:val="20"/>
              </w:rPr>
            </w:pPr>
            <w:r w:rsidDel="00000000" w:rsidR="00000000" w:rsidRPr="00000000">
              <w:rPr>
                <w:color w:val="333333"/>
                <w:sz w:val="20"/>
                <w:szCs w:val="20"/>
                <w:rtl w:val="0"/>
              </w:rPr>
              <w:t xml:space="preserve">Milestone 2</w:t>
            </w:r>
          </w:p>
        </w:tc>
        <w:tc>
          <w:tcPr>
            <w:tcBorders>
              <w:top w:color="dddddd" w:space="0" w:sz="6" w:val="single"/>
              <w:left w:color="000000" w:space="0" w:sz="0" w:val="nil"/>
              <w:bottom w:color="dddddd" w:space="0" w:sz="12"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A">
            <w:pPr>
              <w:numPr>
                <w:ilvl w:val="0"/>
                <w:numId w:val="3"/>
              </w:numPr>
              <w:spacing w:after="0" w:afterAutospacing="0" w:lineRule="auto"/>
              <w:ind w:left="720" w:hanging="360"/>
              <w:rPr>
                <w:sz w:val="20"/>
                <w:szCs w:val="20"/>
              </w:rPr>
            </w:pPr>
            <w:r w:rsidDel="00000000" w:rsidR="00000000" w:rsidRPr="00000000">
              <w:rPr>
                <w:b w:val="1"/>
                <w:color w:val="333333"/>
                <w:sz w:val="20"/>
                <w:szCs w:val="20"/>
                <w:rtl w:val="0"/>
              </w:rPr>
              <w:t xml:space="preserve">In depth analysis</w:t>
            </w:r>
          </w:p>
          <w:p w:rsidR="00000000" w:rsidDel="00000000" w:rsidP="00000000" w:rsidRDefault="00000000" w:rsidRPr="00000000" w14:paraId="0000001B">
            <w:pPr>
              <w:numPr>
                <w:ilvl w:val="0"/>
                <w:numId w:val="3"/>
              </w:numPr>
              <w:spacing w:after="0" w:afterAutospacing="0" w:lineRule="auto"/>
              <w:ind w:left="720" w:hanging="360"/>
              <w:rPr>
                <w:sz w:val="20"/>
                <w:szCs w:val="20"/>
              </w:rPr>
            </w:pPr>
            <w:r w:rsidDel="00000000" w:rsidR="00000000" w:rsidRPr="00000000">
              <w:rPr>
                <w:color w:val="333333"/>
                <w:sz w:val="20"/>
                <w:szCs w:val="20"/>
                <w:rtl w:val="0"/>
              </w:rPr>
              <w:t xml:space="preserve">Using the learnings from Milestone 1, we will experiment with various algorithms to find any further insights from the data.</w:t>
            </w:r>
          </w:p>
          <w:p w:rsidR="00000000" w:rsidDel="00000000" w:rsidP="00000000" w:rsidRDefault="00000000" w:rsidRPr="00000000" w14:paraId="0000001C">
            <w:pPr>
              <w:numPr>
                <w:ilvl w:val="0"/>
                <w:numId w:val="3"/>
              </w:numPr>
              <w:spacing w:after="560" w:lineRule="auto"/>
              <w:ind w:left="720" w:hanging="360"/>
              <w:rPr>
                <w:sz w:val="20"/>
                <w:szCs w:val="20"/>
              </w:rPr>
            </w:pPr>
            <w:r w:rsidDel="00000000" w:rsidR="00000000" w:rsidRPr="00000000">
              <w:rPr>
                <w:color w:val="333333"/>
                <w:sz w:val="20"/>
                <w:szCs w:val="20"/>
                <w:rtl w:val="0"/>
              </w:rPr>
              <w:t xml:space="preserve">The most useful aspects will be selected for recommended improvements.</w:t>
            </w:r>
          </w:p>
        </w:tc>
        <w:tc>
          <w:tcPr>
            <w:tcBorders>
              <w:top w:color="dddddd" w:space="0" w:sz="6" w:val="single"/>
              <w:left w:color="000000" w:space="0" w:sz="0" w:val="nil"/>
              <w:bottom w:color="dddddd" w:space="0" w:sz="12"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D">
            <w:pPr>
              <w:numPr>
                <w:ilvl w:val="0"/>
                <w:numId w:val="5"/>
              </w:numPr>
              <w:spacing w:after="0" w:afterAutospacing="0" w:lineRule="auto"/>
              <w:ind w:left="720" w:hanging="360"/>
              <w:rPr>
                <w:sz w:val="20"/>
                <w:szCs w:val="20"/>
              </w:rPr>
            </w:pPr>
            <w:r w:rsidDel="00000000" w:rsidR="00000000" w:rsidRPr="00000000">
              <w:rPr>
                <w:color w:val="333333"/>
                <w:sz w:val="20"/>
                <w:szCs w:val="20"/>
                <w:rtl w:val="0"/>
              </w:rPr>
              <w:t xml:space="preserve">A GitHub repository containing Python code with any useful models.</w:t>
            </w:r>
          </w:p>
          <w:p w:rsidR="00000000" w:rsidDel="00000000" w:rsidP="00000000" w:rsidRDefault="00000000" w:rsidRPr="00000000" w14:paraId="0000001E">
            <w:pPr>
              <w:numPr>
                <w:ilvl w:val="0"/>
                <w:numId w:val="5"/>
              </w:numPr>
              <w:spacing w:after="560" w:lineRule="auto"/>
              <w:ind w:left="720" w:hanging="360"/>
              <w:rPr>
                <w:sz w:val="20"/>
                <w:szCs w:val="20"/>
              </w:rPr>
            </w:pPr>
            <w:r w:rsidDel="00000000" w:rsidR="00000000" w:rsidRPr="00000000">
              <w:rPr>
                <w:color w:val="333333"/>
                <w:sz w:val="20"/>
                <w:szCs w:val="20"/>
                <w:rtl w:val="0"/>
              </w:rPr>
              <w:t xml:space="preserve">A brief report highlighting findings.</w:t>
            </w:r>
          </w:p>
        </w:tc>
        <w:tc>
          <w:tcPr>
            <w:tcBorders>
              <w:top w:color="dddddd" w:space="0" w:sz="6" w:val="single"/>
              <w:left w:color="000000" w:space="0" w:sz="0" w:val="nil"/>
              <w:bottom w:color="dddddd" w:space="0" w:sz="12"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F">
            <w:pPr>
              <w:spacing w:after="180" w:lineRule="auto"/>
              <w:rPr>
                <w:color w:val="333333"/>
                <w:sz w:val="20"/>
                <w:szCs w:val="20"/>
              </w:rPr>
            </w:pPr>
            <w:r w:rsidDel="00000000" w:rsidR="00000000" w:rsidRPr="00000000">
              <w:rPr>
                <w:color w:val="333333"/>
                <w:sz w:val="20"/>
                <w:szCs w:val="20"/>
                <w:rtl w:val="0"/>
              </w:rPr>
              <w:t xml:space="preserve">4-6 hours</w:t>
            </w:r>
          </w:p>
        </w:tc>
      </w:tr>
    </w:tbl>
    <w:p w:rsidR="00000000" w:rsidDel="00000000" w:rsidP="00000000" w:rsidRDefault="00000000" w:rsidRPr="00000000" w14:paraId="00000020">
      <w:pPr>
        <w:shd w:fill="ffffff" w:val="clear"/>
        <w:spacing w:after="200" w:lineRule="auto"/>
        <w:rPr>
          <w:color w:val="333333"/>
          <w:sz w:val="24"/>
          <w:szCs w:val="24"/>
        </w:rPr>
      </w:pPr>
      <w:r w:rsidDel="00000000" w:rsidR="00000000" w:rsidRPr="00000000">
        <w:rPr>
          <w:rtl w:val="0"/>
        </w:rPr>
      </w:r>
    </w:p>
    <w:p w:rsidR="00000000" w:rsidDel="00000000" w:rsidP="00000000" w:rsidRDefault="00000000" w:rsidRPr="00000000" w14:paraId="00000021">
      <w:pPr>
        <w:shd w:fill="ffffff" w:val="clear"/>
        <w:rPr>
          <w:b w:val="1"/>
          <w:color w:val="333333"/>
          <w:sz w:val="24"/>
          <w:szCs w:val="24"/>
        </w:rPr>
      </w:pPr>
      <w:r w:rsidDel="00000000" w:rsidR="00000000" w:rsidRPr="00000000">
        <w:rPr>
          <w:b w:val="1"/>
          <w:color w:val="333333"/>
          <w:sz w:val="24"/>
          <w:szCs w:val="24"/>
          <w:rtl w:val="0"/>
        </w:rPr>
        <w:t xml:space="preserve">Objective 2: Recommendations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7.3246753246756"/>
        <w:gridCol w:w="3124.051948051948"/>
        <w:gridCol w:w="3124.051948051948"/>
        <w:gridCol w:w="1604.5714285714284"/>
        <w:tblGridChange w:id="0">
          <w:tblGrid>
            <w:gridCol w:w="1507.3246753246756"/>
            <w:gridCol w:w="3124.051948051948"/>
            <w:gridCol w:w="3124.051948051948"/>
            <w:gridCol w:w="1604.5714285714284"/>
          </w:tblGrid>
        </w:tblGridChange>
      </w:tblGrid>
      <w:tr>
        <w:trPr>
          <w:cantSplit w:val="0"/>
          <w:trHeight w:val="750" w:hRule="atLeast"/>
          <w:tblHeader w:val="0"/>
        </w:trPr>
        <w:tc>
          <w:tcPr>
            <w:tcBorders>
              <w:top w:color="dddddd" w:space="0" w:sz="6" w:val="single"/>
              <w:left w:color="000000" w:space="0" w:sz="0" w:val="nil"/>
              <w:bottom w:color="dddddd" w:space="0" w:sz="6"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2">
            <w:pPr>
              <w:spacing w:after="180" w:lineRule="auto"/>
              <w:jc w:val="center"/>
              <w:rPr>
                <w:color w:val="333333"/>
                <w:sz w:val="24"/>
                <w:szCs w:val="24"/>
              </w:rPr>
            </w:pPr>
            <w:r w:rsidDel="00000000" w:rsidR="00000000" w:rsidRPr="00000000">
              <w:rPr>
                <w:b w:val="1"/>
                <w:color w:val="333333"/>
                <w:sz w:val="24"/>
                <w:szCs w:val="24"/>
                <w:rtl w:val="0"/>
              </w:rPr>
              <w:t xml:space="preserve">Milestone</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3">
            <w:pPr>
              <w:spacing w:after="180" w:lineRule="auto"/>
              <w:jc w:val="center"/>
              <w:rPr>
                <w:color w:val="333333"/>
                <w:sz w:val="24"/>
                <w:szCs w:val="24"/>
              </w:rPr>
            </w:pPr>
            <w:r w:rsidDel="00000000" w:rsidR="00000000" w:rsidRPr="00000000">
              <w:rPr>
                <w:b w:val="1"/>
                <w:color w:val="333333"/>
                <w:sz w:val="24"/>
                <w:szCs w:val="24"/>
                <w:rtl w:val="0"/>
              </w:rPr>
              <w:t xml:space="preserve">Work Carried Out</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4">
            <w:pPr>
              <w:spacing w:after="180" w:lineRule="auto"/>
              <w:jc w:val="center"/>
              <w:rPr>
                <w:color w:val="333333"/>
                <w:sz w:val="24"/>
                <w:szCs w:val="24"/>
              </w:rPr>
            </w:pPr>
            <w:r w:rsidDel="00000000" w:rsidR="00000000" w:rsidRPr="00000000">
              <w:rPr>
                <w:b w:val="1"/>
                <w:color w:val="333333"/>
                <w:sz w:val="24"/>
                <w:szCs w:val="24"/>
                <w:rtl w:val="0"/>
              </w:rPr>
              <w:t xml:space="preserve">Outcome/Deliverable</w:t>
            </w:r>
            <w:r w:rsidDel="00000000" w:rsidR="00000000" w:rsidRPr="00000000">
              <w:rPr>
                <w:rtl w:val="0"/>
              </w:rPr>
            </w:r>
          </w:p>
        </w:tc>
        <w:tc>
          <w:tcPr>
            <w:tcBorders>
              <w:top w:color="dddddd" w:space="0" w:sz="6" w:val="single"/>
              <w:left w:color="000000" w:space="0" w:sz="0" w:val="nil"/>
              <w:bottom w:color="dddddd" w:space="0" w:sz="6"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5">
            <w:pPr>
              <w:spacing w:after="180" w:lineRule="auto"/>
              <w:jc w:val="center"/>
              <w:rPr>
                <w:color w:val="333333"/>
                <w:sz w:val="24"/>
                <w:szCs w:val="24"/>
              </w:rPr>
            </w:pPr>
            <w:r w:rsidDel="00000000" w:rsidR="00000000" w:rsidRPr="00000000">
              <w:rPr>
                <w:b w:val="1"/>
                <w:color w:val="333333"/>
                <w:sz w:val="24"/>
                <w:szCs w:val="24"/>
                <w:rtl w:val="0"/>
              </w:rPr>
              <w:t xml:space="preserve">Time to complete</w:t>
            </w:r>
            <w:r w:rsidDel="00000000" w:rsidR="00000000" w:rsidRPr="00000000">
              <w:rPr>
                <w:rtl w:val="0"/>
              </w:rPr>
            </w:r>
          </w:p>
        </w:tc>
      </w:tr>
      <w:tr>
        <w:trPr>
          <w:cantSplit w:val="0"/>
          <w:trHeight w:val="1755" w:hRule="atLeast"/>
          <w:tblHeader w:val="0"/>
        </w:trPr>
        <w:tc>
          <w:tcPr>
            <w:tcBorders>
              <w:top w:color="dddddd" w:space="0" w:sz="6" w:val="single"/>
              <w:left w:color="000000" w:space="0" w:sz="0" w:val="nil"/>
              <w:bottom w:color="dddddd" w:space="0" w:sz="6"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6">
            <w:pPr>
              <w:spacing w:after="180" w:lineRule="auto"/>
              <w:rPr>
                <w:color w:val="333333"/>
                <w:sz w:val="20"/>
                <w:szCs w:val="20"/>
              </w:rPr>
            </w:pPr>
            <w:r w:rsidDel="00000000" w:rsidR="00000000" w:rsidRPr="00000000">
              <w:rPr>
                <w:color w:val="333333"/>
                <w:sz w:val="20"/>
                <w:szCs w:val="20"/>
                <w:rtl w:val="0"/>
              </w:rPr>
              <w:t xml:space="preserve">Milestone 3</w:t>
            </w:r>
          </w:p>
        </w:tc>
        <w:tc>
          <w:tcPr>
            <w:tcBorders>
              <w:top w:color="dddddd" w:space="0" w:sz="6" w:val="single"/>
              <w:left w:color="000000" w:space="0" w:sz="0" w:val="nil"/>
              <w:bottom w:color="dddddd" w:space="0" w:sz="6"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7">
            <w:pPr>
              <w:numPr>
                <w:ilvl w:val="0"/>
                <w:numId w:val="6"/>
              </w:numPr>
              <w:spacing w:after="0" w:afterAutospacing="0" w:lineRule="auto"/>
              <w:ind w:left="720" w:hanging="360"/>
              <w:rPr>
                <w:sz w:val="20"/>
                <w:szCs w:val="20"/>
              </w:rPr>
            </w:pPr>
            <w:r w:rsidDel="00000000" w:rsidR="00000000" w:rsidRPr="00000000">
              <w:rPr>
                <w:b w:val="1"/>
                <w:color w:val="333333"/>
                <w:sz w:val="20"/>
                <w:szCs w:val="20"/>
                <w:rtl w:val="0"/>
              </w:rPr>
              <w:t xml:space="preserve">Conclusions</w:t>
            </w:r>
          </w:p>
          <w:p w:rsidR="00000000" w:rsidDel="00000000" w:rsidP="00000000" w:rsidRDefault="00000000" w:rsidRPr="00000000" w14:paraId="00000028">
            <w:pPr>
              <w:numPr>
                <w:ilvl w:val="0"/>
                <w:numId w:val="6"/>
              </w:numPr>
              <w:spacing w:after="0" w:afterAutospacing="0" w:lineRule="auto"/>
              <w:ind w:left="720" w:hanging="360"/>
              <w:rPr>
                <w:sz w:val="20"/>
                <w:szCs w:val="20"/>
              </w:rPr>
            </w:pPr>
            <w:r w:rsidDel="00000000" w:rsidR="00000000" w:rsidRPr="00000000">
              <w:rPr>
                <w:color w:val="333333"/>
                <w:sz w:val="20"/>
                <w:szCs w:val="20"/>
                <w:rtl w:val="0"/>
              </w:rPr>
              <w:t xml:space="preserve">We will complete and compile our findings to reach any concrete conclusions.</w:t>
            </w:r>
          </w:p>
          <w:p w:rsidR="00000000" w:rsidDel="00000000" w:rsidP="00000000" w:rsidRDefault="00000000" w:rsidRPr="00000000" w14:paraId="00000029">
            <w:pPr>
              <w:numPr>
                <w:ilvl w:val="0"/>
                <w:numId w:val="6"/>
              </w:numPr>
              <w:spacing w:after="560" w:lineRule="auto"/>
              <w:ind w:left="720" w:hanging="360"/>
              <w:rPr>
                <w:color w:val="333333"/>
                <w:sz w:val="20"/>
                <w:szCs w:val="20"/>
              </w:rPr>
            </w:pPr>
            <w:r w:rsidDel="00000000" w:rsidR="00000000" w:rsidRPr="00000000">
              <w:rPr>
                <w:color w:val="333333"/>
                <w:sz w:val="20"/>
                <w:szCs w:val="20"/>
                <w:rtl w:val="0"/>
              </w:rPr>
              <w:t xml:space="preserve">We will determine recommendations that could be useful for school districts.</w:t>
            </w:r>
          </w:p>
        </w:tc>
        <w:tc>
          <w:tcPr>
            <w:tcBorders>
              <w:top w:color="dddddd" w:space="0" w:sz="6" w:val="single"/>
              <w:left w:color="000000" w:space="0" w:sz="0" w:val="nil"/>
              <w:bottom w:color="dddddd" w:space="0" w:sz="6"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A">
            <w:pPr>
              <w:numPr>
                <w:ilvl w:val="0"/>
                <w:numId w:val="8"/>
              </w:numPr>
              <w:spacing w:after="560" w:lineRule="auto"/>
              <w:ind w:left="720" w:hanging="360"/>
              <w:rPr>
                <w:sz w:val="20"/>
                <w:szCs w:val="20"/>
              </w:rPr>
            </w:pPr>
            <w:r w:rsidDel="00000000" w:rsidR="00000000" w:rsidRPr="00000000">
              <w:rPr>
                <w:color w:val="333333"/>
                <w:sz w:val="20"/>
                <w:szCs w:val="20"/>
                <w:rtl w:val="0"/>
              </w:rPr>
              <w:t xml:space="preserve">A brief report outlining conclusions and  possible approaches to improve outcomes for school districts.</w:t>
            </w:r>
          </w:p>
        </w:tc>
        <w:tc>
          <w:tcPr>
            <w:tcBorders>
              <w:top w:color="dddddd" w:space="0" w:sz="6" w:val="single"/>
              <w:left w:color="000000" w:space="0" w:sz="0" w:val="nil"/>
              <w:bottom w:color="dddddd" w:space="0" w:sz="6"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B">
            <w:pPr>
              <w:spacing w:after="180" w:lineRule="auto"/>
              <w:rPr>
                <w:color w:val="333333"/>
                <w:sz w:val="20"/>
                <w:szCs w:val="20"/>
              </w:rPr>
            </w:pPr>
            <w:r w:rsidDel="00000000" w:rsidR="00000000" w:rsidRPr="00000000">
              <w:rPr>
                <w:color w:val="333333"/>
                <w:sz w:val="20"/>
                <w:szCs w:val="20"/>
                <w:rtl w:val="0"/>
              </w:rPr>
              <w:t xml:space="preserve">4 hours</w:t>
            </w:r>
          </w:p>
        </w:tc>
      </w:tr>
      <w:tr>
        <w:trPr>
          <w:cantSplit w:val="0"/>
          <w:trHeight w:val="3915" w:hRule="atLeast"/>
          <w:tblHeader w:val="0"/>
        </w:trPr>
        <w:tc>
          <w:tcPr>
            <w:tcBorders>
              <w:top w:color="dddddd" w:space="0" w:sz="6" w:val="single"/>
              <w:left w:color="000000" w:space="0" w:sz="0" w:val="nil"/>
              <w:bottom w:color="dddddd" w:space="0" w:sz="12"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C">
            <w:pPr>
              <w:spacing w:after="180" w:lineRule="auto"/>
              <w:rPr>
                <w:color w:val="333333"/>
                <w:sz w:val="20"/>
                <w:szCs w:val="20"/>
              </w:rPr>
            </w:pPr>
            <w:r w:rsidDel="00000000" w:rsidR="00000000" w:rsidRPr="00000000">
              <w:rPr>
                <w:color w:val="333333"/>
                <w:sz w:val="20"/>
                <w:szCs w:val="20"/>
                <w:rtl w:val="0"/>
              </w:rPr>
              <w:t xml:space="preserve">Milestone 4</w:t>
            </w:r>
          </w:p>
        </w:tc>
        <w:tc>
          <w:tcPr>
            <w:tcBorders>
              <w:top w:color="dddddd" w:space="0" w:sz="6" w:val="single"/>
              <w:left w:color="000000" w:space="0" w:sz="0" w:val="nil"/>
              <w:bottom w:color="dddddd" w:space="0" w:sz="12"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D">
            <w:pPr>
              <w:numPr>
                <w:ilvl w:val="0"/>
                <w:numId w:val="9"/>
              </w:numPr>
              <w:spacing w:after="0" w:afterAutospacing="0" w:lineRule="auto"/>
              <w:ind w:left="720" w:hanging="360"/>
              <w:rPr>
                <w:sz w:val="20"/>
                <w:szCs w:val="20"/>
              </w:rPr>
            </w:pPr>
            <w:r w:rsidDel="00000000" w:rsidR="00000000" w:rsidRPr="00000000">
              <w:rPr>
                <w:b w:val="1"/>
                <w:color w:val="333333"/>
                <w:sz w:val="20"/>
                <w:szCs w:val="20"/>
                <w:rtl w:val="0"/>
              </w:rPr>
              <w:t xml:space="preserve">Report and present</w:t>
            </w:r>
          </w:p>
          <w:p w:rsidR="00000000" w:rsidDel="00000000" w:rsidP="00000000" w:rsidRDefault="00000000" w:rsidRPr="00000000" w14:paraId="0000002E">
            <w:pPr>
              <w:numPr>
                <w:ilvl w:val="0"/>
                <w:numId w:val="9"/>
              </w:numPr>
              <w:spacing w:after="560" w:lineRule="auto"/>
              <w:ind w:left="720" w:hanging="360"/>
              <w:rPr>
                <w:sz w:val="20"/>
                <w:szCs w:val="20"/>
              </w:rPr>
            </w:pPr>
            <w:r w:rsidDel="00000000" w:rsidR="00000000" w:rsidRPr="00000000">
              <w:rPr>
                <w:color w:val="333333"/>
                <w:sz w:val="20"/>
                <w:szCs w:val="20"/>
                <w:rtl w:val="0"/>
              </w:rPr>
              <w:t xml:space="preserve">We will focus on how to communicate our findings and any recommendations in ways that are accessible to school board members, administrators, and educators.</w:t>
            </w:r>
          </w:p>
        </w:tc>
        <w:tc>
          <w:tcPr>
            <w:tcBorders>
              <w:top w:color="dddddd" w:space="0" w:sz="6" w:val="single"/>
              <w:left w:color="000000" w:space="0" w:sz="0" w:val="nil"/>
              <w:bottom w:color="dddddd" w:space="0" w:sz="12"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F">
            <w:pPr>
              <w:numPr>
                <w:ilvl w:val="0"/>
                <w:numId w:val="4"/>
              </w:numPr>
              <w:spacing w:after="0" w:afterAutospacing="0" w:lineRule="auto"/>
              <w:ind w:left="720" w:hanging="360"/>
              <w:rPr>
                <w:color w:val="333333"/>
                <w:sz w:val="20"/>
                <w:szCs w:val="20"/>
              </w:rPr>
            </w:pPr>
            <w:r w:rsidDel="00000000" w:rsidR="00000000" w:rsidRPr="00000000">
              <w:rPr>
                <w:color w:val="333333"/>
                <w:sz w:val="20"/>
                <w:szCs w:val="20"/>
                <w:rtl w:val="0"/>
              </w:rPr>
              <w:t xml:space="preserve">A presentation and report outlining experimental approach and detailed findings, as well as recommendations..</w:t>
            </w:r>
          </w:p>
          <w:p w:rsidR="00000000" w:rsidDel="00000000" w:rsidP="00000000" w:rsidRDefault="00000000" w:rsidRPr="00000000" w14:paraId="00000030">
            <w:pPr>
              <w:numPr>
                <w:ilvl w:val="0"/>
                <w:numId w:val="2"/>
              </w:numPr>
              <w:spacing w:after="560" w:lineRule="auto"/>
              <w:ind w:left="720" w:hanging="360"/>
              <w:rPr>
                <w:sz w:val="20"/>
                <w:szCs w:val="20"/>
              </w:rPr>
            </w:pPr>
            <w:r w:rsidDel="00000000" w:rsidR="00000000" w:rsidRPr="00000000">
              <w:rPr>
                <w:color w:val="333333"/>
                <w:sz w:val="20"/>
                <w:szCs w:val="20"/>
                <w:rtl w:val="0"/>
              </w:rPr>
              <w:t xml:space="preserve">A GitHub repo containing all code used.</w:t>
            </w:r>
          </w:p>
        </w:tc>
        <w:tc>
          <w:tcPr>
            <w:tcBorders>
              <w:top w:color="dddddd" w:space="0" w:sz="6" w:val="single"/>
              <w:left w:color="000000" w:space="0" w:sz="0" w:val="nil"/>
              <w:bottom w:color="dddddd" w:space="0" w:sz="12" w:val="single"/>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1">
            <w:pPr>
              <w:spacing w:after="180" w:lineRule="auto"/>
              <w:rPr>
                <w:color w:val="333333"/>
                <w:sz w:val="20"/>
                <w:szCs w:val="20"/>
              </w:rPr>
            </w:pPr>
            <w:r w:rsidDel="00000000" w:rsidR="00000000" w:rsidRPr="00000000">
              <w:rPr>
                <w:color w:val="333333"/>
                <w:sz w:val="20"/>
                <w:szCs w:val="20"/>
                <w:rtl w:val="0"/>
              </w:rPr>
              <w:t xml:space="preserve">6 hours</w:t>
            </w:r>
          </w:p>
        </w:tc>
      </w:tr>
    </w:tbl>
    <w:p w:rsidR="00000000" w:rsidDel="00000000" w:rsidP="00000000" w:rsidRDefault="00000000" w:rsidRPr="00000000" w14:paraId="00000032">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3">
      <w:pPr>
        <w:spacing w:line="240" w:lineRule="auto"/>
        <w:rPr>
          <w:color w:val="333333"/>
          <w:sz w:val="20"/>
          <w:szCs w:val="20"/>
        </w:rPr>
      </w:pPr>
      <w:r w:rsidDel="00000000" w:rsidR="00000000" w:rsidRPr="00000000">
        <w:rPr>
          <w:rStyle w:val="FootnoteReference"/>
          <w:vertAlign w:val="superscript"/>
        </w:rPr>
        <w:footnoteRef/>
      </w:r>
      <w:r w:rsidDel="00000000" w:rsidR="00000000" w:rsidRPr="00000000">
        <w:rPr>
          <w:color w:val="333333"/>
          <w:sz w:val="20"/>
          <w:szCs w:val="20"/>
          <w:rtl w:val="0"/>
        </w:rPr>
        <w:t xml:space="preserve"> </w:t>
      </w:r>
      <w:hyperlink r:id="rId1">
        <w:r w:rsidDel="00000000" w:rsidR="00000000" w:rsidRPr="00000000">
          <w:rPr>
            <w:color w:val="333333"/>
            <w:sz w:val="20"/>
            <w:szCs w:val="20"/>
            <w:highlight w:val="white"/>
            <w:rtl w:val="0"/>
          </w:rPr>
          <w:t xml:space="preserve">Elizabeth A. Harris</w:t>
        </w:r>
      </w:hyperlink>
      <w:r w:rsidDel="00000000" w:rsidR="00000000" w:rsidRPr="00000000">
        <w:rPr>
          <w:color w:val="333333"/>
          <w:sz w:val="20"/>
          <w:szCs w:val="20"/>
          <w:highlight w:val="white"/>
          <w:rtl w:val="0"/>
        </w:rPr>
        <w:t xml:space="preserve"> and </w:t>
      </w:r>
      <w:hyperlink r:id="rId2">
        <w:r w:rsidDel="00000000" w:rsidR="00000000" w:rsidRPr="00000000">
          <w:rPr>
            <w:color w:val="333333"/>
            <w:sz w:val="20"/>
            <w:szCs w:val="20"/>
            <w:highlight w:val="white"/>
            <w:rtl w:val="0"/>
          </w:rPr>
          <w:t xml:space="preserve">Alexandra Alter</w:t>
        </w:r>
      </w:hyperlink>
      <w:r w:rsidDel="00000000" w:rsidR="00000000" w:rsidRPr="00000000">
        <w:rPr>
          <w:color w:val="333333"/>
          <w:sz w:val="20"/>
          <w:szCs w:val="20"/>
          <w:rtl w:val="0"/>
        </w:rPr>
        <w:t xml:space="preserve">. “</w:t>
      </w:r>
      <w:r w:rsidDel="00000000" w:rsidR="00000000" w:rsidRPr="00000000">
        <w:rPr>
          <w:color w:val="333333"/>
          <w:sz w:val="20"/>
          <w:szCs w:val="20"/>
          <w:rtl w:val="0"/>
        </w:rPr>
        <w:t xml:space="preserve">Book Ban Efforts Spread Across the U.S.”  </w:t>
      </w:r>
      <w:r w:rsidDel="00000000" w:rsidR="00000000" w:rsidRPr="00000000">
        <w:rPr>
          <w:color w:val="333333"/>
          <w:sz w:val="20"/>
          <w:szCs w:val="20"/>
          <w:u w:val="single"/>
          <w:rtl w:val="0"/>
        </w:rPr>
        <w:t xml:space="preserve">The New York Times</w:t>
      </w:r>
      <w:r w:rsidDel="00000000" w:rsidR="00000000" w:rsidRPr="00000000">
        <w:rPr>
          <w:color w:val="333333"/>
          <w:sz w:val="20"/>
          <w:szCs w:val="20"/>
          <w:rtl w:val="0"/>
        </w:rPr>
        <w:t xml:space="preserve">.  </w:t>
      </w:r>
      <w:r w:rsidDel="00000000" w:rsidR="00000000" w:rsidRPr="00000000">
        <w:rPr>
          <w:color w:val="363636"/>
          <w:sz w:val="20"/>
          <w:szCs w:val="20"/>
          <w:highlight w:val="white"/>
          <w:rtl w:val="0"/>
        </w:rPr>
        <w:t xml:space="preserve">Published Jan. 30, 2022.  Updated Feb. 8, 2022.  Accessed Aug. 7, 2022. </w:t>
      </w:r>
      <w:r w:rsidDel="00000000" w:rsidR="00000000" w:rsidRPr="00000000">
        <w:rPr>
          <w:color w:val="333333"/>
          <w:sz w:val="20"/>
          <w:szCs w:val="20"/>
          <w:rtl w:val="0"/>
        </w:rPr>
        <w:t xml:space="preserve">www.nytimes.com/2022/01/30/books/book-ban-us-schools.html.</w:t>
      </w:r>
    </w:p>
    <w:p w:rsidR="00000000" w:rsidDel="00000000" w:rsidP="00000000" w:rsidRDefault="00000000" w:rsidRPr="00000000" w14:paraId="00000034">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format and some language from this proposal follow an example by Jonathan Leslie and Neri Van Otten.  “Designing and Building Data Science Solutions:  8 Example project plan.”  Created Nov. 1, 2022.  Accessed Aug. 7, 2022.  datasciencedesign.com/example.html.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nytimes.com/by/elizabeth-a-harris" TargetMode="External"/><Relationship Id="rId2" Type="http://schemas.openxmlformats.org/officeDocument/2006/relationships/hyperlink" Target="https://www.nytimes.com/by/alexandra-a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