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C4FD7" w14:textId="77777777" w:rsidR="0027336E" w:rsidRDefault="0027336E" w:rsidP="0027336E">
      <w:r>
        <w:t>10 pages long with figures</w:t>
      </w:r>
    </w:p>
    <w:p w14:paraId="3C6FB609" w14:textId="77777777" w:rsidR="0027336E" w:rsidRDefault="0027336E" w:rsidP="0027336E">
      <w:pPr>
        <w:pStyle w:val="Heading1"/>
        <w:numPr>
          <w:ilvl w:val="0"/>
          <w:numId w:val="2"/>
        </w:numPr>
      </w:pPr>
      <w:r>
        <w:t>Introduction</w:t>
      </w:r>
    </w:p>
    <w:p w14:paraId="24A74353" w14:textId="77777777" w:rsidR="0027336E" w:rsidRDefault="0027336E" w:rsidP="0027336E">
      <w:r>
        <w:t>Give a background explanation of the processes that are being studied (with relevant references). In this context, explain your question(s) and its significance.</w:t>
      </w:r>
    </w:p>
    <w:p w14:paraId="2606AD74" w14:textId="77777777" w:rsidR="00BF102E" w:rsidRDefault="00BF102E" w:rsidP="0027336E"/>
    <w:p w14:paraId="4C9941DB" w14:textId="5D67F392" w:rsidR="00BF102E" w:rsidRDefault="00BF102E" w:rsidP="00BF102E">
      <w:pPr>
        <w:spacing w:before="240"/>
        <w:ind w:firstLine="360"/>
        <w:jc w:val="both"/>
      </w:pPr>
      <w:r>
        <w:t>The sensitivity of glaciers to climate re</w:t>
      </w:r>
      <w:r>
        <w:commentReference w:id="0"/>
      </w:r>
      <w:r>
        <w:t>sults in an augmentation of ablation compare</w:t>
      </w:r>
      <w:ins w:id="1" w:author="Unknown Author" w:date="2017-10-06T19:27:00Z">
        <w:r>
          <w:t>d</w:t>
        </w:r>
      </w:ins>
      <w:r>
        <w:t xml:space="preserve"> to accumulation when temperature rises, increasing surface meltwater available for infiltration through crevasses and moulins and potentially impacting the movement of the glacier </w:t>
      </w:r>
      <w:r>
        <w:fldChar w:fldCharType="begin"/>
      </w:r>
      <w:r>
        <w:instrText>ADDIN ZOTERO_ITEM {"citationID":"a1b8d8rccpj","properties":{"formattedCitation":"(Benn &amp; Evans, 2010)","plainCitation":"(Benn &amp; Evans, 2010)"},"citationItems":[{"id":794,"uris":["http://zotero.org/users/2162517/items/R6GTKN6U"],"uri":["http://zotero.org/users/2162517/items/R6GTKN6U"]}]}</w:instrText>
      </w:r>
      <w:r>
        <w:fldChar w:fldCharType="separate"/>
      </w:r>
      <w:r>
        <w:t>(</w:t>
      </w:r>
      <w:bookmarkStart w:id="2" w:name="__Fieldmark__692_636934026"/>
      <w:r>
        <w:t>Benn &amp; Evans, 2010)</w:t>
      </w:r>
      <w:r>
        <w:fldChar w:fldCharType="end"/>
      </w:r>
      <w:bookmarkEnd w:id="2"/>
      <w:r>
        <w:t xml:space="preserve">. Particularly, the Greenland Ice Sheet (GrIS) is a subject of concerns, as it represents 10 percent of the total Earth’s freshwater, could elevate oceans by 6.5 m </w:t>
      </w:r>
      <w:r>
        <w:fldChar w:fldCharType="begin"/>
      </w:r>
      <w:r>
        <w:instrText>ADDIN ZOTERO_ITEM {"citationID":"xlQ3kXXl","properties":{"formattedCitation":"(Benn &amp; Evans, 2010)","plainCitation":"(Benn &amp; Evans, 2010)"},"citationItems":[{"id":794,"uris":["http://zotero.org/users/2162517/items/R6GTKN6U"],"uri":["http://zotero.org/users/2162517/items/R6GTKN6U"]}]}</w:instrText>
      </w:r>
      <w:r>
        <w:fldChar w:fldCharType="separate"/>
      </w:r>
      <w:bookmarkStart w:id="3" w:name="__Fieldmark__1433_1487597992"/>
      <w:r>
        <w:t>(</w:t>
      </w:r>
      <w:bookmarkStart w:id="4" w:name="__Fieldmark__700_636934026"/>
      <w:r>
        <w:t>Benn &amp; Evans, 2010)</w:t>
      </w:r>
      <w:r>
        <w:fldChar w:fldCharType="end"/>
      </w:r>
      <w:bookmarkEnd w:id="3"/>
      <w:bookmarkEnd w:id="4"/>
      <w:r>
        <w:t xml:space="preserve"> , and is influenced by global warming since 1990 by an increase in temperature inducing increased surface melting </w:t>
      </w:r>
      <w:r>
        <w:fldChar w:fldCharType="begin"/>
      </w:r>
      <w:r>
        <w:instrText>ADDIN ZOTERO_ITEM {"citationID":"ardoo12ble","properties":{"formattedCitation":"(Hanna et al., 2008)","plainCitation":"(Hanna et al., 2008)"},"citationItems":[{"id":841,"uris":["http://zotero.org/users/2162517/items/DR56GH37"],"uri":["http://zotero.org/users/2162517/items/DR56GH37"]}]}</w:instrText>
      </w:r>
      <w:r>
        <w:fldChar w:fldCharType="separate"/>
      </w:r>
      <w:bookmarkStart w:id="5" w:name="__Fieldmark__1442_1487597992"/>
      <w:r>
        <w:t>(</w:t>
      </w:r>
      <w:bookmarkStart w:id="6" w:name="__Fieldmark__706_636934026"/>
      <w:r>
        <w:t>Hanna et al., 2008)</w:t>
      </w:r>
      <w:r>
        <w:fldChar w:fldCharType="end"/>
      </w:r>
      <w:bookmarkEnd w:id="5"/>
      <w:bookmarkEnd w:id="6"/>
      <w:r>
        <w:t xml:space="preserve">. </w:t>
      </w:r>
    </w:p>
    <w:p w14:paraId="2E8059A2" w14:textId="6446641C" w:rsidR="00BF102E" w:rsidRDefault="00BF102E" w:rsidP="00BF102E">
      <w:pPr>
        <w:spacing w:before="240"/>
        <w:ind w:firstLine="360"/>
        <w:jc w:val="both"/>
      </w:pPr>
      <w:r>
        <w:t xml:space="preserve">The relationship between surface meltwater infiltration and acceleration or deceleration of the iceflow in the GrIS is currently a subject of debate. Zwally et al. </w:t>
      </w:r>
      <w:r>
        <w:fldChar w:fldCharType="begin"/>
      </w:r>
      <w:r>
        <w:instrText>ADDIN ZOTERO_ITEM {"citationID":"lmrA6kle","properties":{"formattedCitation":"(2002)","plainCitation":"(2002)"},"citationItems":[{"id":158,"uris":["http://zotero.org/users/2162517/items/AXPFZ3SS"],"uri":["http://zotero.org/users/2162517/items/AXPFZ3SS"],"suppress-author":true}]}</w:instrText>
      </w:r>
      <w:r>
        <w:fldChar w:fldCharType="separate"/>
      </w:r>
      <w:bookmarkStart w:id="7" w:name="__Fieldmark__1456_1487597992"/>
      <w:r>
        <w:t>(</w:t>
      </w:r>
      <w:bookmarkStart w:id="8" w:name="__Fieldmark__719_636934026"/>
      <w:r>
        <w:t>2002)</w:t>
      </w:r>
      <w:r>
        <w:fldChar w:fldCharType="end"/>
      </w:r>
      <w:bookmarkEnd w:id="7"/>
      <w:bookmarkEnd w:id="8"/>
      <w:r>
        <w:t xml:space="preserve"> suggested that increase in melt will potentially  dramatically accelerate the ice flow. With one point of GPS measurement, they found seasonal and annual correlation between ice motion and the potential meltwater produced (with a positive degree-day indicator). They suggest this speedup results from the decrease of the effective pressure when infiltration increases, increasing sliding at the bed.</w:t>
      </w:r>
    </w:p>
    <w:p w14:paraId="40C5A30B" w14:textId="790CB422" w:rsidR="0084326C" w:rsidRDefault="00BF102E" w:rsidP="0084326C">
      <w:pPr>
        <w:spacing w:before="240"/>
        <w:ind w:firstLine="360"/>
        <w:jc w:val="both"/>
      </w:pPr>
      <w:r>
        <w:t xml:space="preserve">Further research made with a larger number of GPS units </w:t>
      </w:r>
      <w:r>
        <w:fldChar w:fldCharType="begin"/>
      </w:r>
      <w:r>
        <w:instrText>ADDIN ZOTERO_ITEM {"citationID":"0RwYDtmB","properties":{"formattedCitation":"(Bartholomew et al., 2011; Hoffman, Catania, Neumann, Andrews, &amp; Rumrill, 2011; Sole et al., 2013)","plainCitation":"(Bartholomew et al., 2011; Hoffman, Catania, Neumann, Andrews, &amp; Rumrill, 2011; Sole et al., 2013)"},"citationItems":[{"id":725,"uris":["http://zotero.org/users/2162517/items/8WAUH52Q"],"uri":["http://zotero.org/users/2162517/items/8WAUH52Q"],"label":"page"},{"id":527,"uris":["http://zotero.org/users/2162517/items/47PXUBRT"],"uri":["http://zotero.org/users/2162517/items/47PXUBRT"],"label":"page"},{"id":509,"uris":["http://zotero.org/users/2162517/items/VSCRUZ63"],"uri":["http://zotero.org/users/2162517/items/VSCRUZ63"],"label":"page"}]}</w:instrText>
      </w:r>
      <w:r>
        <w:fldChar w:fldCharType="separate"/>
      </w:r>
      <w:bookmarkStart w:id="9" w:name="__Fieldmark__1492_1487597992"/>
      <w:r>
        <w:t>(</w:t>
      </w:r>
      <w:bookmarkStart w:id="10" w:name="__Fieldmark__741_636934026"/>
      <w:r>
        <w:t>Bartholomew et al., 2011; Hoffman, Catania, Neumann, Andrews, &amp; Rumrill, 2011; Sole et al., 2013)</w:t>
      </w:r>
      <w:r>
        <w:fldChar w:fldCharType="end"/>
      </w:r>
      <w:bookmarkEnd w:id="9"/>
      <w:bookmarkEnd w:id="10"/>
      <w:r>
        <w:t xml:space="preserve"> showed that, if summer acceleration was correlated with increase of surface meltwater, winter deceleration was inversely correlated, meaning that the more the melt in the summer, the stronger the deceleration will be in winter, invalidating the annual correlation between melting and acceleration. This early deceleration was explained by the enlargement of subglacial drainage leading to lowered water pressure, increased effective pressure, and creep closure of subglacial conduits. Later, Andrews et al. </w:t>
      </w:r>
      <w:r>
        <w:fldChar w:fldCharType="begin"/>
      </w:r>
      <w:r>
        <w:instrText>ADDIN ZOTERO_ITEM {"citationID":"uST8uM05","properties":{"formattedCitation":"(2014)","plainCitation":"(2014)"},"citationItems":[{"id":721,"uris":["http://zotero.org/users/2162517/items/MPZ4MEN5"],"uri":["http://zotero.org/users/2162517/items/MPZ4MEN5"],"suppress-author":true}]}</w:instrText>
      </w:r>
      <w:r>
        <w:fldChar w:fldCharType="separate"/>
      </w:r>
      <w:bookmarkStart w:id="11" w:name="__Fieldmark__1503_1487597992"/>
      <w:r>
        <w:t>(</w:t>
      </w:r>
      <w:bookmarkStart w:id="12" w:name="__Fieldmark__772_636934026"/>
      <w:r>
        <w:t>2014)</w:t>
      </w:r>
      <w:r>
        <w:fldChar w:fldCharType="end"/>
      </w:r>
      <w:bookmarkEnd w:id="11"/>
      <w:bookmarkEnd w:id="12"/>
      <w:r>
        <w:t xml:space="preserve"> monitored drillholes and a moulin and found contradicting results and hypothesized that the channelization of unconnected areas was the cause of the increase of effective pressure, instead of the enlargement and collapsing of the conduits under the weight of the glacier.</w:t>
      </w:r>
    </w:p>
    <w:p w14:paraId="235DD5D0" w14:textId="2F8466F2" w:rsidR="00BF102E" w:rsidRDefault="00EB0010" w:rsidP="00BF102E">
      <w:pPr>
        <w:spacing w:before="240"/>
        <w:ind w:firstLine="360"/>
        <w:jc w:val="both"/>
      </w:pPr>
      <w:r>
        <w:t>Meltwater</w:t>
      </w:r>
      <w:r w:rsidR="0084326C">
        <w:t xml:space="preserve"> influence </w:t>
      </w:r>
      <w:r>
        <w:t xml:space="preserve">over </w:t>
      </w:r>
      <w:r w:rsidR="0084326C">
        <w:t>ice motion is still incompletely understood and m</w:t>
      </w:r>
      <w:r w:rsidR="00BF102E">
        <w:t>onitoring moulins is underrepresented on the GrIS in previous studies even though it permits direct measurement of the water level and the dynamics of the glacier. Moulins are connected to the bed and can give precious information to understand how surface meltwater infiltration in moulins influences the acceleration rate of the Greenland Ice Sheet motion.</w:t>
      </w:r>
      <w:r w:rsidR="0084326C">
        <w:t xml:space="preserve"> </w:t>
      </w:r>
      <w:r w:rsidR="00967F42">
        <w:t xml:space="preserve">To understand the measured fluctuation induced by meltwater into the moulins, it is crucial to identify the fluctuation </w:t>
      </w:r>
      <w:r>
        <w:t xml:space="preserve">of the head </w:t>
      </w:r>
      <w:r w:rsidR="00967F42">
        <w:t xml:space="preserve">induced by other physical mechanism </w:t>
      </w:r>
      <w:r>
        <w:t xml:space="preserve">in action </w:t>
      </w:r>
      <w:r w:rsidR="00967F42">
        <w:t xml:space="preserve">in the moulin. As the head varies with time, the relation between the ice thickness and the head </w:t>
      </w:r>
      <w:r>
        <w:t>drives</w:t>
      </w:r>
      <w:r w:rsidR="00967F42">
        <w:t xml:space="preserve"> conduit evolution and transport of water underneath the glacier.</w:t>
      </w:r>
    </w:p>
    <w:p w14:paraId="21F45EA2" w14:textId="33602FF4" w:rsidR="00EB0010" w:rsidRDefault="00EB0010" w:rsidP="00BF102E">
      <w:pPr>
        <w:spacing w:before="240"/>
        <w:ind w:firstLine="360"/>
        <w:jc w:val="both"/>
      </w:pPr>
      <w:r>
        <w:lastRenderedPageBreak/>
        <w:t>To identify the different timescales  of the variation of the head in the moulins, we model a simple reservoir-conduit system with head-related variation of conduit</w:t>
      </w:r>
      <w:bookmarkStart w:id="13" w:name="_GoBack"/>
      <w:bookmarkEnd w:id="13"/>
      <w:r>
        <w:t xml:space="preserve"> </w:t>
      </w:r>
      <w:r>
        <w:fldChar w:fldCharType="begin"/>
      </w:r>
      <w:r>
        <w:instrText xml:space="preserve"> ADDIN ZOTERO_ITEM CSL_CITATION {"citationID":"a1lk47fif70","properties":{"formattedCitation":"(Covington et al., 2012)","plainCitation":"(Covington et al., 2012)"},"citationItems":[{"id":105,"uris":["http://zotero.org/users/2162517/items/KUA9SE2X"],"uri":["http://zotero.org/users/2162517/items/KUA9SE2X"],"itemData":{"id":105,"type":"article-journal","title":"Quantifying the effects of glacier conduit geometry and recharge on proglacial hydrograph form","container-title":"Journal of Hydrology","page":"59-71","volume":"414","source":"ScienceDirect","abstract":"The shape of proglacial hydrograph are controlled by rate of recharge, except if conduits or cavities are linked to lake or crevasses that are able to give a input bigger than the drainage system. \nThe type of drainage system, distributed and channelized, cannot be inferred from the shape of proglacial hydrograph, breakthrough curves, or chemograph, because it can change with recharge and therefore is not a unique indicator. //","DOI":"10.1016/j.jhydrol.2011.10.027","ISSN":"0022-1694","author":[{"family":"Covington","given":"M. D."},{"family":"Banwell","given":"A. F."},{"family":"Gulley","given":"J."},{"family":"Saar","given":"M. O."},{"family":"Willis","given":"I."},{"family":"Wicks","given":"C. M."}],"issued":{"date-parts":[["2012"]]}}}],"schema":"https://github.com/citation-style-language/schema/raw/master/csl-citation.json"} </w:instrText>
      </w:r>
      <w:r>
        <w:fldChar w:fldCharType="separate"/>
      </w:r>
      <w:r>
        <w:rPr>
          <w:noProof/>
        </w:rPr>
        <w:t>(Covington et al., 2012)</w:t>
      </w:r>
      <w:r>
        <w:fldChar w:fldCharType="end"/>
      </w:r>
    </w:p>
    <w:p w14:paraId="3051DFEA" w14:textId="77777777" w:rsidR="0084326C" w:rsidRDefault="0084326C" w:rsidP="00BF102E">
      <w:pPr>
        <w:spacing w:before="240"/>
        <w:ind w:firstLine="360"/>
        <w:jc w:val="both"/>
      </w:pPr>
    </w:p>
    <w:p w14:paraId="69390C49" w14:textId="77777777" w:rsidR="00BF102E" w:rsidRPr="00E644D4" w:rsidRDefault="00BF102E" w:rsidP="0027336E"/>
    <w:p w14:paraId="3FCE88A4" w14:textId="77777777" w:rsidR="0027336E" w:rsidRDefault="0027336E" w:rsidP="0027336E">
      <w:pPr>
        <w:pStyle w:val="Heading1"/>
        <w:numPr>
          <w:ilvl w:val="0"/>
          <w:numId w:val="2"/>
        </w:numPr>
      </w:pPr>
      <w:r>
        <w:t>Methods</w:t>
      </w:r>
    </w:p>
    <w:p w14:paraId="715CCBF9" w14:textId="77777777" w:rsidR="0027336E" w:rsidRPr="00E644D4" w:rsidRDefault="0027336E" w:rsidP="0027336E">
      <w:r>
        <w:t>Summarize your model and the modeling methods that you used.</w:t>
      </w:r>
    </w:p>
    <w:p w14:paraId="100A0BD7" w14:textId="77777777" w:rsidR="0027336E" w:rsidRDefault="0027336E" w:rsidP="0027336E">
      <w:pPr>
        <w:pStyle w:val="Heading1"/>
        <w:numPr>
          <w:ilvl w:val="0"/>
          <w:numId w:val="2"/>
        </w:numPr>
      </w:pPr>
      <w:r>
        <w:t>Results</w:t>
      </w:r>
    </w:p>
    <w:p w14:paraId="6C74FEA9" w14:textId="77777777" w:rsidR="0027336E" w:rsidRPr="00E644D4" w:rsidRDefault="0027336E" w:rsidP="0027336E">
      <w:r>
        <w:t>Present the results of your modeling in a factual way, without added interpretation</w:t>
      </w:r>
    </w:p>
    <w:p w14:paraId="5F5A8524" w14:textId="77777777" w:rsidR="0027336E" w:rsidRDefault="0027336E" w:rsidP="0027336E">
      <w:pPr>
        <w:pStyle w:val="Heading1"/>
        <w:numPr>
          <w:ilvl w:val="0"/>
          <w:numId w:val="2"/>
        </w:numPr>
      </w:pPr>
      <w:r>
        <w:t>Discussion</w:t>
      </w:r>
    </w:p>
    <w:p w14:paraId="2EB297B6" w14:textId="77777777" w:rsidR="0027336E" w:rsidRPr="00E644D4" w:rsidRDefault="0027336E" w:rsidP="0027336E">
      <w:r>
        <w:t>Develop an interpretation of your results and address your initial question(s). Explain any limitations to the interpretation, as well as any broader implications.</w:t>
      </w:r>
    </w:p>
    <w:p w14:paraId="1472EE99" w14:textId="77777777" w:rsidR="0027336E" w:rsidRDefault="0027336E" w:rsidP="0027336E">
      <w:pPr>
        <w:pStyle w:val="Heading1"/>
        <w:numPr>
          <w:ilvl w:val="0"/>
          <w:numId w:val="2"/>
        </w:numPr>
      </w:pPr>
      <w:r>
        <w:t>Conclusion</w:t>
      </w:r>
    </w:p>
    <w:p w14:paraId="18381004" w14:textId="77777777" w:rsidR="0027336E" w:rsidRDefault="0027336E" w:rsidP="0027336E">
      <w:r>
        <w:t xml:space="preserve">Summarize the conclusions of your study </w:t>
      </w:r>
      <w:r>
        <w:br w:type="page"/>
      </w:r>
    </w:p>
    <w:p w14:paraId="5FDDC0AF" w14:textId="0E326BC7" w:rsidR="00540A77" w:rsidRDefault="007441F0">
      <w:pPr>
        <w:spacing w:before="240" w:line="480" w:lineRule="auto"/>
        <w:ind w:firstLine="360"/>
        <w:jc w:val="both"/>
      </w:pPr>
      <w:r>
        <w:lastRenderedPageBreak/>
        <w:t>To understand moulins' interactions with meltwater, residence time in the moulin and variation of the size of the output, we plan to test a model reproducing water level in the moulin.</w:t>
      </w:r>
    </w:p>
    <w:p w14:paraId="5935EA31" w14:textId="351B26EA" w:rsidR="00540A77" w:rsidRDefault="007441F0">
      <w:pPr>
        <w:spacing w:before="240" w:line="480" w:lineRule="auto"/>
        <w:ind w:firstLine="360"/>
        <w:jc w:val="both"/>
      </w:pPr>
      <w:r>
        <w:t>To reproduce the water level fluctuation in moulins, the reservoir constriction equation is used. It is composed of the open channel equation (</w:t>
      </w:r>
      <w:r>
        <w:fldChar w:fldCharType="begin"/>
      </w:r>
      <w:r>
        <w:instrText>REF _Ref367950792 \h</w:instrText>
      </w:r>
      <w:r>
        <w:fldChar w:fldCharType="separate"/>
      </w:r>
      <w:r>
        <w:t>Figure 1</w:t>
      </w:r>
      <w:r>
        <w:fldChar w:fldCharType="end"/>
      </w:r>
      <w:r>
        <w:t>b) to simulate the vertical variation of water in the conduit, and the full pipe equation (</w:t>
      </w:r>
      <w:r>
        <w:fldChar w:fldCharType="begin"/>
      </w:r>
      <w:r>
        <w:instrText>REF _Ref367950792 \h</w:instrText>
      </w:r>
      <w:r>
        <w:fldChar w:fldCharType="separate"/>
      </w:r>
      <w:r>
        <w:t>Figure 1</w:t>
      </w:r>
      <w:r>
        <w:fldChar w:fldCharType="end"/>
      </w:r>
      <w:r>
        <w:t xml:space="preserve">a) to constrain the output of the moulin in the interface of the ice with the bedrock. </w:t>
      </w:r>
      <w:r>
        <w:fldChar w:fldCharType="begin"/>
      </w:r>
      <w:r>
        <w:instrText>ADDIN ZOTERO_ITEM {"citationID":"Ids7PD3H","properties":{"formattedCitation":"(Covington et al., 2012)","plainCitation":"(Covington et al., 2012)"},"citationItems":[{"id":221,"uris":["http://zotero.org/users/2162517/items/KUA9SE2X"],"uri":["http://zotero.org/users/2162517/items/KUA9SE2X"]}]}</w:instrText>
      </w:r>
      <w:r>
        <w:fldChar w:fldCharType="separate"/>
      </w:r>
      <w:bookmarkStart w:id="14" w:name="__Fieldmark__1524_1487597992"/>
      <w:r>
        <w:t>(</w:t>
      </w:r>
      <w:bookmarkStart w:id="15" w:name="__Fieldmark__809_636934026"/>
      <w:r>
        <w:t>Covington et al., 2012)</w:t>
      </w:r>
      <w:bookmarkEnd w:id="14"/>
      <w:bookmarkEnd w:id="15"/>
      <w:r>
        <w:fldChar w:fldCharType="end"/>
      </w:r>
    </w:p>
    <w:p w14:paraId="046633DE" w14:textId="333CFC1F" w:rsidR="00540A77" w:rsidRDefault="007441F0">
      <w:pPr>
        <w:spacing w:before="240" w:line="480" w:lineRule="auto"/>
        <w:ind w:firstLine="360"/>
        <w:jc w:val="both"/>
      </w:pPr>
      <w:r>
        <w:t>A first set of equation will describe how waterlevel changes in the moulin as well as the discharge in the output conduit.</w:t>
      </w:r>
    </w:p>
    <w:p w14:paraId="5FE08BDC" w14:textId="77777777" w:rsidR="00540A77" w:rsidRDefault="00356691">
      <w:pPr>
        <w:tabs>
          <w:tab w:val="right" w:pos="9356"/>
        </w:tabs>
        <w:spacing w:before="240" w:line="480" w:lineRule="auto"/>
        <w:ind w:firstLine="360"/>
        <w:jc w:val="both"/>
      </w:pPr>
      <m:oMath>
        <m:f>
          <m:fPr>
            <m:ctrlPr/>
          </m:fPr>
          <m:num>
            <m:r>
              <w:rPr>
                <w:rFonts w:ascii="Cambria Math" w:hAnsi="Cambria Math"/>
              </w:rPr>
              <m:t>dh</m:t>
            </m:r>
          </m:num>
          <m:den>
            <m:r>
              <w:rPr>
                <w:rFonts w:ascii="Cambria Math" w:hAnsi="Cambria Math"/>
              </w:rPr>
              <m:t>dt</m:t>
            </m:r>
          </m:den>
        </m:f>
        <m:r>
          <w:rPr>
            <w:rFonts w:ascii="Cambria Math" w:hAnsi="Cambria Math"/>
          </w:rPr>
          <m:t>=</m:t>
        </m:r>
        <m:f>
          <m:fPr>
            <m:ctrlPr/>
          </m:fPr>
          <m:num>
            <m:r>
              <w:rPr>
                <w:rFonts w:ascii="Cambria Math" w:hAnsi="Cambria Math"/>
              </w:rPr>
              <m:t>R-Q</m:t>
            </m:r>
          </m:num>
          <m:den>
            <m:sSub>
              <m:sSubPr>
                <m:ctrlPr/>
              </m:sSubPr>
              <m:e>
                <m:r>
                  <w:rPr>
                    <w:rFonts w:ascii="Cambria Math" w:hAnsi="Cambria Math"/>
                  </w:rPr>
                  <m:t>A</m:t>
                </m:r>
              </m:e>
              <m:sub>
                <m:r>
                  <w:rPr>
                    <w:rFonts w:ascii="Cambria Math" w:hAnsi="Cambria Math"/>
                  </w:rPr>
                  <m:t>R</m:t>
                </m:r>
              </m:sub>
            </m:sSub>
          </m:den>
        </m:f>
      </m:oMath>
      <w:r w:rsidR="007441F0">
        <w:tab/>
        <w:t>(1)</w:t>
      </w:r>
    </w:p>
    <w:p w14:paraId="44626A50" w14:textId="77777777" w:rsidR="00540A77" w:rsidRDefault="007441F0">
      <w:pPr>
        <w:tabs>
          <w:tab w:val="right" w:pos="9356"/>
        </w:tabs>
        <w:spacing w:before="240" w:line="480" w:lineRule="auto"/>
        <w:ind w:firstLine="360"/>
        <w:jc w:val="both"/>
        <w:rPr>
          <w:rFonts w:ascii="Cambria Math" w:hAnsi="Cambria Math"/>
        </w:rPr>
      </w:pPr>
      <m:oMath>
        <m:r>
          <w:rPr>
            <w:rFonts w:ascii="Cambria Math" w:hAnsi="Cambria Math"/>
          </w:rPr>
          <m:t>Q=</m:t>
        </m:r>
        <m:sSub>
          <m:sSubPr>
            <m:ctrlPr/>
          </m:sSubPr>
          <m:e>
            <m:r>
              <w:rPr>
                <w:rFonts w:ascii="Cambria Math" w:hAnsi="Cambria Math"/>
              </w:rPr>
              <m:t>A</m:t>
            </m:r>
          </m:e>
          <m:sub>
            <m:r>
              <w:rPr>
                <w:rFonts w:ascii="Cambria Math" w:hAnsi="Cambria Math"/>
              </w:rPr>
              <m:t>c</m:t>
            </m:r>
          </m:sub>
        </m:sSub>
        <m:rad>
          <m:radPr>
            <m:degHide m:val="1"/>
            <m:ctrlPr/>
          </m:radPr>
          <m:deg/>
          <m:e>
            <m:f>
              <m:fPr>
                <m:ctrlPr/>
              </m:fPr>
              <m:num>
                <m:r>
                  <w:rPr>
                    <w:rFonts w:ascii="Cambria Math" w:hAnsi="Cambria Math"/>
                  </w:rPr>
                  <m:t>2gh</m:t>
                </m:r>
              </m:num>
              <m:den>
                <m:sSub>
                  <m:sSubPr>
                    <m:ctrlPr/>
                  </m:sSubPr>
                  <m:e>
                    <m:r>
                      <w:rPr>
                        <w:rFonts w:ascii="Cambria Math" w:hAnsi="Cambria Math"/>
                      </w:rPr>
                      <m:t>C</m:t>
                    </m:r>
                  </m:e>
                  <m:sub>
                    <m:r>
                      <w:rPr>
                        <w:rFonts w:ascii="Cambria Math" w:hAnsi="Cambria Math"/>
                      </w:rPr>
                      <m:t>f</m:t>
                    </m:r>
                  </m:sub>
                </m:sSub>
              </m:den>
            </m:f>
          </m:e>
        </m:rad>
      </m:oMath>
      <w:r>
        <w:rPr>
          <w:rFonts w:ascii="Cambria Math" w:hAnsi="Cambria Math"/>
        </w:rPr>
        <w:tab/>
        <w:t>(2)</w:t>
      </w:r>
    </w:p>
    <w:p w14:paraId="0E954E6A" w14:textId="513A6AFA" w:rsidR="00540A77" w:rsidRDefault="00BF102E">
      <w:pPr>
        <w:spacing w:before="240" w:line="480" w:lineRule="auto"/>
        <w:ind w:firstLine="360"/>
        <w:jc w:val="both"/>
      </w:pPr>
      <w:r>
        <w:rPr>
          <w:noProof/>
        </w:rPr>
        <mc:AlternateContent>
          <mc:Choice Requires="wpg">
            <w:drawing>
              <wp:anchor distT="0" distB="0" distL="114300" distR="114300" simplePos="0" relativeHeight="2" behindDoc="0" locked="0" layoutInCell="1" allowOverlap="1" wp14:anchorId="6E0B8B48" wp14:editId="21B426BB">
                <wp:simplePos x="0" y="0"/>
                <wp:positionH relativeFrom="column">
                  <wp:posOffset>65405</wp:posOffset>
                </wp:positionH>
                <wp:positionV relativeFrom="paragraph">
                  <wp:posOffset>1637665</wp:posOffset>
                </wp:positionV>
                <wp:extent cx="5829300" cy="3769360"/>
                <wp:effectExtent l="0" t="0" r="12700" b="0"/>
                <wp:wrapTopAndBottom/>
                <wp:docPr id="1" name="Grouper 3"/>
                <wp:cNvGraphicFramePr/>
                <a:graphic xmlns:a="http://schemas.openxmlformats.org/drawingml/2006/main">
                  <a:graphicData uri="http://schemas.microsoft.com/office/word/2010/wordprocessingGroup">
                    <wpg:wgp>
                      <wpg:cNvGrpSpPr/>
                      <wpg:grpSpPr>
                        <a:xfrm>
                          <a:off x="0" y="0"/>
                          <a:ext cx="5829300" cy="3769360"/>
                          <a:chOff x="-3810062" y="-121920"/>
                          <a:chExt cx="5829547" cy="3770091"/>
                        </a:xfrm>
                      </wpg:grpSpPr>
                      <pic:pic xmlns:pic="http://schemas.openxmlformats.org/drawingml/2006/picture">
                        <pic:nvPicPr>
                          <pic:cNvPr id="2" name="Image 2"/>
                          <pic:cNvPicPr/>
                        </pic:nvPicPr>
                        <pic:blipFill>
                          <a:blip r:embed="rId10"/>
                          <a:stretch/>
                        </pic:blipFill>
                        <pic:spPr>
                          <a:xfrm>
                            <a:off x="-2330450" y="-121920"/>
                            <a:ext cx="2493720" cy="3197880"/>
                          </a:xfrm>
                          <a:prstGeom prst="rect">
                            <a:avLst/>
                          </a:prstGeom>
                          <a:ln>
                            <a:noFill/>
                          </a:ln>
                        </pic:spPr>
                      </pic:pic>
                      <wps:wsp>
                        <wps:cNvPr id="3" name="Rectangle 3"/>
                        <wps:cNvSpPr/>
                        <wps:spPr>
                          <a:xfrm>
                            <a:off x="-3810062" y="3198180"/>
                            <a:ext cx="5829547" cy="449991"/>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17C0334" w14:textId="77777777" w:rsidR="00540A77" w:rsidRDefault="007441F0">
                              <w:pPr>
                                <w:overflowPunct w:val="0"/>
                                <w:jc w:val="both"/>
                              </w:pPr>
                              <w:r>
                                <w:rPr>
                                  <w:rFonts w:ascii="Cambria Math" w:eastAsiaTheme="minorEastAsia" w:hAnsi="Cambria Math"/>
                                  <w:color w:val="000000"/>
                                  <w:lang w:val="fr-FR" w:eastAsia="ja-JP"/>
                                </w:rPr>
                                <w:t>Figure 1. Reservoir constriction. a) full pipe, b) open channels c) reservoir constriction (Covington, Wicks, &amp; Saar, 2009).</w:t>
                              </w:r>
                            </w:p>
                            <w:p w14:paraId="7D93A852" w14:textId="77777777" w:rsidR="00540A77" w:rsidRDefault="00540A77">
                              <w:pPr>
                                <w:overflowPunct w:val="0"/>
                              </w:pPr>
                            </w:p>
                          </w:txbxContent>
                        </wps:txbx>
                        <wps:bodyPr lIns="0" tIns="0" rIns="0" bIns="0">
                          <a:noAutofit/>
                        </wps:bodyPr>
                      </wps:wsp>
                    </wpg:wgp>
                  </a:graphicData>
                </a:graphic>
                <wp14:sizeRelH relativeFrom="margin">
                  <wp14:pctWidth>0</wp14:pctWidth>
                </wp14:sizeRelH>
                <wp14:sizeRelV relativeFrom="margin">
                  <wp14:pctHeight>0</wp14:pctHeight>
                </wp14:sizeRelV>
              </wp:anchor>
            </w:drawing>
          </mc:Choice>
          <mc:Fallback>
            <w:pict>
              <v:group w14:anchorId="6E0B8B48" id="Grouper 3" o:spid="_x0000_s1026" style="position:absolute;left:0;text-align:left;margin-left:5.15pt;margin-top:128.95pt;width:459pt;height:296.8pt;z-index:2;mso-width-relative:margin;mso-height-relative:margin" coordorigin="-3810062,-121920" coordsize="5829547,377009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2330450;top:-121920;width:2493720;height:31978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Jr&#10;u2LEAAAA2gAAAA8AAABkcnMvZG93bnJldi54bWxEj0FrwkAUhO9C/8PyCr2EZqOHIjGriLTSk2Js&#10;D95es6/J0uzbkF2T+O/dQqHHYWa+YYrNZFsxUO+NYwXzNANBXDltuFbwcX57XoLwAVlj65gU3MjD&#10;Zv0wKzDXbuQTDWWoRYSwz1FBE0KXS+mrhiz61HXE0ft2vcUQZV9L3eMY4baViyx7kRYNx4UGO9o1&#10;VP2UV6vgs01eD/u5qS5JzWV3/NKJOQWlnh6n7QpEoCn8h//a71rBAn6vxBsg13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Jru2LEAAAA2gAAAA8AAAAAAAAAAAAAAAAAnAIA&#10;AGRycy9kb3ducmV2LnhtbFBLBQYAAAAABAAEAPcAAACNAwAAAAA=&#10;">
                  <v:imagedata r:id="rId11" o:title=""/>
                </v:shape>
                <v:rect id="Rectangle 3" o:spid="_x0000_s1028" style="position:absolute;left:-3810062;top:3198180;width:5829547;height:4499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FAOwAAA&#10;ANoAAAAPAAAAZHJzL2Rvd25yZXYueG1sRI9BawIxFITvhf6H8ArealYFKVujSKvYa7dKr4/Nc7Oa&#10;vCybqLG/vhEEj8PMfMPMFslZcaY+tJ4VjIYFCOLa65YbBduf9esbiBCRNVrPpOBKARbz56cZltpf&#10;+JvOVWxEhnAoUYGJsSulDLUhh2HoO+Ls7X3vMGbZN1L3eMlwZ+W4KKbSYct5wWBHH4bqY3VyCjaj&#10;z1V3kH8Vbmyk086k2v4mpQYvafkOIlKKj/C9/aUVTOB2Jd8AOf8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7FAOwAAAANoAAAAPAAAAAAAAAAAAAAAAAJcCAABkcnMvZG93bnJl&#10;di54bWxQSwUGAAAAAAQABAD1AAAAhAMAAAAA&#10;" stroked="f">
                  <v:textbox inset="0,0,0,0">
                    <w:txbxContent>
                      <w:p w14:paraId="317C0334" w14:textId="77777777" w:rsidR="00540A77" w:rsidRDefault="007441F0">
                        <w:pPr>
                          <w:overflowPunct w:val="0"/>
                          <w:jc w:val="both"/>
                        </w:pPr>
                        <w:r>
                          <w:rPr>
                            <w:rFonts w:ascii="Cambria Math" w:eastAsiaTheme="minorEastAsia" w:hAnsi="Cambria Math"/>
                            <w:color w:val="000000"/>
                            <w:lang w:val="fr-FR" w:eastAsia="ja-JP"/>
                          </w:rPr>
                          <w:t>Figure 1. Reservoir constriction. a) full pipe, b) open channels c) reservoir constriction (Covington, Wicks, &amp; Saar, 2009).</w:t>
                        </w:r>
                      </w:p>
                      <w:p w14:paraId="7D93A852" w14:textId="77777777" w:rsidR="00540A77" w:rsidRDefault="00540A77">
                        <w:pPr>
                          <w:overflowPunct w:val="0"/>
                        </w:pPr>
                      </w:p>
                    </w:txbxContent>
                  </v:textbox>
                </v:rect>
                <w10:wrap type="topAndBottom"/>
              </v:group>
            </w:pict>
          </mc:Fallback>
        </mc:AlternateContent>
      </w:r>
      <w:r w:rsidR="007441F0">
        <w:t xml:space="preserve">Where </w:t>
      </w:r>
      <w:r w:rsidR="007441F0">
        <w:rPr>
          <w:i/>
        </w:rPr>
        <w:t>A</w:t>
      </w:r>
      <w:r w:rsidR="007441F0">
        <w:rPr>
          <w:i/>
          <w:vertAlign w:val="subscript"/>
        </w:rPr>
        <w:t>r</w:t>
      </w:r>
      <w:r w:rsidR="007441F0">
        <w:t xml:space="preserve"> is the reservoir surface area, </w:t>
      </w:r>
      <w:r w:rsidR="007441F0">
        <w:rPr>
          <w:i/>
        </w:rPr>
        <w:t>Q</w:t>
      </w:r>
      <w:r w:rsidR="007441F0">
        <w:t xml:space="preserve"> is the volumetric discharge, </w:t>
      </w:r>
      <w:r w:rsidR="007441F0">
        <w:rPr>
          <w:i/>
        </w:rPr>
        <w:t>R</w:t>
      </w:r>
      <w:r w:rsidR="007441F0">
        <w:t xml:space="preserve"> is the recharge, </w:t>
      </w:r>
      <w:r w:rsidR="007441F0">
        <w:rPr>
          <w:i/>
        </w:rPr>
        <w:t>h</w:t>
      </w:r>
      <w:r w:rsidR="007441F0">
        <w:t xml:space="preserve"> </w:t>
      </w:r>
      <w:r w:rsidR="007441F0">
        <w:lastRenderedPageBreak/>
        <w:t xml:space="preserve">is the depth of water in the reservoir, </w:t>
      </w:r>
      <w:r w:rsidR="007441F0">
        <w:rPr>
          <w:i/>
        </w:rPr>
        <w:t>A</w:t>
      </w:r>
      <w:r w:rsidR="007441F0">
        <w:rPr>
          <w:i/>
          <w:vertAlign w:val="subscript"/>
        </w:rPr>
        <w:t>c</w:t>
      </w:r>
      <w:r w:rsidR="007441F0">
        <w:t xml:space="preserve"> is the cross sectional area and </w:t>
      </w:r>
      <w:r w:rsidR="007441F0">
        <w:rPr>
          <w:i/>
        </w:rPr>
        <w:t>C</w:t>
      </w:r>
      <w:r w:rsidR="007441F0">
        <w:rPr>
          <w:i/>
          <w:vertAlign w:val="subscript"/>
        </w:rPr>
        <w:t>f</w:t>
      </w:r>
      <w:r w:rsidR="007441F0">
        <w:t xml:space="preserve"> is a constant that account for energy loss (Eqs. (24) and (25) in Covington et al., </w:t>
      </w:r>
      <w:r w:rsidR="007441F0">
        <w:fldChar w:fldCharType="begin"/>
      </w:r>
      <w:r w:rsidR="007441F0">
        <w:instrText>ADDIN ZOTERO_ITEM {"citationID":"ecnHiqpl","properties":{"formattedCitation":"(2009)","plainCitation":"(2009)"},"citationItems":[{"id":853,"uris":["http://zotero.org/users/2162517/items/WU7WES2Z"],"uri":["http://zotero.org/users/2162517/items/WU7WES2Z"],"suppress-author":true}]}</w:instrText>
      </w:r>
      <w:r w:rsidR="007441F0">
        <w:fldChar w:fldCharType="separate"/>
      </w:r>
      <w:bookmarkStart w:id="16" w:name="__Fieldmark__1554_1487597992"/>
      <w:r w:rsidR="007441F0">
        <w:t>(</w:t>
      </w:r>
      <w:bookmarkStart w:id="17" w:name="__Fieldmark__845_636934026"/>
      <w:r w:rsidR="007441F0">
        <w:t>2009)</w:t>
      </w:r>
      <w:r w:rsidR="007441F0">
        <w:fldChar w:fldCharType="end"/>
      </w:r>
      <w:bookmarkEnd w:id="16"/>
      <w:bookmarkEnd w:id="17"/>
      <w:r w:rsidR="007441F0">
        <w:t xml:space="preserve">). </w:t>
      </w:r>
      <w:r w:rsidR="007441F0">
        <w:fldChar w:fldCharType="begin"/>
      </w:r>
      <w:r w:rsidR="007441F0">
        <w:instrText>ADDIN ZOTERO_ITEM {"citationID":"KK4f8BfI","properties":{"formattedCitation":"(Covington et al., 2012)","plainCitation":"(Covington et al., 2012)"},"citationItems":[{"id":221,"uris":["http://zotero.org/users/2162517/items/KUA9SE2X"],"uri":["http://zotero.org/users/2162517/items/KUA9SE2X"]}]}</w:instrText>
      </w:r>
      <w:r w:rsidR="007441F0">
        <w:fldChar w:fldCharType="separate"/>
      </w:r>
      <w:bookmarkStart w:id="18" w:name="__Fieldmark__1561_1487597992"/>
      <w:r w:rsidR="007441F0">
        <w:t>(</w:t>
      </w:r>
      <w:bookmarkStart w:id="19" w:name="__Fieldmark__851_636934026"/>
      <w:r w:rsidR="007441F0">
        <w:t>Covington et al., 2012)</w:t>
      </w:r>
      <w:bookmarkEnd w:id="18"/>
      <w:bookmarkEnd w:id="19"/>
      <w:r w:rsidR="007441F0">
        <w:fldChar w:fldCharType="end"/>
      </w:r>
    </w:p>
    <w:p w14:paraId="10EDF9B3" w14:textId="79912B63" w:rsidR="00540A77" w:rsidRDefault="007441F0">
      <w:pPr>
        <w:spacing w:before="240" w:line="480" w:lineRule="auto"/>
        <w:ind w:firstLine="360"/>
        <w:jc w:val="both"/>
      </w:pPr>
      <w:r>
        <w:t>A second set of equation will simulate the melt and creep in regard of the discharge.</w:t>
      </w:r>
    </w:p>
    <w:p w14:paraId="1490FC8E" w14:textId="77777777" w:rsidR="00540A77" w:rsidRDefault="00356691">
      <w:pPr>
        <w:tabs>
          <w:tab w:val="right" w:pos="9356"/>
        </w:tabs>
        <w:spacing w:before="240" w:line="480" w:lineRule="auto"/>
        <w:ind w:firstLine="360"/>
        <w:jc w:val="both"/>
        <w:rPr>
          <w:rFonts w:ascii="Cambria Math" w:hAnsi="Cambria Math"/>
        </w:rPr>
      </w:pPr>
      <m:oMath>
        <m:f>
          <m:fPr>
            <m:ctrlPr/>
          </m:fPr>
          <m:num>
            <m:r>
              <w:rPr>
                <w:rFonts w:ascii="Cambria Math" w:hAnsi="Cambria Math"/>
              </w:rPr>
              <m:t>d</m:t>
            </m:r>
            <m:sSub>
              <m:sSubPr>
                <m:ctrlPr/>
              </m:sSubPr>
              <m:e>
                <m:r>
                  <w:rPr>
                    <w:rFonts w:ascii="Cambria Math" w:hAnsi="Cambria Math"/>
                  </w:rPr>
                  <m:t>A</m:t>
                </m:r>
              </m:e>
              <m:sub>
                <m:r>
                  <w:rPr>
                    <w:rFonts w:ascii="Cambria Math" w:hAnsi="Cambria Math"/>
                  </w:rPr>
                  <m:t>c</m:t>
                </m:r>
              </m:sub>
            </m:sSub>
          </m:num>
          <m:den>
            <m:r>
              <w:rPr>
                <w:rFonts w:ascii="Cambria Math" w:hAnsi="Cambria Math"/>
              </w:rPr>
              <m:t>dt</m:t>
            </m:r>
          </m:den>
        </m:f>
        <m:r>
          <w:rPr>
            <w:rFonts w:ascii="Cambria Math" w:hAnsi="Cambria Math"/>
          </w:rPr>
          <m:t>=</m:t>
        </m:r>
        <m:f>
          <m:fPr>
            <m:ctrlPr/>
          </m:fPr>
          <m:num>
            <m:r>
              <w:rPr>
                <w:rFonts w:ascii="Cambria Math" w:hAnsi="Cambria Math"/>
              </w:rPr>
              <m:t>f</m:t>
            </m:r>
            <m:sSub>
              <m:sSubPr>
                <m:ctrlPr/>
              </m:sSubPr>
              <m:e>
                <m:r>
                  <w:rPr>
                    <w:rFonts w:ascii="Cambria Math" w:hAnsi="Cambria Math"/>
                  </w:rPr>
                  <m:t>ρ</m:t>
                </m:r>
              </m:e>
              <m:sub>
                <m:r>
                  <w:rPr>
                    <w:rFonts w:ascii="Cambria Math" w:hAnsi="Cambria Math"/>
                  </w:rPr>
                  <m:t>w</m:t>
                </m:r>
              </m:sub>
            </m:sSub>
          </m:num>
          <m:den>
            <m:r>
              <w:rPr>
                <w:rFonts w:ascii="Cambria Math" w:hAnsi="Cambria Math"/>
              </w:rPr>
              <m:t>8</m:t>
            </m:r>
            <m:sSub>
              <m:sSubPr>
                <m:ctrlPr/>
              </m:sSubPr>
              <m:e>
                <m:r>
                  <w:rPr>
                    <w:rFonts w:ascii="Cambria Math" w:hAnsi="Cambria Math"/>
                  </w:rPr>
                  <m:t>ρ</m:t>
                </m:r>
              </m:e>
              <m:sub>
                <m:r>
                  <w:rPr>
                    <w:rFonts w:ascii="Cambria Math" w:hAnsi="Cambria Math"/>
                  </w:rPr>
                  <m:t>i</m:t>
                </m:r>
              </m:sub>
            </m:sSub>
          </m:den>
        </m:f>
        <m:f>
          <m:fPr>
            <m:ctrlPr/>
          </m:fPr>
          <m:num>
            <m:sSub>
              <m:sSubPr>
                <m:ctrlPr/>
              </m:sSubPr>
              <m:e>
                <m:r>
                  <w:rPr>
                    <w:rFonts w:ascii="Cambria Math" w:hAnsi="Cambria Math"/>
                  </w:rPr>
                  <m:t>P</m:t>
                </m:r>
              </m:e>
              <m:sub>
                <m:r>
                  <w:rPr>
                    <w:rFonts w:ascii="Cambria Math" w:hAnsi="Cambria Math"/>
                  </w:rPr>
                  <m:t>wet</m:t>
                </m:r>
              </m:sub>
            </m:sSub>
            <m:sSup>
              <m:sSupPr>
                <m:ctrlPr/>
              </m:sSupPr>
              <m:e>
                <m:r>
                  <w:rPr>
                    <w:rFonts w:ascii="Cambria Math" w:hAnsi="Cambria Math"/>
                  </w:rPr>
                  <m:t>Q</m:t>
                </m:r>
              </m:e>
              <m:sup>
                <m:r>
                  <w:rPr>
                    <w:rFonts w:ascii="Cambria Math" w:hAnsi="Cambria Math"/>
                  </w:rPr>
                  <m:t>3</m:t>
                </m:r>
              </m:sup>
            </m:sSup>
          </m:num>
          <m:den>
            <m:sSubSup>
              <m:sSubSupPr>
                <m:ctrlPr/>
              </m:sSubSupPr>
              <m:e>
                <m:r>
                  <w:rPr>
                    <w:rFonts w:ascii="Cambria Math" w:hAnsi="Cambria Math"/>
                  </w:rPr>
                  <m:t>A</m:t>
                </m:r>
              </m:e>
              <m:sub>
                <m:r>
                  <w:rPr>
                    <w:rFonts w:ascii="Cambria Math" w:hAnsi="Cambria Math"/>
                  </w:rPr>
                  <m:t>c</m:t>
                </m:r>
              </m:sub>
              <m:sup>
                <m:r>
                  <w:rPr>
                    <w:rFonts w:ascii="Cambria Math" w:hAnsi="Cambria Math"/>
                  </w:rPr>
                  <m:t>3</m:t>
                </m:r>
              </m:sup>
            </m:sSubSup>
          </m:den>
        </m:f>
        <m:r>
          <w:rPr>
            <w:rFonts w:ascii="Cambria Math" w:hAnsi="Cambria Math"/>
          </w:rPr>
          <m:t>-2</m:t>
        </m:r>
        <m:sSup>
          <m:sSupPr>
            <m:ctrlPr/>
          </m:sSupPr>
          <m:e>
            <m:d>
              <m:dPr>
                <m:ctrlPr/>
              </m:dPr>
              <m:e>
                <m:f>
                  <m:fPr>
                    <m:ctrlPr/>
                  </m:fPr>
                  <m:num>
                    <m:r>
                      <w:rPr>
                        <w:rFonts w:ascii="Cambria Math" w:hAnsi="Cambria Math"/>
                      </w:rPr>
                      <m:t>1</m:t>
                    </m:r>
                  </m:num>
                  <m:den>
                    <m:r>
                      <w:rPr>
                        <w:rFonts w:ascii="Cambria Math" w:hAnsi="Cambria Math"/>
                      </w:rPr>
                      <m:t>nB</m:t>
                    </m:r>
                  </m:den>
                </m:f>
              </m:e>
            </m:d>
          </m:e>
          <m:sup>
            <m:r>
              <w:rPr>
                <w:rFonts w:ascii="Cambria Math" w:hAnsi="Cambria Math"/>
              </w:rPr>
              <m:t>n</m:t>
            </m:r>
          </m:sup>
        </m:sSup>
        <m:sSub>
          <m:sSubPr>
            <m:ctrlPr/>
          </m:sSubPr>
          <m:e>
            <m:r>
              <w:rPr>
                <w:rFonts w:ascii="Cambria Math" w:hAnsi="Cambria Math"/>
              </w:rPr>
              <m:t>A</m:t>
            </m:r>
          </m:e>
          <m:sub>
            <m:r>
              <w:rPr>
                <w:rFonts w:ascii="Cambria Math" w:hAnsi="Cambria Math"/>
              </w:rPr>
              <m:t>c</m:t>
            </m:r>
          </m:sub>
        </m:sSub>
        <m:d>
          <m:dPr>
            <m:ctrlPr/>
          </m:dPr>
          <m:e>
            <m:sSub>
              <m:sSubPr>
                <m:ctrlPr/>
              </m:sSubPr>
              <m:e>
                <m:r>
                  <w:rPr>
                    <w:rFonts w:ascii="Cambria Math" w:hAnsi="Cambria Math"/>
                  </w:rPr>
                  <m:t>P</m:t>
                </m:r>
              </m:e>
              <m:sub>
                <m:r>
                  <w:rPr>
                    <w:rFonts w:ascii="Cambria Math" w:hAnsi="Cambria Math"/>
                  </w:rPr>
                  <m:t>i</m:t>
                </m:r>
              </m:sub>
            </m:sSub>
            <m:r>
              <w:rPr>
                <w:rFonts w:ascii="Cambria Math" w:hAnsi="Cambria Math"/>
              </w:rPr>
              <m:t>-</m:t>
            </m:r>
            <m:sSub>
              <m:sSubPr>
                <m:ctrlPr/>
              </m:sSubPr>
              <m:e>
                <m:r>
                  <w:rPr>
                    <w:rFonts w:ascii="Cambria Math" w:hAnsi="Cambria Math"/>
                  </w:rPr>
                  <m:t>P</m:t>
                </m:r>
              </m:e>
              <m:sub>
                <m:r>
                  <w:rPr>
                    <w:rFonts w:ascii="Cambria Math" w:hAnsi="Cambria Math"/>
                  </w:rPr>
                  <m:t>w</m:t>
                </m:r>
              </m:sub>
            </m:sSub>
          </m:e>
        </m:d>
        <m:sSup>
          <m:sSupPr>
            <m:ctrlPr/>
          </m:sSupPr>
          <m:e>
            <m:d>
              <m:dPr>
                <m:begChr m:val="|"/>
                <m:endChr m:val="|"/>
                <m:ctrlPr/>
              </m:dPr>
              <m:e>
                <m:sSub>
                  <m:sSubPr>
                    <m:ctrlPr/>
                  </m:sSubPr>
                  <m:e>
                    <m:r>
                      <w:rPr>
                        <w:rFonts w:ascii="Cambria Math" w:hAnsi="Cambria Math"/>
                      </w:rPr>
                      <m:t>P</m:t>
                    </m:r>
                  </m:e>
                  <m:sub>
                    <m:r>
                      <w:rPr>
                        <w:rFonts w:ascii="Cambria Math" w:hAnsi="Cambria Math"/>
                      </w:rPr>
                      <m:t>i</m:t>
                    </m:r>
                  </m:sub>
                </m:sSub>
                <m:r>
                  <w:rPr>
                    <w:rFonts w:ascii="Cambria Math" w:hAnsi="Cambria Math"/>
                  </w:rPr>
                  <m:t>-</m:t>
                </m:r>
                <m:sSub>
                  <m:sSubPr>
                    <m:ctrlPr/>
                  </m:sSubPr>
                  <m:e>
                    <m:r>
                      <w:rPr>
                        <w:rFonts w:ascii="Cambria Math" w:hAnsi="Cambria Math"/>
                      </w:rPr>
                      <m:t>P</m:t>
                    </m:r>
                  </m:e>
                  <m:sub>
                    <m:r>
                      <w:rPr>
                        <w:rFonts w:ascii="Cambria Math" w:hAnsi="Cambria Math"/>
                      </w:rPr>
                      <m:t>w</m:t>
                    </m:r>
                  </m:sub>
                </m:sSub>
              </m:e>
            </m:d>
          </m:e>
          <m:sup>
            <m:r>
              <w:rPr>
                <w:rFonts w:ascii="Cambria Math" w:hAnsi="Cambria Math"/>
              </w:rPr>
              <m:t>n-1</m:t>
            </m:r>
          </m:sup>
        </m:sSup>
      </m:oMath>
      <w:r w:rsidR="007441F0">
        <w:rPr>
          <w:rFonts w:ascii="Cambria Math" w:hAnsi="Cambria Math"/>
        </w:rPr>
        <w:tab/>
        <w:t>(3)</w:t>
      </w:r>
    </w:p>
    <w:p w14:paraId="193593BA" w14:textId="77777777" w:rsidR="00540A77" w:rsidRDefault="007441F0">
      <w:pPr>
        <w:spacing w:before="240" w:line="480" w:lineRule="auto"/>
        <w:ind w:firstLine="360"/>
        <w:jc w:val="both"/>
      </w:pPr>
      <w:r>
        <w:t xml:space="preserve">where </w:t>
      </w:r>
      <w:r>
        <w:rPr>
          <w:i/>
        </w:rPr>
        <w:t>ρ</w:t>
      </w:r>
      <w:r>
        <w:rPr>
          <w:i/>
          <w:vertAlign w:val="subscript"/>
        </w:rPr>
        <w:t>w</w:t>
      </w:r>
      <w:r>
        <w:t xml:space="preserve"> and </w:t>
      </w:r>
      <w:r>
        <w:rPr>
          <w:i/>
        </w:rPr>
        <w:t>ρ</w:t>
      </w:r>
      <w:r>
        <w:rPr>
          <w:i/>
          <w:vertAlign w:val="subscript"/>
        </w:rPr>
        <w:t>i</w:t>
      </w:r>
      <w:r>
        <w:t xml:space="preserve"> are the density of water and ice, </w:t>
      </w:r>
      <w:r>
        <w:rPr>
          <w:i/>
        </w:rPr>
        <w:t>L</w:t>
      </w:r>
      <w:r>
        <w:rPr>
          <w:i/>
          <w:vertAlign w:val="subscript"/>
        </w:rPr>
        <w:t>f</w:t>
      </w:r>
      <w:r>
        <w:t xml:space="preserve"> is the latent heat of fusion of water, </w:t>
      </w:r>
      <w:r>
        <w:rPr>
          <w:i/>
        </w:rPr>
        <w:t>P</w:t>
      </w:r>
      <w:r>
        <w:rPr>
          <w:i/>
          <w:vertAlign w:val="subscript"/>
        </w:rPr>
        <w:t>wet</w:t>
      </w:r>
      <w:r>
        <w:t xml:space="preserve"> is the conduit wetted perimeter, </w:t>
      </w:r>
      <w:r>
        <w:rPr>
          <w:i/>
        </w:rPr>
        <w:t>n</w:t>
      </w:r>
      <w:r>
        <w:t xml:space="preserve"> is the ice flow law exponent, </w:t>
      </w:r>
      <w:r>
        <w:rPr>
          <w:i/>
        </w:rPr>
        <w:t>B</w:t>
      </w:r>
      <w:r>
        <w:t xml:space="preserve"> is the Arrhenius parameter,  and </w:t>
      </w:r>
      <w:r>
        <w:rPr>
          <w:i/>
        </w:rPr>
        <w:t>P</w:t>
      </w:r>
      <w:r>
        <w:rPr>
          <w:i/>
          <w:vertAlign w:val="subscript"/>
        </w:rPr>
        <w:t>w</w:t>
      </w:r>
      <w:r>
        <w:t xml:space="preserve"> and </w:t>
      </w:r>
      <w:r>
        <w:rPr>
          <w:i/>
        </w:rPr>
        <w:t>P</w:t>
      </w:r>
      <w:r>
        <w:rPr>
          <w:i/>
          <w:vertAlign w:val="subscript"/>
        </w:rPr>
        <w:t>i</w:t>
      </w:r>
      <w:r>
        <w:rPr>
          <w:i/>
        </w:rPr>
        <w:t xml:space="preserve"> </w:t>
      </w:r>
      <w:r>
        <w:t xml:space="preserve">are the conduit water pressure and ice overburden </w:t>
      </w:r>
      <w:r>
        <w:fldChar w:fldCharType="begin"/>
      </w:r>
      <w:r>
        <w:instrText>ADDIN ZOTERO_ITEM {"citationID":"JxeqMXCO","properties":{"formattedCitation":"(Covington et al., 2012)","plainCitation":"(Covington et al., 2012)"},"citationItems":[{"id":221,"uris":["http://zotero.org/users/2162517/items/KUA9SE2X"],"uri":["http://zotero.org/users/2162517/items/KUA9SE2X"]}]}</w:instrText>
      </w:r>
      <w:r>
        <w:fldChar w:fldCharType="separate"/>
      </w:r>
      <w:bookmarkStart w:id="20" w:name="__Fieldmark__1596_1487597992"/>
      <w:r>
        <w:t>(</w:t>
      </w:r>
      <w:bookmarkStart w:id="21" w:name="__Fieldmark__884_636934026"/>
      <w:r>
        <w:t>Eq. (6) in Covington et al., 2012)</w:t>
      </w:r>
      <w:r>
        <w:fldChar w:fldCharType="end"/>
      </w:r>
      <w:bookmarkEnd w:id="20"/>
      <w:bookmarkEnd w:id="21"/>
      <w:r>
        <w:t xml:space="preserve">. </w:t>
      </w:r>
      <w:r>
        <w:fldChar w:fldCharType="begin"/>
      </w:r>
      <w:r>
        <w:instrText>ADDIN ZOTERO_ITEM {"citationID":"emapHL6x","properties":{"formattedCitation":"(Covington et al., 2012)","plainCitation":"(Covington et al., 2012)"},"citationItems":[{"id":221,"uris":["http://zotero.org/users/2162517/items/KUA9SE2X"],"uri":["http://zotero.org/users/2162517/items/KUA9SE2X"]}]}</w:instrText>
      </w:r>
      <w:r>
        <w:fldChar w:fldCharType="separate"/>
      </w:r>
      <w:bookmarkStart w:id="22" w:name="__Fieldmark__1603_1487597992"/>
      <w:r>
        <w:t>(</w:t>
      </w:r>
      <w:bookmarkStart w:id="23" w:name="__Fieldmark__890_636934026"/>
      <w:r>
        <w:t>Covington et al., 2012)</w:t>
      </w:r>
      <w:bookmarkEnd w:id="22"/>
      <w:bookmarkEnd w:id="23"/>
      <w:r>
        <w:fldChar w:fldCharType="end"/>
      </w:r>
    </w:p>
    <w:p w14:paraId="37710CA1" w14:textId="77777777" w:rsidR="00540A77" w:rsidRDefault="007441F0">
      <w:pPr>
        <w:spacing w:before="240" w:line="480" w:lineRule="auto"/>
        <w:ind w:firstLine="360"/>
        <w:jc w:val="both"/>
        <w:rPr>
          <w:rFonts w:ascii="Cambria" w:hAnsi="Cambria"/>
        </w:rPr>
      </w:pPr>
      <w:r>
        <w:t>R, the flow into the moulin is fixed, h and the diameter of the output conduit will have an initial condition.</w:t>
      </w:r>
    </w:p>
    <w:p w14:paraId="06FE4FF6" w14:textId="4598265F" w:rsidR="00540A77" w:rsidRDefault="007441F0">
      <w:pPr>
        <w:spacing w:before="240" w:line="480" w:lineRule="auto"/>
        <w:ind w:firstLine="360"/>
        <w:jc w:val="both"/>
      </w:pPr>
      <w:r>
        <w:t xml:space="preserve">The objective is to see how, with a fixed flow rate, the water level evolve in the moulin and identify different variation and the timescale. This will permits to identify patterns potentially visible in data taken in the moulins on the GrIS, and differentiate it with recharge variation. One of the goals is to see if the system reaches </w:t>
      </w:r>
      <w:commentRangeStart w:id="24"/>
      <w:r>
        <w:t>equilibrium</w:t>
      </w:r>
      <w:commentRangeEnd w:id="24"/>
      <w:r>
        <w:commentReference w:id="24"/>
      </w:r>
      <w:r>
        <w:t>, as it is currently assumed.</w:t>
      </w:r>
    </w:p>
    <w:p w14:paraId="654E512E" w14:textId="77777777" w:rsidR="00540A77" w:rsidRDefault="007441F0">
      <w:pPr>
        <w:spacing w:before="240"/>
        <w:ind w:firstLine="360"/>
        <w:jc w:val="both"/>
        <w:rPr>
          <w:rFonts w:ascii="Cambria" w:hAnsi="Cambria"/>
        </w:rPr>
      </w:pPr>
      <w:r>
        <w:t>Timeline:</w:t>
      </w:r>
    </w:p>
    <w:p w14:paraId="088D3020" w14:textId="77777777" w:rsidR="00540A77" w:rsidRDefault="007441F0">
      <w:pPr>
        <w:spacing w:before="120"/>
        <w:ind w:firstLine="360"/>
        <w:jc w:val="both"/>
        <w:rPr>
          <w:rFonts w:ascii="Cambria" w:hAnsi="Cambria"/>
        </w:rPr>
      </w:pPr>
      <w:r>
        <w:t>Nbr of week to the final report: 9</w:t>
      </w:r>
    </w:p>
    <w:p w14:paraId="2B7BEA02" w14:textId="77777777" w:rsidR="00540A77" w:rsidRDefault="007441F0">
      <w:pPr>
        <w:spacing w:before="120" w:after="120"/>
        <w:ind w:firstLine="360"/>
        <w:jc w:val="both"/>
        <w:rPr>
          <w:rFonts w:ascii="Cambria" w:hAnsi="Cambria"/>
        </w:rPr>
      </w:pPr>
      <w:r>
        <w:t>Nbr of week per task:</w:t>
      </w:r>
    </w:p>
    <w:p w14:paraId="4BCD12E9" w14:textId="77777777" w:rsidR="00540A77" w:rsidRDefault="007441F0">
      <w:pPr>
        <w:tabs>
          <w:tab w:val="left" w:pos="3119"/>
          <w:tab w:val="left" w:pos="3828"/>
        </w:tabs>
        <w:spacing w:before="120"/>
        <w:ind w:firstLine="360"/>
        <w:jc w:val="both"/>
      </w:pPr>
      <w:r>
        <w:t xml:space="preserve">Equation in Python: </w:t>
      </w:r>
      <w:r>
        <w:tab/>
        <w:t>2</w:t>
      </w:r>
      <w:r>
        <w:tab/>
        <w:t>(weeks 7-8)</w:t>
      </w:r>
    </w:p>
    <w:p w14:paraId="155B59BA" w14:textId="77777777" w:rsidR="00540A77" w:rsidRDefault="007441F0">
      <w:pPr>
        <w:tabs>
          <w:tab w:val="left" w:pos="3119"/>
          <w:tab w:val="left" w:pos="3828"/>
        </w:tabs>
        <w:spacing w:before="120"/>
        <w:ind w:firstLine="360"/>
        <w:jc w:val="both"/>
      </w:pPr>
      <w:r>
        <w:t xml:space="preserve">Graph production: </w:t>
      </w:r>
      <w:r>
        <w:tab/>
        <w:t>1</w:t>
      </w:r>
      <w:r>
        <w:tab/>
        <w:t>(weeks 9)</w:t>
      </w:r>
    </w:p>
    <w:p w14:paraId="6C8DE951" w14:textId="77777777" w:rsidR="00540A77" w:rsidRDefault="007441F0">
      <w:pPr>
        <w:tabs>
          <w:tab w:val="left" w:pos="3119"/>
          <w:tab w:val="left" w:pos="3828"/>
        </w:tabs>
        <w:spacing w:before="120"/>
        <w:ind w:firstLine="360"/>
        <w:jc w:val="both"/>
      </w:pPr>
      <w:r>
        <w:t xml:space="preserve">Result interpretation: </w:t>
      </w:r>
      <w:r>
        <w:tab/>
        <w:t>2</w:t>
      </w:r>
      <w:r>
        <w:tab/>
        <w:t>(weeks 10-11) – Midterm report (week 11)</w:t>
      </w:r>
    </w:p>
    <w:p w14:paraId="1B3CC3D6" w14:textId="77777777" w:rsidR="00540A77" w:rsidRDefault="007441F0">
      <w:pPr>
        <w:tabs>
          <w:tab w:val="left" w:pos="3119"/>
          <w:tab w:val="left" w:pos="3828"/>
        </w:tabs>
        <w:spacing w:before="120"/>
        <w:ind w:firstLine="360"/>
        <w:jc w:val="both"/>
      </w:pPr>
      <w:r>
        <w:lastRenderedPageBreak/>
        <w:t xml:space="preserve">Comparison with data: </w:t>
      </w:r>
      <w:r>
        <w:tab/>
        <w:t>2</w:t>
      </w:r>
      <w:r>
        <w:tab/>
        <w:t>(weeks 12-13)</w:t>
      </w:r>
    </w:p>
    <w:p w14:paraId="0531A284" w14:textId="77777777" w:rsidR="00540A77" w:rsidRDefault="007441F0">
      <w:pPr>
        <w:tabs>
          <w:tab w:val="left" w:pos="3119"/>
          <w:tab w:val="left" w:pos="3828"/>
        </w:tabs>
        <w:spacing w:before="120"/>
        <w:ind w:firstLine="360"/>
        <w:jc w:val="both"/>
      </w:pPr>
      <w:r>
        <w:t xml:space="preserve">Report writing: </w:t>
      </w:r>
      <w:r>
        <w:tab/>
        <w:t>2</w:t>
      </w:r>
      <w:r>
        <w:tab/>
        <w:t>(weeks 14-15)</w:t>
      </w:r>
    </w:p>
    <w:p w14:paraId="5C345727" w14:textId="77777777" w:rsidR="00540A77" w:rsidRDefault="007441F0">
      <w:pPr>
        <w:tabs>
          <w:tab w:val="left" w:pos="3119"/>
          <w:tab w:val="left" w:pos="3828"/>
        </w:tabs>
        <w:spacing w:before="120"/>
        <w:ind w:firstLine="360"/>
        <w:jc w:val="both"/>
      </w:pPr>
      <w:r>
        <w:t>Final report</w:t>
      </w:r>
      <w:r>
        <w:tab/>
      </w:r>
      <w:r>
        <w:tab/>
        <w:t>week 16</w:t>
      </w:r>
    </w:p>
    <w:p w14:paraId="5F004BA8" w14:textId="77777777" w:rsidR="00540A77" w:rsidRDefault="00540A77">
      <w:pPr>
        <w:spacing w:before="240" w:line="480" w:lineRule="auto"/>
        <w:ind w:firstLine="360"/>
        <w:jc w:val="both"/>
      </w:pPr>
    </w:p>
    <w:p w14:paraId="296359BA" w14:textId="77777777" w:rsidR="00540A77" w:rsidRDefault="00540A77">
      <w:pPr>
        <w:spacing w:before="240" w:line="480" w:lineRule="auto"/>
        <w:ind w:firstLine="360"/>
        <w:jc w:val="both"/>
      </w:pPr>
    </w:p>
    <w:p w14:paraId="63760B69" w14:textId="77777777" w:rsidR="00540A77" w:rsidRDefault="00540A77">
      <w:pPr>
        <w:spacing w:before="240" w:line="480" w:lineRule="auto"/>
        <w:ind w:firstLine="360"/>
        <w:jc w:val="both"/>
      </w:pPr>
    </w:p>
    <w:p w14:paraId="42A0A8FD" w14:textId="77777777" w:rsidR="00540A77" w:rsidRDefault="00540A77">
      <w:pPr>
        <w:spacing w:before="240" w:line="480" w:lineRule="auto"/>
        <w:ind w:firstLine="360"/>
        <w:jc w:val="both"/>
      </w:pPr>
    </w:p>
    <w:p w14:paraId="287FD6B1" w14:textId="77777777" w:rsidR="00540A77" w:rsidRDefault="007441F0">
      <w:pPr>
        <w:spacing w:before="240" w:line="480" w:lineRule="auto"/>
        <w:ind w:firstLine="360"/>
        <w:jc w:val="both"/>
      </w:pPr>
      <w:r>
        <w:br w:type="page"/>
      </w:r>
    </w:p>
    <w:p w14:paraId="4B5C038A" w14:textId="77777777" w:rsidR="00540A77" w:rsidRDefault="007441F0">
      <w:pPr>
        <w:spacing w:before="240" w:line="480" w:lineRule="auto"/>
        <w:ind w:firstLine="360"/>
        <w:jc w:val="both"/>
      </w:pPr>
      <w:r>
        <w:lastRenderedPageBreak/>
        <w:t>References:</w:t>
      </w:r>
    </w:p>
    <w:p w14:paraId="6DC7131D" w14:textId="77777777" w:rsidR="00EB0010" w:rsidRPr="00EB0010" w:rsidRDefault="007441F0" w:rsidP="00EB0010">
      <w:pPr>
        <w:pStyle w:val="Bibliography"/>
        <w:rPr>
          <w:rFonts w:ascii="Cambria"/>
          <w:color w:val="000080"/>
        </w:rPr>
      </w:pPr>
      <w:r>
        <w:fldChar w:fldCharType="begin"/>
      </w:r>
      <w:r>
        <w:instrText>ADDIN ZOTERO_BIBL {"custom":[]} CSL_BIBLIOGRAPHY</w:instrText>
      </w:r>
      <w:r>
        <w:fldChar w:fldCharType="separate"/>
      </w:r>
      <w:r w:rsidR="00EB0010" w:rsidRPr="00EB0010">
        <w:rPr>
          <w:rFonts w:ascii="Cambria"/>
          <w:color w:val="000080"/>
        </w:rPr>
        <w:t xml:space="preserve">Covington, M. D., Banwell, A. F., Gulley, J., Saar, M. O., Willis, I., &amp; Wicks, C. M. (2012). Quantifying the effects of glacier conduit geometry and recharge on proglacial hydrograph form. </w:t>
      </w:r>
      <w:r w:rsidR="00EB0010" w:rsidRPr="00EB0010">
        <w:rPr>
          <w:rFonts w:ascii="Cambria"/>
          <w:i/>
          <w:iCs/>
          <w:color w:val="000080"/>
        </w:rPr>
        <w:t>Journal of Hydrology</w:t>
      </w:r>
      <w:r w:rsidR="00EB0010" w:rsidRPr="00EB0010">
        <w:rPr>
          <w:rFonts w:ascii="Cambria"/>
          <w:color w:val="000080"/>
        </w:rPr>
        <w:t xml:space="preserve">, </w:t>
      </w:r>
      <w:r w:rsidR="00EB0010" w:rsidRPr="00EB0010">
        <w:rPr>
          <w:rFonts w:ascii="Cambria"/>
          <w:i/>
          <w:iCs/>
          <w:color w:val="000080"/>
        </w:rPr>
        <w:t>414</w:t>
      </w:r>
      <w:r w:rsidR="00EB0010" w:rsidRPr="00EB0010">
        <w:rPr>
          <w:rFonts w:ascii="Cambria"/>
          <w:color w:val="000080"/>
        </w:rPr>
        <w:t>, 59–71. https://doi.org/10.1016/j.jhydrol.2011.10.027</w:t>
      </w:r>
    </w:p>
    <w:p w14:paraId="2400AAAA" w14:textId="5A1C8CFC" w:rsidR="00540A77" w:rsidRDefault="007441F0">
      <w:pPr>
        <w:widowControl w:val="0"/>
        <w:spacing w:before="120"/>
        <w:ind w:left="426" w:hanging="426"/>
        <w:jc w:val="both"/>
      </w:pPr>
      <w:r>
        <w:fldChar w:fldCharType="end"/>
      </w:r>
    </w:p>
    <w:p w14:paraId="489FF3F4" w14:textId="77777777" w:rsidR="00540A77" w:rsidRDefault="007441F0">
      <w:pPr>
        <w:widowControl w:val="0"/>
        <w:spacing w:before="120"/>
        <w:ind w:left="426" w:hanging="426"/>
        <w:jc w:val="both"/>
        <w:rPr>
          <w:rFonts w:ascii="Cambria" w:hAnsi="Cambria"/>
          <w:lang w:val="fr-FR"/>
        </w:rPr>
      </w:pPr>
      <w:r>
        <w:rPr>
          <w:lang w:val="fr-FR"/>
        </w:rPr>
        <w:t xml:space="preserve">Bartholomew, I., Nienow, P., Sole, A., Mair, D., Cowton, T., Palmer, S., &amp; Wadham, J. (2011). Supraglacial forcing of subglacial drainage in the ablation zone of the Greenland ice sheet. </w:t>
      </w:r>
      <w:r>
        <w:rPr>
          <w:i/>
          <w:iCs/>
          <w:lang w:val="fr-FR"/>
        </w:rPr>
        <w:t>Geophysical Research Letters</w:t>
      </w:r>
      <w:r>
        <w:rPr>
          <w:lang w:val="fr-FR"/>
        </w:rPr>
        <w:t xml:space="preserve">, </w:t>
      </w:r>
      <w:r>
        <w:rPr>
          <w:i/>
          <w:iCs/>
          <w:lang w:val="fr-FR"/>
        </w:rPr>
        <w:t>38</w:t>
      </w:r>
      <w:r>
        <w:rPr>
          <w:lang w:val="fr-FR"/>
        </w:rPr>
        <w:t>(8), L08502. https://doi.org/10.1029/2011GL047063</w:t>
      </w:r>
    </w:p>
    <w:p w14:paraId="3B5EBA52" w14:textId="77777777" w:rsidR="00540A77" w:rsidRDefault="007441F0">
      <w:pPr>
        <w:widowControl w:val="0"/>
        <w:spacing w:before="120"/>
        <w:ind w:left="426" w:hanging="426"/>
        <w:jc w:val="both"/>
        <w:rPr>
          <w:rFonts w:ascii="Cambria" w:hAnsi="Cambria"/>
          <w:lang w:val="fr-FR"/>
        </w:rPr>
      </w:pPr>
      <w:r>
        <w:rPr>
          <w:lang w:val="fr-FR"/>
        </w:rPr>
        <w:t xml:space="preserve">Benn, D., &amp; Evans, D. J. (2010). </w:t>
      </w:r>
      <w:r>
        <w:rPr>
          <w:i/>
          <w:iCs/>
          <w:lang w:val="fr-FR"/>
        </w:rPr>
        <w:t>Glaciers and glaciation</w:t>
      </w:r>
      <w:r>
        <w:rPr>
          <w:lang w:val="fr-FR"/>
        </w:rPr>
        <w:t xml:space="preserve"> (Second edition). New York, NY: Routledge.</w:t>
      </w:r>
    </w:p>
    <w:p w14:paraId="3C1EBE18" w14:textId="77777777" w:rsidR="00540A77" w:rsidRDefault="007441F0">
      <w:pPr>
        <w:widowControl w:val="0"/>
        <w:spacing w:before="120"/>
        <w:ind w:left="426" w:hanging="426"/>
        <w:jc w:val="both"/>
        <w:rPr>
          <w:rFonts w:ascii="Cambria" w:hAnsi="Cambria"/>
          <w:lang w:val="fr-FR"/>
        </w:rPr>
      </w:pPr>
      <w:r>
        <w:rPr>
          <w:lang w:val="fr-FR"/>
        </w:rPr>
        <w:t xml:space="preserve">Covington, M. D., Banwell, A. F., Gulley, J., Saar, M. O., Willis, I., &amp; Wicks, C. M. (2012). Quantifying the effects of glacier conduit geometry and recharge on proglacial hydrograph form. </w:t>
      </w:r>
      <w:r>
        <w:rPr>
          <w:i/>
          <w:iCs/>
          <w:lang w:val="fr-FR"/>
        </w:rPr>
        <w:t>Journal of Hydrology</w:t>
      </w:r>
      <w:r>
        <w:rPr>
          <w:lang w:val="fr-FR"/>
        </w:rPr>
        <w:t xml:space="preserve">, </w:t>
      </w:r>
      <w:r>
        <w:rPr>
          <w:i/>
          <w:iCs/>
          <w:lang w:val="fr-FR"/>
        </w:rPr>
        <w:t>414</w:t>
      </w:r>
      <w:r>
        <w:rPr>
          <w:lang w:val="fr-FR"/>
        </w:rPr>
        <w:t>–</w:t>
      </w:r>
      <w:r>
        <w:rPr>
          <w:i/>
          <w:iCs/>
          <w:lang w:val="fr-FR"/>
        </w:rPr>
        <w:t>415</w:t>
      </w:r>
      <w:r>
        <w:rPr>
          <w:lang w:val="fr-FR"/>
        </w:rPr>
        <w:t>, 59–71. https://doi.org/10.1016/j.jhydrol.2011.10.027</w:t>
      </w:r>
    </w:p>
    <w:p w14:paraId="026F848D" w14:textId="77777777" w:rsidR="00540A77" w:rsidRDefault="007441F0">
      <w:pPr>
        <w:widowControl w:val="0"/>
        <w:spacing w:before="120"/>
        <w:ind w:left="426" w:hanging="426"/>
        <w:jc w:val="both"/>
        <w:rPr>
          <w:rFonts w:ascii="Cambria" w:hAnsi="Cambria"/>
          <w:lang w:val="fr-FR"/>
        </w:rPr>
      </w:pPr>
      <w:r>
        <w:rPr>
          <w:lang w:val="fr-FR"/>
        </w:rPr>
        <w:t xml:space="preserve">Covington, M. D., Wicks, C. M., &amp; Saar, M. O. (2009). A dimensionless number describing the effects of recharge and geometry on discharge from simple karstic aquifers: DIMENSIONLESS NUMBER FOR KARST AQUIFER RESPONSE. </w:t>
      </w:r>
      <w:r>
        <w:rPr>
          <w:i/>
          <w:iCs/>
          <w:lang w:val="fr-FR"/>
        </w:rPr>
        <w:t>Water Resources Research</w:t>
      </w:r>
      <w:r>
        <w:rPr>
          <w:lang w:val="fr-FR"/>
        </w:rPr>
        <w:t xml:space="preserve">, </w:t>
      </w:r>
      <w:r>
        <w:rPr>
          <w:i/>
          <w:iCs/>
          <w:lang w:val="fr-FR"/>
        </w:rPr>
        <w:t>45</w:t>
      </w:r>
      <w:r>
        <w:rPr>
          <w:lang w:val="fr-FR"/>
        </w:rPr>
        <w:t>(11). https://doi.org/10.1029/2009WR008004</w:t>
      </w:r>
    </w:p>
    <w:p w14:paraId="0B3CC2EF" w14:textId="77777777" w:rsidR="00540A77" w:rsidRDefault="007441F0">
      <w:pPr>
        <w:widowControl w:val="0"/>
        <w:spacing w:before="120"/>
        <w:ind w:left="426" w:hanging="426"/>
        <w:jc w:val="both"/>
        <w:rPr>
          <w:rFonts w:ascii="Cambria" w:hAnsi="Cambria"/>
          <w:lang w:val="fr-FR"/>
        </w:rPr>
      </w:pPr>
      <w:r>
        <w:rPr>
          <w:lang w:val="fr-FR"/>
        </w:rPr>
        <w:t xml:space="preserve">Hanna, E., Huybrechts, P., Steffen, K., Cappelen, J., Huff, R., Shuman, C., … Griffiths, M. (2008). Increased Runoff from Melt from the Greenland Ice Sheet: A Response to Global Warming. </w:t>
      </w:r>
      <w:r>
        <w:rPr>
          <w:i/>
          <w:iCs/>
          <w:lang w:val="fr-FR"/>
        </w:rPr>
        <w:t>Journal of Climate</w:t>
      </w:r>
      <w:r>
        <w:rPr>
          <w:lang w:val="fr-FR"/>
        </w:rPr>
        <w:t xml:space="preserve">, </w:t>
      </w:r>
      <w:r>
        <w:rPr>
          <w:i/>
          <w:iCs/>
          <w:lang w:val="fr-FR"/>
        </w:rPr>
        <w:t>21</w:t>
      </w:r>
      <w:r>
        <w:rPr>
          <w:lang w:val="fr-FR"/>
        </w:rPr>
        <w:t>(2), 331–341. https://doi.org/10.1175/2007JCLI1964.1</w:t>
      </w:r>
    </w:p>
    <w:p w14:paraId="350EF6A9" w14:textId="77777777" w:rsidR="00540A77" w:rsidRDefault="007441F0">
      <w:pPr>
        <w:widowControl w:val="0"/>
        <w:spacing w:before="120"/>
        <w:ind w:left="426" w:hanging="426"/>
        <w:jc w:val="both"/>
        <w:rPr>
          <w:rFonts w:ascii="Cambria" w:hAnsi="Cambria"/>
          <w:lang w:val="fr-FR"/>
        </w:rPr>
      </w:pPr>
      <w:r>
        <w:rPr>
          <w:lang w:val="fr-FR"/>
        </w:rPr>
        <w:t xml:space="preserve">Hoffman, M. J., Catania, G. A., Neumann, T. A., Andrews, L. C., &amp; Rumrill, J. A. (2011). Links between acceleration, melting, and supraglacial lake drainage of the western Greenland Ice Sheet. </w:t>
      </w:r>
      <w:r>
        <w:rPr>
          <w:i/>
          <w:iCs/>
          <w:lang w:val="fr-FR"/>
        </w:rPr>
        <w:t>Journal of Geophysical Research: Earth Surface</w:t>
      </w:r>
      <w:r>
        <w:rPr>
          <w:lang w:val="fr-FR"/>
        </w:rPr>
        <w:t xml:space="preserve">, </w:t>
      </w:r>
      <w:r>
        <w:rPr>
          <w:i/>
          <w:iCs/>
          <w:lang w:val="fr-FR"/>
        </w:rPr>
        <w:t>116</w:t>
      </w:r>
      <w:r>
        <w:rPr>
          <w:lang w:val="fr-FR"/>
        </w:rPr>
        <w:t>(F4), F04035. https://doi.org/10.1029/2010JF001934</w:t>
      </w:r>
    </w:p>
    <w:p w14:paraId="1A1985D5" w14:textId="77777777" w:rsidR="00540A77" w:rsidRDefault="007441F0">
      <w:pPr>
        <w:widowControl w:val="0"/>
        <w:spacing w:before="120"/>
        <w:ind w:left="426" w:hanging="426"/>
        <w:jc w:val="both"/>
        <w:rPr>
          <w:rFonts w:ascii="Cambria" w:hAnsi="Cambria"/>
          <w:lang w:val="fr-FR"/>
        </w:rPr>
      </w:pPr>
      <w:r>
        <w:rPr>
          <w:lang w:val="fr-FR"/>
        </w:rPr>
        <w:t xml:space="preserve">Sole, A., Nienow, P., Bartholomew, I., Mair, D., Cowton, T., Tedstone, A., &amp; King, M. A. (2013). Winter motion mediates dynamic response of the Greenland Ice Sheet to warmer summers. </w:t>
      </w:r>
      <w:r>
        <w:rPr>
          <w:i/>
          <w:iCs/>
          <w:lang w:val="fr-FR"/>
        </w:rPr>
        <w:t>Geophysical Research Letters</w:t>
      </w:r>
      <w:r>
        <w:rPr>
          <w:lang w:val="fr-FR"/>
        </w:rPr>
        <w:t xml:space="preserve">, </w:t>
      </w:r>
      <w:r>
        <w:rPr>
          <w:i/>
          <w:iCs/>
          <w:lang w:val="fr-FR"/>
        </w:rPr>
        <w:t>40</w:t>
      </w:r>
      <w:r>
        <w:rPr>
          <w:lang w:val="fr-FR"/>
        </w:rPr>
        <w:t>(15), 3940–3944. https://doi.org/10.1002/grl.50764</w:t>
      </w:r>
    </w:p>
    <w:p w14:paraId="602FFBCE" w14:textId="77777777" w:rsidR="00540A77" w:rsidRDefault="007441F0">
      <w:pPr>
        <w:widowControl w:val="0"/>
        <w:spacing w:before="120"/>
        <w:ind w:left="426" w:hanging="426"/>
        <w:jc w:val="both"/>
        <w:rPr>
          <w:rFonts w:ascii="Cambria" w:hAnsi="Cambria"/>
          <w:lang w:val="fr-FR"/>
        </w:rPr>
      </w:pPr>
      <w:r>
        <w:rPr>
          <w:lang w:val="fr-FR"/>
        </w:rPr>
        <w:t xml:space="preserve">Zwally, H. J., Abdalati, W., Herring, T., Larson, K., Saba, J., &amp; Steffen, K. (2002). Surface Melt-Induced Acceleration of Greenland Ice-Sheet Flow. </w:t>
      </w:r>
      <w:r>
        <w:rPr>
          <w:i/>
          <w:iCs/>
          <w:lang w:val="fr-FR"/>
        </w:rPr>
        <w:t>Science</w:t>
      </w:r>
      <w:r>
        <w:rPr>
          <w:lang w:val="fr-FR"/>
        </w:rPr>
        <w:t xml:space="preserve">, </w:t>
      </w:r>
      <w:r>
        <w:rPr>
          <w:i/>
          <w:iCs/>
          <w:lang w:val="fr-FR"/>
        </w:rPr>
        <w:t>297</w:t>
      </w:r>
      <w:r>
        <w:rPr>
          <w:lang w:val="fr-FR"/>
        </w:rPr>
        <w:t>(5579), 218–222. https://doi.org/10.1126/science.1072708</w:t>
      </w:r>
    </w:p>
    <w:p w14:paraId="2BDBF19B" w14:textId="77777777" w:rsidR="00540A77" w:rsidRDefault="00540A77">
      <w:pPr>
        <w:spacing w:before="120" w:line="480" w:lineRule="auto"/>
        <w:ind w:left="426" w:hanging="426"/>
        <w:jc w:val="both"/>
      </w:pPr>
    </w:p>
    <w:p w14:paraId="2FD08859" w14:textId="77777777" w:rsidR="00540A77" w:rsidRDefault="00540A77">
      <w:pPr>
        <w:spacing w:after="200" w:line="480" w:lineRule="auto"/>
        <w:jc w:val="both"/>
      </w:pPr>
    </w:p>
    <w:sectPr w:rsidR="00540A77">
      <w:headerReference w:type="default" r:id="rId12"/>
      <w:footerReference w:type="default" r:id="rId13"/>
      <w:pgSz w:w="12240" w:h="15840"/>
      <w:pgMar w:top="1418" w:right="1418" w:bottom="1418" w:left="1418" w:header="425" w:footer="567" w:gutter="0"/>
      <w:cols w:space="720"/>
      <w:formProt w:val="0"/>
      <w:docGrid w:linePitch="24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nknown Author" w:date="2017-10-06T20:23:00Z" w:initials="">
    <w:p w14:paraId="61E0643A" w14:textId="77777777" w:rsidR="00BF102E" w:rsidRDefault="00BF102E" w:rsidP="00BF102E">
      <w:r>
        <w:rPr>
          <w:rFonts w:ascii="Cambria Math" w:eastAsiaTheme="minorEastAsia" w:hAnsi="Cambria Math"/>
          <w:color w:val="auto"/>
          <w:sz w:val="20"/>
          <w:szCs w:val="22"/>
          <w:lang w:eastAsia="ja-JP"/>
        </w:rPr>
        <w:t>Good proposal and background. You will need to focus on exactly what types of model runs will help you to answer your questions. 14/15</w:t>
      </w:r>
    </w:p>
  </w:comment>
  <w:comment w:id="24" w:author="Unknown Author" w:date="2017-10-06T19:50:00Z" w:initials="">
    <w:p w14:paraId="460B8BB1" w14:textId="77777777" w:rsidR="00540A77" w:rsidRDefault="007441F0">
      <w:r>
        <w:rPr>
          <w:rFonts w:ascii="Cambria Math" w:hAnsi="Cambria Math"/>
          <w:sz w:val="20"/>
          <w:szCs w:val="22"/>
          <w:lang w:eastAsia="ja-JP"/>
        </w:rPr>
        <w:t>It should. What is more interesting is seeing how quickly it reaches equilibrium.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E0643A" w15:done="0"/>
  <w15:commentEx w15:paraId="460B8BB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6074C" w14:textId="77777777" w:rsidR="00356691" w:rsidRDefault="00356691">
      <w:r>
        <w:separator/>
      </w:r>
    </w:p>
  </w:endnote>
  <w:endnote w:type="continuationSeparator" w:id="0">
    <w:p w14:paraId="15382ACC" w14:textId="77777777" w:rsidR="00356691" w:rsidRDefault="00356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71882" w14:textId="6CC966F3" w:rsidR="00540A77" w:rsidRDefault="00A00DB1">
    <w:pPr>
      <w:pStyle w:val="Footer"/>
      <w:ind w:right="360"/>
    </w:pPr>
    <w:r>
      <w:fldChar w:fldCharType="begin"/>
    </w:r>
    <w:r>
      <w:instrText xml:space="preserve"> DATE \@ "M/d/yy" </w:instrText>
    </w:r>
    <w:r>
      <w:fldChar w:fldCharType="separate"/>
    </w:r>
    <w:r>
      <w:rPr>
        <w:noProof/>
      </w:rPr>
      <w:t>11/5/17</w:t>
    </w:r>
    <w:r>
      <w:fldChar w:fldCharType="end"/>
    </w:r>
    <w:r w:rsidR="007441F0">
      <w:rPr>
        <w:noProof/>
        <w:lang w:eastAsia="en-US"/>
      </w:rPr>
      <mc:AlternateContent>
        <mc:Choice Requires="wps">
          <w:drawing>
            <wp:anchor distT="0" distB="0" distL="0" distR="0" simplePos="0" relativeHeight="8" behindDoc="1" locked="0" layoutInCell="1" allowOverlap="1" wp14:anchorId="1B52E5AC" wp14:editId="5641B2FA">
              <wp:simplePos x="0" y="0"/>
              <wp:positionH relativeFrom="margin">
                <wp:align>right</wp:align>
              </wp:positionH>
              <wp:positionV relativeFrom="paragraph">
                <wp:posOffset>635</wp:posOffset>
              </wp:positionV>
              <wp:extent cx="90170" cy="161925"/>
              <wp:effectExtent l="0" t="0" r="0" b="0"/>
              <wp:wrapSquare wrapText="largest"/>
              <wp:docPr id="4" name="Frame1"/>
              <wp:cNvGraphicFramePr/>
              <a:graphic xmlns:a="http://schemas.openxmlformats.org/drawingml/2006/main">
                <a:graphicData uri="http://schemas.microsoft.com/office/word/2010/wordprocessingShape">
                  <wps:wsp>
                    <wps:cNvSpPr/>
                    <wps:spPr>
                      <a:xfrm>
                        <a:off x="0" y="0"/>
                        <a:ext cx="89640" cy="161280"/>
                      </a:xfrm>
                      <a:prstGeom prst="rect">
                        <a:avLst/>
                      </a:prstGeom>
                      <a:noFill/>
                      <a:ln>
                        <a:noFill/>
                      </a:ln>
                    </wps:spPr>
                    <wps:style>
                      <a:lnRef idx="0">
                        <a:scrgbClr r="0" g="0" b="0"/>
                      </a:lnRef>
                      <a:fillRef idx="0">
                        <a:scrgbClr r="0" g="0" b="0"/>
                      </a:fillRef>
                      <a:effectRef idx="0">
                        <a:scrgbClr r="0" g="0" b="0"/>
                      </a:effectRef>
                      <a:fontRef idx="minor"/>
                    </wps:style>
                    <wps:txbx>
                      <w:txbxContent>
                        <w:p w14:paraId="5DA8B99B" w14:textId="77777777" w:rsidR="00540A77" w:rsidRDefault="007441F0">
                          <w:pPr>
                            <w:pStyle w:val="Footer"/>
                            <w:rPr>
                              <w:color w:val="auto"/>
                            </w:rPr>
                          </w:pPr>
                          <w:r>
                            <w:rPr>
                              <w:color w:val="auto"/>
                            </w:rPr>
                            <w:fldChar w:fldCharType="begin"/>
                          </w:r>
                          <w:r>
                            <w:instrText>PAGE</w:instrText>
                          </w:r>
                          <w:r>
                            <w:fldChar w:fldCharType="separate"/>
                          </w:r>
                          <w:r w:rsidR="00EB0010">
                            <w:rPr>
                              <w:noProof/>
                            </w:rPr>
                            <w:t>1</w:t>
                          </w:r>
                          <w:r>
                            <w:fldChar w:fldCharType="end"/>
                          </w:r>
                        </w:p>
                      </w:txbxContent>
                    </wps:txbx>
                    <wps:bodyPr lIns="0" tIns="0" rIns="0" bIns="0">
                      <a:spAutoFit/>
                    </wps:bodyPr>
                  </wps:wsp>
                </a:graphicData>
              </a:graphic>
            </wp:anchor>
          </w:drawing>
        </mc:Choice>
        <mc:Fallback>
          <w:pict>
            <v:rect w14:anchorId="1B52E5AC" id="Frame1" o:spid="_x0000_s1029" style="position:absolute;margin-left:-44.1pt;margin-top:.05pt;width:7.1pt;height:12.75pt;z-index:-503316472;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" filled="f" stroked="f">
              <v:textbox style="mso-fit-shape-to-text:t" inset="0,0,0,0">
                <w:txbxContent>
                  <w:p w14:paraId="5DA8B99B" w14:textId="77777777" w:rsidR="00540A77" w:rsidRDefault="007441F0">
                    <w:pPr>
                      <w:pStyle w:val="Footer"/>
                      <w:rPr>
                        <w:color w:val="auto"/>
                      </w:rPr>
                    </w:pPr>
                    <w:r>
                      <w:rPr>
                        <w:color w:val="auto"/>
                      </w:rPr>
                      <w:fldChar w:fldCharType="begin"/>
                    </w:r>
                    <w:r>
                      <w:instrText>PAGE</w:instrText>
                    </w:r>
                    <w:r>
                      <w:fldChar w:fldCharType="separate"/>
                    </w:r>
                    <w:r w:rsidR="00EB0010">
                      <w:rPr>
                        <w:noProof/>
                      </w:rPr>
                      <w:t>1</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EF53B" w14:textId="77777777" w:rsidR="00356691" w:rsidRDefault="00356691">
      <w:r>
        <w:separator/>
      </w:r>
    </w:p>
  </w:footnote>
  <w:footnote w:type="continuationSeparator" w:id="0">
    <w:p w14:paraId="6DAB0A93" w14:textId="77777777" w:rsidR="00356691" w:rsidRDefault="003566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D5A23" w14:textId="281D9738" w:rsidR="00540A77" w:rsidRDefault="00A00DB1">
    <w:pPr>
      <w:pStyle w:val="Header"/>
      <w:tabs>
        <w:tab w:val="right" w:pos="9356"/>
      </w:tabs>
      <w:rPr>
        <w:rFonts w:ascii="Times New Roman" w:hAnsi="Times New Roman" w:cs="Times New Roman"/>
      </w:rPr>
    </w:pPr>
    <w:r>
      <w:rPr>
        <w:rFonts w:ascii="Times New Roman" w:hAnsi="Times New Roman" w:cs="Times New Roman"/>
        <w:b/>
        <w:sz w:val="28"/>
        <w:szCs w:val="28"/>
      </w:rPr>
      <w:t>Final written report</w:t>
    </w:r>
    <w:r w:rsidR="007441F0">
      <w:rPr>
        <w:rFonts w:ascii="Times New Roman" w:hAnsi="Times New Roman" w:cs="Times New Roman"/>
        <w:b/>
      </w:rPr>
      <w:tab/>
    </w:r>
    <w:r w:rsidR="007441F0">
      <w:rPr>
        <w:rFonts w:ascii="Times New Roman" w:hAnsi="Times New Roman" w:cs="Times New Roman"/>
        <w:b/>
      </w:rPr>
      <w:tab/>
    </w:r>
    <w:r w:rsidR="007441F0">
      <w:rPr>
        <w:rFonts w:ascii="Times New Roman" w:hAnsi="Times New Roman" w:cs="Times New Roman"/>
        <w:b/>
        <w:sz w:val="28"/>
        <w:szCs w:val="28"/>
      </w:rPr>
      <w:t>Celia Trunz</w:t>
    </w:r>
  </w:p>
  <w:p w14:paraId="44F7E321" w14:textId="40B98692" w:rsidR="00540A77" w:rsidRDefault="007441F0">
    <w:pPr>
      <w:pStyle w:val="Header"/>
      <w:pBdr>
        <w:bottom w:val="single" w:sz="4" w:space="1" w:color="00000A"/>
      </w:pBdr>
      <w:tabs>
        <w:tab w:val="right" w:pos="9356"/>
      </w:tabs>
      <w:rPr>
        <w:rFonts w:ascii="Times New Roman" w:hAnsi="Times New Roman" w:cs="Times New Roman"/>
      </w:rPr>
    </w:pPr>
    <w:r>
      <w:rPr>
        <w:rFonts w:ascii="Times New Roman" w:hAnsi="Times New Roman" w:cs="Times New Roman"/>
      </w:rPr>
      <w:t>Mathematical Modeling of Geological Processes</w:t>
    </w:r>
    <w:r>
      <w:rPr>
        <w:rFonts w:ascii="Times New Roman" w:hAnsi="Times New Roman" w:cs="Times New Roman"/>
      </w:rPr>
      <w:tab/>
    </w:r>
    <w:r>
      <w:rPr>
        <w:rFonts w:ascii="Times New Roman" w:hAnsi="Times New Roman" w:cs="Times New Roman"/>
      </w:rPr>
      <w:tab/>
      <w:t xml:space="preserve">Due </w:t>
    </w:r>
    <w:r w:rsidR="00A00DB1">
      <w:rPr>
        <w:rFonts w:ascii="Times New Roman" w:hAnsi="Times New Roman" w:cs="Times New Roman"/>
      </w:rPr>
      <w:t>12</w:t>
    </w:r>
    <w:r>
      <w:rPr>
        <w:rFonts w:ascii="Times New Roman" w:hAnsi="Times New Roman" w:cs="Times New Roman"/>
      </w:rPr>
      <w:t>/</w:t>
    </w:r>
    <w:r w:rsidR="00A00DB1">
      <w:rPr>
        <w:rFonts w:ascii="Times New Roman" w:hAnsi="Times New Roman" w:cs="Times New Roman"/>
      </w:rPr>
      <w:t>06</w:t>
    </w:r>
    <w:r>
      <w:rPr>
        <w:rFonts w:ascii="Times New Roman" w:hAnsi="Times New Roman" w:cs="Times New Roman"/>
      </w:rPr>
      <w:t>/2017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8183B"/>
    <w:multiLevelType w:val="multilevel"/>
    <w:tmpl w:val="5F466950"/>
    <w:lvl w:ilvl="0">
      <w:start w:val="1"/>
      <w:numFmt w:val="decimal"/>
      <w:lvlText w:val="%1"/>
      <w:lvlJc w:val="left"/>
      <w:pPr>
        <w:ind w:left="789" w:hanging="432"/>
      </w:pPr>
    </w:lvl>
    <w:lvl w:ilvl="1">
      <w:start w:val="1"/>
      <w:numFmt w:val="decimal"/>
      <w:lvlText w:val="%1.%2"/>
      <w:lvlJc w:val="left"/>
      <w:pPr>
        <w:ind w:left="933" w:hanging="576"/>
      </w:pPr>
    </w:lvl>
    <w:lvl w:ilvl="2">
      <w:start w:val="1"/>
      <w:numFmt w:val="decimal"/>
      <w:lvlText w:val="%1.%2.%3"/>
      <w:lvlJc w:val="left"/>
      <w:pPr>
        <w:ind w:left="1077" w:hanging="720"/>
      </w:pPr>
    </w:lvl>
    <w:lvl w:ilvl="3">
      <w:start w:val="1"/>
      <w:numFmt w:val="decimal"/>
      <w:lvlText w:val="%1.%2.%3.%4"/>
      <w:lvlJc w:val="left"/>
      <w:pPr>
        <w:ind w:left="1221" w:hanging="864"/>
      </w:pPr>
    </w:lvl>
    <w:lvl w:ilvl="4">
      <w:start w:val="1"/>
      <w:numFmt w:val="decimal"/>
      <w:lvlText w:val="%1.%2.%3.%4.%5"/>
      <w:lvlJc w:val="left"/>
      <w:pPr>
        <w:ind w:left="1365" w:hanging="1008"/>
      </w:pPr>
    </w:lvl>
    <w:lvl w:ilvl="5">
      <w:start w:val="1"/>
      <w:numFmt w:val="decimal"/>
      <w:lvlText w:val="%1.%2.%3.%4.%5.%6"/>
      <w:lvlJc w:val="left"/>
      <w:pPr>
        <w:ind w:left="1509" w:hanging="1152"/>
      </w:pPr>
    </w:lvl>
    <w:lvl w:ilvl="6">
      <w:start w:val="1"/>
      <w:numFmt w:val="decimal"/>
      <w:lvlText w:val="%1.%2.%3.%4.%5.%6.%7"/>
      <w:lvlJc w:val="left"/>
      <w:pPr>
        <w:ind w:left="1653" w:hanging="1296"/>
      </w:pPr>
    </w:lvl>
    <w:lvl w:ilvl="7">
      <w:start w:val="1"/>
      <w:numFmt w:val="decimal"/>
      <w:lvlText w:val="%1.%2.%3.%4.%5.%6.%7.%8"/>
      <w:lvlJc w:val="left"/>
      <w:pPr>
        <w:ind w:left="1797" w:hanging="1440"/>
      </w:pPr>
    </w:lvl>
    <w:lvl w:ilvl="8">
      <w:start w:val="1"/>
      <w:numFmt w:val="decimal"/>
      <w:lvlText w:val="%1.%2.%3.%4.%5.%6.%7.%8.%9"/>
      <w:lvlJc w:val="left"/>
      <w:pPr>
        <w:ind w:left="1941" w:hanging="1584"/>
      </w:pPr>
    </w:lvl>
  </w:abstractNum>
  <w:abstractNum w:abstractNumId="1">
    <w:nsid w:val="5DDE62B4"/>
    <w:multiLevelType w:val="multilevel"/>
    <w:tmpl w:val="BE569B52"/>
    <w:lvl w:ilvl="0">
      <w:start w:val="1"/>
      <w:numFmt w:val="decimal"/>
      <w:pStyle w:val="Heading1"/>
      <w:lvlText w:val="%1"/>
      <w:lvlJc w:val="left"/>
      <w:pPr>
        <w:ind w:left="789" w:hanging="432"/>
      </w:pPr>
    </w:lvl>
    <w:lvl w:ilvl="1">
      <w:start w:val="1"/>
      <w:numFmt w:val="decimal"/>
      <w:pStyle w:val="Heading2"/>
      <w:lvlText w:val="%1.%2"/>
      <w:lvlJc w:val="left"/>
      <w:pPr>
        <w:ind w:left="933" w:hanging="576"/>
      </w:pPr>
    </w:lvl>
    <w:lvl w:ilvl="2">
      <w:start w:val="1"/>
      <w:numFmt w:val="decimal"/>
      <w:pStyle w:val="Heading3"/>
      <w:lvlText w:val="%1.%2.%3"/>
      <w:lvlJc w:val="left"/>
      <w:pPr>
        <w:ind w:left="1077"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A77"/>
    <w:rsid w:val="00101908"/>
    <w:rsid w:val="0027336E"/>
    <w:rsid w:val="00356691"/>
    <w:rsid w:val="00540A77"/>
    <w:rsid w:val="007441F0"/>
    <w:rsid w:val="0084326C"/>
    <w:rsid w:val="00967F42"/>
    <w:rsid w:val="00A00DB1"/>
    <w:rsid w:val="00BF102E"/>
    <w:rsid w:val="00EB001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98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Math" w:eastAsiaTheme="minorEastAsia" w:hAnsi="Cambria Math" w:cstheme="minorBidi"/>
        <w:szCs w:val="22"/>
        <w:lang w:val="fr-FR"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45E"/>
    <w:rPr>
      <w:rFonts w:asciiTheme="minorHAnsi" w:eastAsia="ＭＳ 明朝" w:hAnsiTheme="minorHAnsi"/>
      <w:color w:val="00000A"/>
      <w:sz w:val="24"/>
      <w:szCs w:val="24"/>
      <w:lang w:val="en-US" w:eastAsia="en-US"/>
    </w:rPr>
  </w:style>
  <w:style w:type="paragraph" w:styleId="Heading1">
    <w:name w:val="heading 1"/>
    <w:basedOn w:val="Normal"/>
    <w:next w:val="Normal"/>
    <w:link w:val="Heading1Char"/>
    <w:autoRedefine/>
    <w:uiPriority w:val="9"/>
    <w:qFormat/>
    <w:rsid w:val="00436744"/>
    <w:pPr>
      <w:keepNext/>
      <w:keepLines/>
      <w:numPr>
        <w:numId w:val="1"/>
      </w:numPr>
      <w:spacing w:before="480"/>
      <w:outlineLvl w:val="0"/>
    </w:pPr>
    <w:rPr>
      <w:rFonts w:ascii="Cambria Math" w:eastAsiaTheme="majorEastAsia" w:hAnsi="Cambria Math" w:cstheme="majorBidi"/>
      <w:b/>
      <w:bCs/>
      <w:sz w:val="32"/>
      <w:szCs w:val="32"/>
      <w:lang w:eastAsia="ja-JP"/>
    </w:rPr>
  </w:style>
  <w:style w:type="paragraph" w:styleId="Heading2">
    <w:name w:val="heading 2"/>
    <w:basedOn w:val="Normal"/>
    <w:next w:val="Normal"/>
    <w:link w:val="Heading2Char"/>
    <w:autoRedefine/>
    <w:uiPriority w:val="9"/>
    <w:unhideWhenUsed/>
    <w:qFormat/>
    <w:rsid w:val="00436744"/>
    <w:pPr>
      <w:keepNext/>
      <w:keepLines/>
      <w:numPr>
        <w:ilvl w:val="1"/>
        <w:numId w:val="1"/>
      </w:numPr>
      <w:spacing w:before="200" w:after="120"/>
      <w:ind w:left="935" w:hanging="578"/>
      <w:outlineLvl w:val="1"/>
    </w:pPr>
    <w:rPr>
      <w:rFonts w:ascii="Cambria Math" w:eastAsiaTheme="majorEastAsia" w:hAnsi="Cambria Math" w:cstheme="majorBidi"/>
      <w:b/>
      <w:bCs/>
      <w:sz w:val="26"/>
      <w:szCs w:val="26"/>
      <w:lang w:eastAsia="ja-JP"/>
    </w:rPr>
  </w:style>
  <w:style w:type="paragraph" w:styleId="Heading3">
    <w:name w:val="heading 3"/>
    <w:basedOn w:val="Normal"/>
    <w:next w:val="Normal"/>
    <w:link w:val="Heading3Char"/>
    <w:autoRedefine/>
    <w:uiPriority w:val="9"/>
    <w:unhideWhenUsed/>
    <w:qFormat/>
    <w:rsid w:val="00436744"/>
    <w:pPr>
      <w:keepNext/>
      <w:keepLines/>
      <w:numPr>
        <w:ilvl w:val="2"/>
        <w:numId w:val="1"/>
      </w:numPr>
      <w:spacing w:before="200"/>
      <w:outlineLvl w:val="2"/>
    </w:pPr>
    <w:rPr>
      <w:rFonts w:ascii="Cambria Math" w:eastAsiaTheme="majorEastAsia" w:hAnsi="Cambria Math" w:cstheme="majorBidi"/>
      <w:b/>
      <w:bCs/>
      <w:sz w:val="22"/>
      <w:szCs w:val="22"/>
      <w:lang w:eastAsia="ja-JP"/>
    </w:rPr>
  </w:style>
  <w:style w:type="paragraph" w:styleId="Heading4">
    <w:name w:val="heading 4"/>
    <w:basedOn w:val="Normal"/>
    <w:next w:val="Normal"/>
    <w:link w:val="Heading4Char"/>
    <w:autoRedefine/>
    <w:uiPriority w:val="9"/>
    <w:unhideWhenUsed/>
    <w:qFormat/>
    <w:rsid w:val="00436744"/>
    <w:pPr>
      <w:keepNext/>
      <w:keepLines/>
      <w:spacing w:before="200" w:after="120"/>
      <w:outlineLvl w:val="3"/>
    </w:pPr>
    <w:rPr>
      <w:rFonts w:ascii="Cambria Math" w:eastAsiaTheme="majorEastAsia" w:hAnsi="Cambria Math" w:cstheme="majorBidi"/>
      <w:b/>
      <w:bCs/>
      <w:i/>
      <w:iCs/>
      <w:sz w:val="22"/>
      <w:szCs w:val="22"/>
      <w:lang w:eastAsia="ja-JP"/>
    </w:rPr>
  </w:style>
  <w:style w:type="paragraph" w:styleId="Heading5">
    <w:name w:val="heading 5"/>
    <w:basedOn w:val="Normal"/>
    <w:next w:val="Normal"/>
    <w:link w:val="Heading5Char"/>
    <w:uiPriority w:val="9"/>
    <w:unhideWhenUsed/>
    <w:qFormat/>
    <w:rsid w:val="004D7D6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C15EE"/>
    <w:rPr>
      <w:rFonts w:eastAsiaTheme="majorEastAsia" w:cstheme="majorBidi"/>
      <w:b/>
      <w:bCs/>
      <w:sz w:val="32"/>
      <w:szCs w:val="32"/>
    </w:rPr>
  </w:style>
  <w:style w:type="character" w:customStyle="1" w:styleId="Heading2Char">
    <w:name w:val="Heading 2 Char"/>
    <w:basedOn w:val="DefaultParagraphFont"/>
    <w:link w:val="Heading2"/>
    <w:uiPriority w:val="9"/>
    <w:qFormat/>
    <w:rsid w:val="00436744"/>
    <w:rPr>
      <w:rFonts w:eastAsiaTheme="majorEastAsia" w:cstheme="majorBidi"/>
      <w:b/>
      <w:bCs/>
      <w:sz w:val="26"/>
      <w:szCs w:val="26"/>
    </w:rPr>
  </w:style>
  <w:style w:type="character" w:customStyle="1" w:styleId="Heading3Char">
    <w:name w:val="Heading 3 Char"/>
    <w:basedOn w:val="DefaultParagraphFont"/>
    <w:link w:val="Heading3"/>
    <w:uiPriority w:val="9"/>
    <w:qFormat/>
    <w:rsid w:val="009C15EE"/>
    <w:rPr>
      <w:rFonts w:eastAsiaTheme="majorEastAsia" w:cstheme="majorBidi"/>
      <w:b/>
      <w:bCs/>
    </w:rPr>
  </w:style>
  <w:style w:type="character" w:customStyle="1" w:styleId="Heading4Char">
    <w:name w:val="Heading 4 Char"/>
    <w:basedOn w:val="DefaultParagraphFont"/>
    <w:link w:val="Heading4"/>
    <w:uiPriority w:val="9"/>
    <w:qFormat/>
    <w:rsid w:val="00436744"/>
    <w:rPr>
      <w:rFonts w:eastAsiaTheme="majorEastAsia" w:cstheme="majorBidi"/>
      <w:b/>
      <w:bCs/>
      <w:i/>
      <w:iCs/>
    </w:rPr>
  </w:style>
  <w:style w:type="character" w:customStyle="1" w:styleId="En-tteCar">
    <w:name w:val="En-tête Car"/>
    <w:basedOn w:val="DefaultParagraphFont"/>
    <w:uiPriority w:val="99"/>
    <w:qFormat/>
    <w:rsid w:val="003B2258"/>
    <w:rPr>
      <w:lang w:val="en-US"/>
    </w:rPr>
  </w:style>
  <w:style w:type="character" w:customStyle="1" w:styleId="FooterChar">
    <w:name w:val="Footer Char"/>
    <w:basedOn w:val="DefaultParagraphFont"/>
    <w:link w:val="Footer"/>
    <w:uiPriority w:val="99"/>
    <w:qFormat/>
    <w:rsid w:val="003B2258"/>
    <w:rPr>
      <w:lang w:val="en-US"/>
    </w:rPr>
  </w:style>
  <w:style w:type="character" w:styleId="PageNumber">
    <w:name w:val="page number"/>
    <w:basedOn w:val="DefaultParagraphFont"/>
    <w:uiPriority w:val="99"/>
    <w:semiHidden/>
    <w:unhideWhenUsed/>
    <w:qFormat/>
    <w:rsid w:val="0055564E"/>
  </w:style>
  <w:style w:type="character" w:styleId="CommentReference">
    <w:name w:val="annotation reference"/>
    <w:basedOn w:val="DefaultParagraphFont"/>
    <w:uiPriority w:val="99"/>
    <w:semiHidden/>
    <w:unhideWhenUsed/>
    <w:qFormat/>
    <w:rsid w:val="00D0507D"/>
    <w:rPr>
      <w:sz w:val="18"/>
      <w:szCs w:val="18"/>
    </w:rPr>
  </w:style>
  <w:style w:type="character" w:customStyle="1" w:styleId="CommentTextChar">
    <w:name w:val="Comment Text Char"/>
    <w:basedOn w:val="DefaultParagraphFont"/>
    <w:link w:val="CommentText"/>
    <w:uiPriority w:val="99"/>
    <w:semiHidden/>
    <w:qFormat/>
    <w:rsid w:val="00D0507D"/>
    <w:rPr>
      <w:rFonts w:asciiTheme="minorHAnsi" w:hAnsiTheme="minorHAnsi"/>
      <w:sz w:val="24"/>
      <w:szCs w:val="24"/>
      <w:lang w:val="en-US" w:eastAsia="en-US"/>
    </w:rPr>
  </w:style>
  <w:style w:type="character" w:customStyle="1" w:styleId="CommentSubjectChar">
    <w:name w:val="Comment Subject Char"/>
    <w:basedOn w:val="CommentTextChar"/>
    <w:link w:val="CommentSubject"/>
    <w:uiPriority w:val="99"/>
    <w:semiHidden/>
    <w:qFormat/>
    <w:rsid w:val="00D0507D"/>
    <w:rPr>
      <w:rFonts w:asciiTheme="minorHAnsi" w:hAnsiTheme="minorHAnsi"/>
      <w:b/>
      <w:bCs/>
      <w:sz w:val="20"/>
      <w:szCs w:val="20"/>
      <w:lang w:val="en-US" w:eastAsia="en-US"/>
    </w:rPr>
  </w:style>
  <w:style w:type="character" w:customStyle="1" w:styleId="BalloonTextChar">
    <w:name w:val="Balloon Text Char"/>
    <w:basedOn w:val="DefaultParagraphFont"/>
    <w:link w:val="BalloonText"/>
    <w:uiPriority w:val="99"/>
    <w:semiHidden/>
    <w:qFormat/>
    <w:rsid w:val="00D0507D"/>
    <w:rPr>
      <w:rFonts w:ascii="Lucida Grande" w:hAnsi="Lucida Grande" w:cs="Lucida Grande"/>
      <w:sz w:val="18"/>
      <w:szCs w:val="18"/>
      <w:lang w:val="en-US" w:eastAsia="en-US"/>
    </w:rPr>
  </w:style>
  <w:style w:type="character" w:customStyle="1" w:styleId="Sous-titreCar">
    <w:name w:val="Sous-titre Car"/>
    <w:basedOn w:val="DefaultParagraphFont"/>
    <w:uiPriority w:val="11"/>
    <w:qFormat/>
    <w:rsid w:val="002779F8"/>
    <w:rPr>
      <w:rFonts w:asciiTheme="majorHAnsi" w:eastAsiaTheme="majorEastAsia" w:hAnsiTheme="majorHAnsi" w:cstheme="majorBidi"/>
      <w:i/>
      <w:iCs/>
      <w:color w:val="4F81BD" w:themeColor="accent1"/>
      <w:spacing w:val="15"/>
      <w:sz w:val="24"/>
      <w:szCs w:val="24"/>
      <w:lang w:val="en-US" w:eastAsia="en-US"/>
    </w:rPr>
  </w:style>
  <w:style w:type="character" w:customStyle="1" w:styleId="Heading5Char">
    <w:name w:val="Heading 5 Char"/>
    <w:basedOn w:val="DefaultParagraphFont"/>
    <w:link w:val="Heading5"/>
    <w:uiPriority w:val="9"/>
    <w:qFormat/>
    <w:rsid w:val="004D7D69"/>
    <w:rPr>
      <w:rFonts w:asciiTheme="majorHAnsi" w:eastAsiaTheme="majorEastAsia" w:hAnsiTheme="majorHAnsi" w:cstheme="majorBidi"/>
      <w:color w:val="243F60" w:themeColor="accent1" w:themeShade="7F"/>
      <w:sz w:val="24"/>
      <w:szCs w:val="24"/>
      <w:lang w:val="en-US" w:eastAsia="en-US"/>
    </w:rPr>
  </w:style>
  <w:style w:type="character" w:styleId="SubtleEmphasis">
    <w:name w:val="Subtle Emphasis"/>
    <w:basedOn w:val="DefaultParagraphFont"/>
    <w:uiPriority w:val="19"/>
    <w:qFormat/>
    <w:rsid w:val="001D220E"/>
    <w:rPr>
      <w:i/>
      <w:iCs/>
      <w:color w:val="404040" w:themeColor="text1" w:themeTint="BF"/>
    </w:rPr>
  </w:style>
  <w:style w:type="character" w:styleId="BookTitle">
    <w:name w:val="Book Title"/>
    <w:basedOn w:val="DefaultParagraphFont"/>
    <w:uiPriority w:val="33"/>
    <w:qFormat/>
    <w:rsid w:val="001D220E"/>
    <w:rPr>
      <w:b/>
      <w:bCs/>
      <w:i/>
      <w:iCs/>
      <w:spacing w:val="5"/>
    </w:rPr>
  </w:style>
  <w:style w:type="character" w:styleId="PlaceholderText">
    <w:name w:val="Placeholder Text"/>
    <w:basedOn w:val="DefaultParagraphFont"/>
    <w:uiPriority w:val="99"/>
    <w:semiHidden/>
    <w:qFormat/>
    <w:rsid w:val="00F13E47"/>
    <w:rPr>
      <w:color w:val="80808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CB10D3"/>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Header">
    <w:name w:val="header"/>
    <w:basedOn w:val="Normal"/>
    <w:uiPriority w:val="99"/>
    <w:unhideWhenUsed/>
    <w:rsid w:val="003B2258"/>
    <w:pPr>
      <w:tabs>
        <w:tab w:val="center" w:pos="4536"/>
        <w:tab w:val="right" w:pos="9072"/>
      </w:tabs>
    </w:pPr>
    <w:rPr>
      <w:rFonts w:ascii="Cambria Math" w:hAnsi="Cambria Math"/>
      <w:sz w:val="22"/>
      <w:szCs w:val="22"/>
      <w:lang w:eastAsia="ja-JP"/>
    </w:rPr>
  </w:style>
  <w:style w:type="paragraph" w:styleId="Footer">
    <w:name w:val="footer"/>
    <w:basedOn w:val="Normal"/>
    <w:link w:val="FooterChar"/>
    <w:uiPriority w:val="99"/>
    <w:unhideWhenUsed/>
    <w:rsid w:val="003B2258"/>
    <w:pPr>
      <w:tabs>
        <w:tab w:val="center" w:pos="4536"/>
        <w:tab w:val="right" w:pos="9072"/>
      </w:tabs>
    </w:pPr>
    <w:rPr>
      <w:rFonts w:ascii="Cambria Math" w:hAnsi="Cambria Math"/>
      <w:sz w:val="22"/>
      <w:szCs w:val="22"/>
      <w:lang w:eastAsia="ja-JP"/>
    </w:rPr>
  </w:style>
  <w:style w:type="paragraph" w:styleId="CommentText">
    <w:name w:val="annotation text"/>
    <w:basedOn w:val="Normal"/>
    <w:link w:val="CommentTextChar"/>
    <w:uiPriority w:val="99"/>
    <w:semiHidden/>
    <w:unhideWhenUsed/>
    <w:qFormat/>
    <w:rsid w:val="00D0507D"/>
  </w:style>
  <w:style w:type="paragraph" w:styleId="CommentSubject">
    <w:name w:val="annotation subject"/>
    <w:basedOn w:val="CommentText"/>
    <w:link w:val="CommentSubjectChar"/>
    <w:uiPriority w:val="99"/>
    <w:semiHidden/>
    <w:unhideWhenUsed/>
    <w:qFormat/>
    <w:rsid w:val="00D0507D"/>
    <w:rPr>
      <w:b/>
      <w:bCs/>
      <w:sz w:val="20"/>
      <w:szCs w:val="20"/>
    </w:rPr>
  </w:style>
  <w:style w:type="paragraph" w:styleId="BalloonText">
    <w:name w:val="Balloon Text"/>
    <w:basedOn w:val="Normal"/>
    <w:link w:val="BalloonTextChar"/>
    <w:uiPriority w:val="99"/>
    <w:semiHidden/>
    <w:unhideWhenUsed/>
    <w:qFormat/>
    <w:rsid w:val="00D0507D"/>
    <w:rPr>
      <w:rFonts w:ascii="Lucida Grande" w:hAnsi="Lucida Grande" w:cs="Lucida Grande"/>
      <w:sz w:val="18"/>
      <w:szCs w:val="18"/>
    </w:rPr>
  </w:style>
  <w:style w:type="paragraph" w:styleId="Subtitle">
    <w:name w:val="Subtitle"/>
    <w:basedOn w:val="Normal"/>
    <w:next w:val="Normal"/>
    <w:uiPriority w:val="11"/>
    <w:qFormat/>
    <w:rsid w:val="002779F8"/>
    <w:rPr>
      <w:rFonts w:asciiTheme="majorHAnsi" w:eastAsiaTheme="majorEastAsia" w:hAnsiTheme="majorHAnsi" w:cstheme="majorBidi"/>
      <w:i/>
      <w:iCs/>
      <w:color w:val="4F81BD" w:themeColor="accent1"/>
      <w:spacing w:val="15"/>
    </w:rPr>
  </w:style>
  <w:style w:type="paragraph" w:styleId="Bibliography">
    <w:name w:val="Bibliography"/>
    <w:basedOn w:val="Normal"/>
    <w:next w:val="Normal"/>
    <w:uiPriority w:val="37"/>
    <w:unhideWhenUsed/>
    <w:qFormat/>
    <w:rsid w:val="00BA0A5B"/>
    <w:pPr>
      <w:spacing w:line="480" w:lineRule="auto"/>
      <w:ind w:left="720" w:hanging="720"/>
    </w:pPr>
  </w:style>
  <w:style w:type="paragraph" w:customStyle="1" w:styleId="FrameContents">
    <w:name w:val="Frame Contents"/>
    <w:basedOn w:val="Normal"/>
    <w:qFormat/>
  </w:style>
  <w:style w:type="paragraph" w:styleId="Revision">
    <w:name w:val="Revision"/>
    <w:hidden/>
    <w:uiPriority w:val="99"/>
    <w:semiHidden/>
    <w:rsid w:val="00BF102E"/>
    <w:rPr>
      <w:rFonts w:asciiTheme="minorHAnsi" w:eastAsia="ＭＳ 明朝" w:hAnsiTheme="minorHAnsi"/>
      <w:color w:val="00000A"/>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95AF4-4E1C-D14E-9FBD-F98BAEC53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2005</Words>
  <Characters>11434</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dc:creator>
  <dc:description/>
  <cp:lastModifiedBy>celia.trunz@gmail.com</cp:lastModifiedBy>
  <cp:revision>3</cp:revision>
  <dcterms:created xsi:type="dcterms:W3CDTF">2017-11-05T15:37:00Z</dcterms:created>
  <dcterms:modified xsi:type="dcterms:W3CDTF">2017-11-05T16:56:00Z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zotero-version="5.0.24"&gt;&lt;session id="KmCeqUmS"/&gt;&lt;style id="http://www.zotero.org/styles/apa" locale="en-US" hasBibliography="1" bibliographyStyleHasBeenSet="1"/&gt;&lt;prefs&gt;&lt;pref name="fieldType" value="Field"/&gt;&lt;pref name="automaticJourn</vt:lpwstr>
  </property>
  <property fmtid="{D5CDD505-2E9C-101B-9397-08002B2CF9AE}" pid="9" name="ZOTERO_PREF_2">
    <vt:lpwstr>alAbbreviations" value="true"/&gt;&lt;pref name="noteType" value="0"/&gt;&lt;pref name="storeReferences" value=""/&gt;&lt;/prefs&gt;&lt;/data&gt;</vt:lpwstr>
  </property>
</Properties>
</file>