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7.png" ContentType="image/png"/>
  <Override PartName="/word/media/rId61.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Statistical report for ACASA-TAVI</w:t>
      </w:r>
    </w:p>
    <w:p>
      <w:pPr>
        <w:pStyle w:val="Subtitle"/>
      </w:pPr>
      <w:r>
        <w:t xml:space="preserve">AntiCoagulation versus AcetylSalicylic Acid after Transcatheter Aortic Valve Implantation</w:t>
      </w:r>
    </w:p>
    <w:p>
      <w:pPr>
        <w:pStyle w:val="Author"/>
      </w:pPr>
      <w:r>
        <w:t xml:space="preserve">C. Cunen</w:t>
      </w:r>
    </w:p>
    <w:p>
      <w:pPr>
        <w:pStyle w:val="Date"/>
      </w:pPr>
      <w:r>
        <w:t xml:space="preserve">01 juli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introduction"/>
    <w:p>
      <w:pPr>
        <w:pStyle w:val="Heading1"/>
      </w:pPr>
      <w:r>
        <w:t xml:space="preserve">Introduction</w:t>
      </w:r>
    </w:p>
    <w:p>
      <w:pPr>
        <w:pStyle w:val="FirstParagraph"/>
      </w:pPr>
      <w:r>
        <w:t xml:space="preserve">The ACASA-TAVI study is a two-arm, randomised, controlled, parallel-group, multicentre, single-country, open-label blinded-endpoint, Phase III trial. Patients are randomised to either ASA (usual care) or DOAC (active treatment) in a 1:1 ratio. The goal of the study is to evaluate the efficacy and safety of DOAC versus ASA after TAVI. Treatment duration is 12 months and the primary endpoints are evaluated at 12 months. See Protocol (current version is dated November 10th 2022).</w:t>
      </w:r>
    </w:p>
    <w:p>
      <w:pPr>
        <w:pStyle w:val="BodyText"/>
      </w:pPr>
      <w:r>
        <w:t xml:space="preserve">This report summarises the results from the analysis of primary and secondary endpoints, as well as baseline and safety data.</w:t>
      </w:r>
    </w:p>
    <w:p>
      <w:pPr>
        <w:pStyle w:val="BodyText"/>
      </w:pPr>
      <w:r>
        <w:t xml:space="preserve">All 360 randomised patients are included in all analyses (except in some sensitivity analyses, where this is made explicit). The analyses have been implemented according to the SAP version 1.0, dated xx.xx.xxxx.</w:t>
      </w:r>
    </w:p>
    <w:p>
      <w:pPr>
        <w:pStyle w:val="BodyText"/>
      </w:pPr>
      <w:r>
        <w:t xml:space="preserve">The present results are built on</w:t>
      </w:r>
      <w:r>
        <w:t xml:space="preserve"> </w:t>
      </w:r>
      <w:r>
        <w:rPr>
          <w:i/>
          <w:iCs/>
        </w:rPr>
        <w:t xml:space="preserve">sham randomisation</w:t>
      </w:r>
      <w:r>
        <w:t xml:space="preserve"> </w:t>
      </w:r>
      <w:r>
        <w:t xml:space="preserve">generated from the most recent export from Viedoc. No true treatment assignments have been unlocked. All findings in this document should therefore be interpreted as preliminary and descriptive only. Final efficacy comparisons will not be conducted until the database is locked and genuine randomisation codes are used.</w:t>
      </w:r>
    </w:p>
    <w:bookmarkEnd w:id="20"/>
    <w:bookmarkStart w:id="23" w:name="patient-enrolment-and-disposition"/>
    <w:p>
      <w:pPr>
        <w:pStyle w:val="Heading1"/>
      </w:pPr>
      <w:r>
        <w:t xml:space="preserve">Patient enrolment and disposition</w:t>
      </w:r>
    </w:p>
    <w:p>
      <w:pPr>
        <w:pStyle w:val="FirstParagraph"/>
      </w:pPr>
      <w:r>
        <w:t xml:space="preserve">There are 360 randomised participants: 27 from Haukeland, 333 from OUS. The FAS includes all participants.</w:t>
      </w:r>
    </w:p>
    <w:bookmarkStart w:id="21" w:name="X3eac55546c0925b7f261fe37fd1642ab592a3c5"/>
    <w:p>
      <w:pPr>
        <w:pStyle w:val="Heading2"/>
      </w:pPr>
      <w:r>
        <w:t xml:space="preserve">Patient disposition (reasons for non-completion)</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Overview of study completion and reasons for non-completion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4617"/>
        <w:gridCol w:w="1046"/>
        <w:gridCol w:w="851"/>
        <w:gridCol w:w="900"/>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Total</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Number of randomised participants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360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Study completed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336</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Reason for discontinuation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Voluntary discontinuation by patient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Incorrect randomisation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Non-compliance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Death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Other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bl>
    <w:bookmarkEnd w:id="21"/>
    <w:bookmarkStart w:id="22" w:name="protocol-deviations"/>
    <w:p>
      <w:pPr>
        <w:pStyle w:val="Heading2"/>
      </w:pPr>
      <w:r>
        <w:t xml:space="preserve">Protocol deviations</w:t>
      </w:r>
    </w:p>
    <w:p>
      <w:pPr>
        <w:pStyle w:val="FirstParagraph"/>
      </w:pPr>
      <w:r>
        <w:t xml:space="preserve">Number of major and minor protocol deviations, summarized by treatment group with details of type of deviation provided.</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Number of minor protocol deviations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413"/>
        <w:gridCol w:w="5461"/>
        <w:gridCol w:w="655"/>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Treatment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Category of PD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Incorrect treatment and/or dose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Prohibited concomitant medication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Failure to collect important data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Serious breach - 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Prohibited concomitant medication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Failure to collect important data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Serious breach - SAE notification / safety procedure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Other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w:t>
            </w:r>
          </w:p>
        </w:tc>
      </w:tr>
    </w:tbl>
    <w:p>
      <w:pPr>
        <w:pStyle w:val="BodyText"/>
      </w:pPr>
      <w:r>
        <w:t xml:space="preserve">There are currently no protocol deviations that are categorised as</w:t>
      </w:r>
      <w:r>
        <w:t xml:space="preserve"> </w:t>
      </w:r>
      <w:r>
        <w:t xml:space="preserve">“major”</w:t>
      </w:r>
      <w:r>
        <w:t xml:space="preserve">.</w:t>
      </w:r>
    </w:p>
    <w:bookmarkEnd w:id="22"/>
    <w:bookmarkEnd w:id="23"/>
    <w:bookmarkStart w:id="29" w:name="X152c858db766f039168fb4c8c8273afb55a6079"/>
    <w:p>
      <w:pPr>
        <w:pStyle w:val="Heading1"/>
      </w:pPr>
      <w:r>
        <w:t xml:space="preserve">Demographics and baseline characteristics</w:t>
      </w:r>
    </w:p>
    <w:bookmarkStart w:id="24" w:name="table-1"/>
    <w:p>
      <w:pPr>
        <w:pStyle w:val="Heading2"/>
      </w:pPr>
      <w:r>
        <w:t xml:space="preserve">Table 1</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Baseline characteristics for all 360 participants. Continuous variables are summarised by mean (SD), or by median (IQR) as appopriate.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4842"/>
        <w:gridCol w:w="1915"/>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Age (years)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74.5 (3.7)</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Sex, 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37%</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NYHA functional class III or IV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29%</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Body mass index (kg/m^2)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28.1 (4.7)</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Coronary artery disease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Hypertension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Diabetes mellitus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28%</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Previous stroke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Permanent pacemaker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Chronic obstructive pulmonary disease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EuroSCORE II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 (2)</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Troponin T (ng/L)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 (11 - 28)</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NT-proBNP (ng/L)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413 (197 - 812)</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Glomerular filtration rate (mL/min/1 1.73 m^2)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75 (18.4)</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Pre-TAVI aortic valve parameters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Left ventricular ejection fraction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53.9 (8)</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Aortic valve mean gradient (mmHg)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49.6 (12.5)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Aortic valvular area (cm^2)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 (0.2)</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Aortic annular area (mm^2)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478.4 (93.6)</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Aortic annular perimeter (mm)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78.8 (7.7)</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Bicuspid aortic valve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Valce-in-valve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Procedural characteristics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Balloon-expanded valve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Self-expandable valve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29%</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Pre-dilatation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37%</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Post-dilatation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w:t>
            </w:r>
          </w:p>
        </w:tc>
      </w:tr>
    </w:tbl>
    <w:bookmarkEnd w:id="24"/>
    <w:bookmarkStart w:id="25" w:name="demographics-and-medical-history"/>
    <w:p>
      <w:pPr>
        <w:pStyle w:val="Heading2"/>
      </w:pPr>
      <w:r>
        <w:t xml:space="preserve">Demographics and medical history</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Demographics and medical history.</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203"/>
        <w:gridCol w:w="1811"/>
        <w:gridCol w:w="1615"/>
        <w:gridCol w:w="1933"/>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Characteristic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DOAC(n=180)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ASA(n=180)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Overall (n=360)</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Age (years)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74.4 (3.7)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74.5 (3.7)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74.5 (3.7)</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Sex,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115 (63.9%)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111 (61.7%)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226 (62.8%)</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65 (36.1%)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69 (38.3%)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134 (37.2%)</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Hypertension,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124 (70.9%)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126 (72%)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250 (71.4%)</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Missing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 (2.8%)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 (2.8%)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 (2.8%)</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Coronary artery disease,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36 (20.6%)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47 (26.9%)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83 (23.7%)</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Missing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 (2.8%)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 (2.8%)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 (2.8%)</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Diabetes mellitus,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54 (30.9%)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45 (25.7%)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99 (28.3%)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Missing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 (2.8%)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 (2.8%)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 (2.8%)</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Chronic obstructive pulmonary disease,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 (14.9%)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 (12.6%)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48 (13.7%)</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Missing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 (2.8%)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 (2.8%)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 (2.8%)</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Previous stroke,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 (10.9%)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 (12%)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40 (11.4%)</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Missing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 (2.8%)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 (2.8%)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 (2.8%)</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Permanent pacemaker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 (2.9%)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 (1.7%)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 (2.3%)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Missing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 (2.8%)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 (2.8%)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 (2.8%)</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Smoking status,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Never smoked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59 (32.8%)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66 (36.7%)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125 (34.7%)</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Has stopped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94 (52.2%)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91 (50.6%)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185 (51.4%)</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Sometimes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 (0.6%)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 (0.6%)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 (0.6%)</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Daily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 (14.4%)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 (12.2%)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48 (13.3%)</w:t>
            </w:r>
          </w:p>
        </w:tc>
      </w:tr>
    </w:tbl>
    <w:bookmarkEnd w:id="25"/>
    <w:bookmarkStart w:id="26" w:name="Xedd584c87fd898880aefbb37d73339295451a75"/>
    <w:p>
      <w:pPr>
        <w:pStyle w:val="Heading2"/>
      </w:pPr>
      <w:r>
        <w:t xml:space="preserve">Vital signs and physical characteristics at baseline</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Vital signs and physical characteristics at baseline.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4543"/>
        <w:gridCol w:w="1811"/>
        <w:gridCol w:w="1615"/>
        <w:gridCol w:w="1933"/>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Characteristic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DOAC(n=180)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ASA(n=180)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Overall (n=360)</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Weight (kg)</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84.3 (16.2)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84.9 (15.9)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84.6 (16)</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Height (cm)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173.8 (9.3)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173 (9)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173.4 (9.1)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Body mass index (kg/m2)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27.9 (4.9)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28.3 (4.5)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28.1 (4.7)</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Systolic blood pressure (mmHg)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137 (19.1)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143.6 (22)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140.3 (20.8)</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Diastolic blood pressure (mmHg)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71.9 (9.8)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71.9 (10.4)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71.9 (10.1)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Body temperature (C)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36.7 (0.4)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36.7 (0.4)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36.7 (0.4)</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Pulse rate (beats/min)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74.7 (14.6)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73 (11.6)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73.8 (13.2)</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Respiratory rate (breaths/min)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16.9 (2.9)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16.8 (2.2)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16.8 (2.5)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Mini-Cog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Signs of cognitive impairment (0-2)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 (9.3%)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 (6.9%)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 (8.1%)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 cognitive impairment (3-5)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147 (90.7%)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148 (93.1%)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295 (91.9%)</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Missing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 (10%)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 (11.7%)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39 (10.8%)</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Five times sit-to-stand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&lt; 15 sec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115 (83.3%)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109 (79.6%)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224 (81.5%)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&gt;= 15 sec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 (16.7%)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28 (20.4%)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51 (18.5%)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Missing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 (23.3%)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43 (23.9%)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85 (23.6%)</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Frailty,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Robust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75 (41.7%)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90 (50%)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165 (45.8%)</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Pre-frail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59 (32.8%)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43 (23.9%)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102 (28.3%)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Frail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 (0%)</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Missing</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46 (25.6%)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47 (26.1%)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93 (25.8%)</w:t>
            </w:r>
          </w:p>
        </w:tc>
      </w:tr>
    </w:tbl>
    <w:bookmarkEnd w:id="26"/>
    <w:bookmarkStart w:id="27" w:name="Xa9118ed01ee68b6ce0e45caf9cfa30baee93695"/>
    <w:p>
      <w:pPr>
        <w:pStyle w:val="Heading2"/>
      </w:pPr>
      <w:r>
        <w:t xml:space="preserve">Clinical chemistry and hematology at baseline</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Some results related to clinical chemistry and hematology at baseline.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956"/>
        <w:gridCol w:w="1915"/>
        <w:gridCol w:w="1915"/>
        <w:gridCol w:w="1933"/>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Characteristic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DOAC(n=180)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ASA(n=180)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Overall (n=360)</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Hemoglobin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13.4 (1.6)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13.7 (1.6)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13.6 (1.6)</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Platelets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220.1 (61.7)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232.9 (67)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226.5 (64.7)</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Leukocytes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7.2 (6.1 - 8.6)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7.4 (6.5 - 8.7)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7.3 (6.3 - 8.7)</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International Normalized Ratio (INR)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 (0.1)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 (0.1)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 (0.1)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Sodium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139.5 (2.7)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139.6 (2.8)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139.6 (2.7)</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Potassium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4.1 (0.4)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 (0.4)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4.1 (0.4)</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ALT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25.3 (13.3)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27.6 (13.9)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26.4 (13.6)</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Cardiac troponin 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 (11.8 - 27.8)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 (11 - 28)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 (11 - 28)</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NT-proBNP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431 (216 - 815)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372 (177 - 779)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413 (197 - 812)</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GFR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73.6 (19.6)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76.3 (17.1)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75 (18.4)</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Glucose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6.8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6.8 (2.2)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6.8 (2.1)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Glycated haemoglobin (HbA1c)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42.2 (9.3)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 (9.9)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42.1 (9.6)</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Triglycerides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 (0.9)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 (0.7)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 (0.8)</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Missing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 (3.3%)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 (2.2%)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 (2.8%)</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Total cholesterol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 (1.1)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4.3 (1.1)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 (1.1)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HDL cholesterol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 (0.4)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 (0.5)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 (0.5)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LDL cholesterol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 (0.9)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 (0.9)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 (0.9)</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Creatinine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92.2 (46.8)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84.8 (29.4)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88.5 (39.2)</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Albumin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42.7 (3.8)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43 (2.8)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42.9 (3.3)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Missing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 (3.3%)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 (2.2%)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 (2.8%)</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Bilirubin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8.9 (4.5)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9.9 (5.6)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9.4 (5.1)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Missing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 (3.3%)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 (2.2%)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 (2.8%)</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CRP</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 (0.8 - 4)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 (0.7 - 3.3)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 (0.8 - 3.8)</w:t>
            </w:r>
          </w:p>
        </w:tc>
      </w:tr>
    </w:tbl>
    <w:bookmarkEnd w:id="27"/>
    <w:bookmarkStart w:id="28" w:name="Xc2e61d1ad8799e8cf2c384fe63b579af9a4db05"/>
    <w:p>
      <w:pPr>
        <w:pStyle w:val="Heading2"/>
      </w:pPr>
      <w:r>
        <w:t xml:space="preserve">Echocardiography pre-TAVI and at baseline</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Some echocardiography parameters pre-TAVI.</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4678"/>
        <w:gridCol w:w="1811"/>
        <w:gridCol w:w="1615"/>
        <w:gridCol w:w="1933"/>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Characteristic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DOAC(n=180)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ASA(n=180)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Overall (n=360)</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Aortic valve mean gradient (mmHg)</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49.4 (13)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49.8 (12.1)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49.6 (12.5)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LVOT (mm)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22.7 (1.8)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22.3 (1.9)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22.5 (1.9)</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Presence of low-flow low-gradient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 (5.6%)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 (5.3%)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Left ventricular ejection fraction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53.1 (7.9)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54.7 (8)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53.9 (8)</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Left ventricular global longitudinal strain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-15.2 (3.4)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-16.4 (8.8)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-15.8 (6.7)</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Stroke volume (mL)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83.8 (19.7)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87 (23.1)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85.4 (21.5)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Stroke volume index (mL per m^2)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42.1 (10)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43.5 (11.3)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42.8 (10.7)</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Aortic valvular area (cm^2)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 (0.2)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 (0.2)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 (0.2)</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Aortic valve regurgitation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116 (64.8%)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113 (62.8%)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229 (63.8%)</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Missing echocardiography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 (0%)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 (0%)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 (0%)</w:t>
            </w:r>
          </w:p>
        </w:tc>
      </w:tr>
    </w:tbl>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Some echocardiography parameters at baseline (post-TAVI).</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4678"/>
        <w:gridCol w:w="1811"/>
        <w:gridCol w:w="1615"/>
        <w:gridCol w:w="1933"/>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Characteristic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DOAC(n=180)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ASA(n=180)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Overall (n=360)</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Aortic valve mean gradient (mmHg)</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12.8 (4.7)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 (4.5)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12.9 (4.6)</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LVOT (mm)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21.2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21.1 (2)</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Presence of low-flow low-gradient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44 (24.9%)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 (16.9%)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74 (20.8%)</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Left ventricular ejection fraction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57.5 (9)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56.8 (9.7)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57.1 (9.4)</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Left ventricular global longitudinal strain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-15.6 (3.4)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-15.6 (3.4)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-15.6 (3.4)</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Stroke volume (mL)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79.5 (14.7)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82.7 (15.9)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81.1 (15.4)</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Stroke volume index (mL per m^2)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39.7 (6.7)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41.2 (7.2)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40.4 (7)</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Doppler velocity index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 (0.1)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 (0.1)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 (0.1)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Aortic valvular area (cm^2)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 (0.4)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 (0.4)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 (0.4)</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Aortic valve regurgitation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63 (35.2%)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62 (34.4%)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125 (34.8%)</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Missing echocardiography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60 (33.3%)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56 (31.1%)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116 (32.2%)</w:t>
            </w:r>
          </w:p>
        </w:tc>
      </w:tr>
    </w:tbl>
    <w:bookmarkEnd w:id="28"/>
    <w:bookmarkEnd w:id="29"/>
    <w:bookmarkStart w:id="40" w:name="primary-analyses-of-primary-endpoints"/>
    <w:p>
      <w:pPr>
        <w:pStyle w:val="Heading1"/>
      </w:pPr>
      <w:r>
        <w:t xml:space="preserve">Primary analyses of primary endpoints</w:t>
      </w:r>
    </w:p>
    <w:bookmarkStart w:id="32" w:name="co-primary-efficacy-endpoint-halt"/>
    <w:p>
      <w:pPr>
        <w:pStyle w:val="Heading2"/>
      </w:pPr>
      <w:r>
        <w:t xml:space="preserve">Co-primary efficacy endpoint (HALT)</w:t>
      </w:r>
    </w:p>
    <w:bookmarkStart w:id="30" w:name="descriptive-statistics"/>
    <w:p>
      <w:pPr>
        <w:pStyle w:val="Heading3"/>
      </w:pPr>
      <w:r>
        <w:t xml:space="preserve">Descriptive statistics</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Descriptive statistics for HALT (primary efficacy endpoint). Counts and proportions.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984"/>
        <w:gridCol w:w="1487"/>
        <w:gridCol w:w="1487"/>
        <w:gridCol w:w="1487"/>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Overall</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Missing HALT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No thickening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HALT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38 (23%)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37 (21.8%)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75 (22.4%)</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HALT &amp; Death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45 (26.2%)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 (24%)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87 (25.1%)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&lt;=25% of leaflet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37</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&gt;25-50 % of leaflet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&gt;50-75 % of lealet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&gt;75 % of leaflet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Death</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w:t>
            </w:r>
          </w:p>
        </w:tc>
      </w:tr>
    </w:tbl>
    <w:bookmarkEnd w:id="30"/>
    <w:bookmarkStart w:id="31" w:name="Xeff0e2a765a321156c12f1371b7369441726b75"/>
    <w:p>
      <w:pPr>
        <w:pStyle w:val="Heading3"/>
      </w:pPr>
      <w:r>
        <w:t xml:space="preserve">Unadjusted analysis with multiple imputation</w:t>
      </w:r>
    </w:p>
    <w:p>
      <w:pPr>
        <w:pStyle w:val="FirstParagraph"/>
      </w:pPr>
      <w:r>
        <w:t xml:space="preserve">The analysis model only uses the treatment variable and no other covariates.</w:t>
      </w:r>
    </w:p>
    <w:p>
      <w:pPr>
        <w:pStyle w:val="BodyText"/>
      </w:pPr>
      <w:r>
        <w:t xml:space="preserve">Multiple imputation with imputation model containing BMI, sodium, potassium,</w:t>
      </w:r>
      <w:r>
        <w:t xml:space="preserve"> </w:t>
      </w:r>
      <w:r>
        <w:t xml:space="preserve">ALT, triglycerides, albumin, and bilirubin.</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Estimated average unadjusted risk ratio, along with corresponding p-value and confidence interval.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670"/>
        <w:gridCol w:w="1242"/>
        <w:gridCol w:w="1120"/>
        <w:gridCol w:w="1328"/>
        <w:gridCol w:w="1414"/>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contrast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95CI_low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95CI_high</w:t>
            </w:r>
          </w:p>
        </w:tc>
      </w:tr>
      <w:tr>
        <w:trPr>
          <w:trHeight w:val="623" w:hRule="auto"/>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 / ASA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1.079</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0.684</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0.748</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1.556</w:t>
            </w:r>
          </w:p>
        </w:tc>
      </w:tr>
    </w:tbl>
    <w:p>
      <w:pPr>
        <w:pStyle w:val="BodyText"/>
      </w:pPr>
      <w:r>
        <w:t xml:space="preserve">We see from the table above that the null hypothesis of equality is not rejected.</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Estimated average unadjusted risk difference, along with corresponding confidence interval.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682"/>
        <w:gridCol w:w="1242"/>
        <w:gridCol w:w="1328"/>
        <w:gridCol w:w="1414"/>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contrast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95CI_low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95CI_high</w:t>
            </w:r>
          </w:p>
        </w:tc>
      </w:tr>
      <w:tr>
        <w:trPr>
          <w:trHeight w:val="623" w:hRule="auto"/>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 - ASA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0.019</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-0.073</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0.112</w:t>
            </w:r>
          </w:p>
        </w:tc>
      </w:tr>
    </w:tbl>
    <w:bookmarkEnd w:id="31"/>
    <w:bookmarkEnd w:id="32"/>
    <w:bookmarkStart w:id="38" w:name="co-primary-safety-endpoint"/>
    <w:p>
      <w:pPr>
        <w:pStyle w:val="Heading2"/>
      </w:pPr>
      <w:r>
        <w:t xml:space="preserve">Co-primary safety endpoint</w:t>
      </w:r>
    </w:p>
    <w:bookmarkStart w:id="36" w:name="descriptive-statistics-1"/>
    <w:p>
      <w:pPr>
        <w:pStyle w:val="Heading3"/>
      </w:pPr>
      <w:r>
        <w:t xml:space="preserve">Descriptive statistics</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Descriptive statistics for primary safety endpoint. Counts and proportions. The counts are the number of participants experiencing an event of a particular type as their *first* safety event. Some participants may experience more than one safety event.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159"/>
        <w:gridCol w:w="1364"/>
        <w:gridCol w:w="1364"/>
        <w:gridCol w:w="1181"/>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Overall</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Missing</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No safety events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322</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Safety events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 (9.7%)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 (8.4%)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32 (9%)</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bleeding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death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stroke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w:t>
            </w:r>
          </w:p>
        </w:tc>
      </w:tr>
    </w:tbl>
    <w:p>
      <w:pPr>
        <w:pStyle w:val="FirstParagraph"/>
      </w:pPr>
      <w:r>
        <w:rPr>
          <w:b/>
          <w:bCs/>
        </w:rPr>
        <w:t xml:space="preserve">Occurrence and timing of intercurrent events</w:t>
      </w:r>
    </w:p>
    <w:p>
      <w:pPr>
        <w:pStyle w:val="BodyText"/>
      </w:pPr>
      <w:r>
        <w:t xml:space="preserve">Out of 360 participants, 55 participants experience some form of treatment deviation, mostly switching between the two study drugs. All participants have the possibility to switch between study drugs. A few participants switch multiple times.</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Number of participants with treatment deviations.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108"/>
        <w:gridCol w:w="2796"/>
        <w:gridCol w:w="2502"/>
        <w:gridCol w:w="2441"/>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 change in study drug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Switching or stopping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Early discontinuation</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Overall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w:t>
            </w:r>
          </w:p>
        </w:tc>
      </w:tr>
    </w:tbl>
    <w:p>
      <w:pPr>
        <w:pStyle w:val="BodyText"/>
      </w:pPr>
      <w:r>
        <w:t xml:space="preserve">Out of the 32 safety events, 10 happen in participants that also switch between the treatments at some point. Among these 10 participants: 6 experience the safety event before switching, while 4 experience the safety event after their first switch.</w:t>
      </w:r>
    </w:p>
    <w:p>
      <w:pPr>
        <w:pStyle w:val="CaptionedFigure"/>
      </w:pPr>
      <w:r>
        <w:drawing>
          <wp:inline>
            <wp:extent cx="5334000" cy="3556000"/>
            <wp:effectExtent b="0" l="0" r="0" t="0"/>
            <wp:docPr descr="Timing of safety events and/or treatment deviations. Some participants switch between drugs multiple times and in those cases the figure gives the timing of the first switch." title="" id="34" name="Picture"/>
            <a:graphic>
              <a:graphicData uri="http://schemas.openxmlformats.org/drawingml/2006/picture">
                <pic:pic>
                  <pic:nvPicPr>
                    <pic:cNvPr descr="report_acasatavi_sham_files/report_acasatavi_sham_files/figure-docx/unnamed-chunk-24-1.png" id="35" name="Picture"/>
                    <pic:cNvPicPr>
                      <a:picLocks noChangeArrowheads="1" noChangeAspect="1"/>
                    </pic:cNvPicPr>
                  </pic:nvPicPr>
                  <pic:blipFill>
                    <a:blip r:embed="rId33"/>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Timing of safety events and/or treatment deviations. Some participants switch between drugs multiple times and in those cases the figure gives the timing of the first switch.</w:t>
      </w:r>
    </w:p>
    <w:p>
      <w:pPr>
        <w:pStyle w:val="BodyText"/>
      </w:pPr>
      <w:r>
        <w:t xml:space="preserve">In this figure there are 77 participants, including 32 participants experiencing the safety event, and 55 participants with treatment deviations (10 participants are part of both groups).</w:t>
      </w:r>
    </w:p>
    <w:bookmarkEnd w:id="36"/>
    <w:bookmarkStart w:id="37" w:name="Xad32f816d2c10318ff509d7f9d1dbd6f53aea5f"/>
    <w:p>
      <w:pPr>
        <w:pStyle w:val="Heading3"/>
      </w:pPr>
      <w:r>
        <w:t xml:space="preserve">Adjusted analysis with multiple imputation, treatment policy strategy</w:t>
      </w:r>
    </w:p>
    <w:p>
      <w:pPr>
        <w:pStyle w:val="BlockText"/>
      </w:pPr>
      <w:r>
        <w:t xml:space="preserve">Should I show diagnostics of the imputation?</w:t>
      </w:r>
    </w:p>
    <w:p>
      <w:pPr>
        <w:pStyle w:val="FirstParagraph"/>
      </w:pPr>
      <w:r>
        <w:t xml:space="preserve">Covariates in the analysis model: treatment, age, sex, cad, prev_stroke, diabetes, hypertension, GFR</w:t>
      </w:r>
    </w:p>
    <w:p>
      <w:pPr>
        <w:pStyle w:val="BodyText"/>
      </w:pPr>
      <w:r>
        <w:t xml:space="preserve">Multiple imputation with imputation model containing the same covariates.</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Estimated average adjusted risk difference, along with corresponding confidence interval.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682"/>
        <w:gridCol w:w="1242"/>
        <w:gridCol w:w="1328"/>
        <w:gridCol w:w="1414"/>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contrast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95CI_low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95CI_high</w:t>
            </w:r>
          </w:p>
        </w:tc>
      </w:tr>
      <w:tr>
        <w:trPr>
          <w:trHeight w:val="623" w:hRule="auto"/>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 - ASA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0.012</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-0.048</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0.072</w:t>
            </w:r>
          </w:p>
        </w:tc>
      </w:tr>
    </w:tbl>
    <w:p>
      <w:pPr>
        <w:pStyle w:val="BodyText"/>
      </w:pPr>
      <w:r>
        <w:t xml:space="preserve">We see from the table above that the null hypothesis of inferiority is rejected.</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Estimated average adjusted risk ratio, along with corresponding confidence interval.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670"/>
        <w:gridCol w:w="1242"/>
        <w:gridCol w:w="1328"/>
        <w:gridCol w:w="1414"/>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contrast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95CI_low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95CI_high</w:t>
            </w:r>
          </w:p>
        </w:tc>
      </w:tr>
      <w:tr>
        <w:trPr>
          <w:trHeight w:val="623" w:hRule="auto"/>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 / ASA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1.141</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0.588</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2.214</w:t>
            </w:r>
          </w:p>
        </w:tc>
      </w:tr>
    </w:tbl>
    <w:bookmarkEnd w:id="37"/>
    <w:bookmarkEnd w:id="38"/>
    <w:bookmarkStart w:id="39" w:name="overall-conclusions"/>
    <w:p>
      <w:pPr>
        <w:pStyle w:val="Heading2"/>
      </w:pPr>
      <w:r>
        <w:t xml:space="preserve">Overall conclusions</w:t>
      </w:r>
    </w:p>
    <w:p>
      <w:pPr>
        <w:pStyle w:val="FirstParagraph"/>
      </w:pPr>
      <w:r>
        <w:t xml:space="preserve">Study is inconclusive.</w:t>
      </w:r>
    </w:p>
    <w:bookmarkEnd w:id="39"/>
    <w:bookmarkEnd w:id="40"/>
    <w:bookmarkStart w:id="43" w:name="Xbd5990cdb38e340999cd7cea1320ade26a82512"/>
    <w:p>
      <w:pPr>
        <w:pStyle w:val="Heading1"/>
      </w:pPr>
      <w:r>
        <w:t xml:space="preserve">Sensitivity analyses of primary endpoints</w:t>
      </w:r>
    </w:p>
    <w:bookmarkStart w:id="41" w:name="halt"/>
    <w:p>
      <w:pPr>
        <w:pStyle w:val="Heading2"/>
      </w:pPr>
      <w:r>
        <w:t xml:space="preserve">HALT</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Co-primary efficacy: results of primary analysis and 3 sensitivity analyses. Estimated average risk ratios, along with corresponding confidence intervals. MI stands for Mulitple Imputation.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285"/>
        <w:gridCol w:w="1242"/>
        <w:gridCol w:w="1328"/>
        <w:gridCol w:w="1414"/>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95CI_low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95CI_high</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primary analysis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1.079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0.748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1.556</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 adjusted, with MI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1.358</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 unadjusted, complete-case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1.569</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 unadjusted, worst-case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1.128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0.807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1.575</w:t>
            </w:r>
          </w:p>
        </w:tc>
      </w:tr>
    </w:tbl>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Co-primary efficacy: results of primary analysis and 3 sensitivity analyses. Estimated average risk differences, along with corresponding confidence intervals. MI stands for Mulitple Imputation.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285"/>
        <w:gridCol w:w="1242"/>
        <w:gridCol w:w="1328"/>
        <w:gridCol w:w="1414"/>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95CI_low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95CI_high</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primary analysis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0.019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-0.073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0.112</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 adjusted, with MI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0.077</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 unadjusted, complete-case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0.113</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 unadjusted, worst-case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0.033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-0.059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0.126</w:t>
            </w:r>
          </w:p>
        </w:tc>
      </w:tr>
    </w:tbl>
    <w:bookmarkEnd w:id="41"/>
    <w:bookmarkStart w:id="42" w:name="safety-composite"/>
    <w:p>
      <w:pPr>
        <w:pStyle w:val="Heading2"/>
      </w:pPr>
      <w:r>
        <w:t xml:space="preserve">Safety composite</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Co-primary safety: results of primary analysis and 3 sensitivity analyses. Estimated average risk differences, along with corresponding confidence intervals. MI stands for Mulitple Imputation.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040"/>
        <w:gridCol w:w="1242"/>
        <w:gridCol w:w="1328"/>
        <w:gridCol w:w="1414"/>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95CI_low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95CI_high</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primary analysis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0.012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-0.048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0.072</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 unadjusted, with MI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0.072</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 adjusted, complete-case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0.072</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 adjusted, worst-case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0.019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-0.044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0.083</w:t>
            </w:r>
          </w:p>
        </w:tc>
      </w:tr>
    </w:tbl>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Co-primary safety: results of primary analysis and 3 sensitivity analyses. Estimated average risk ratios, along with corresponding confidence intervals. MI stands for Mulitple Imputation.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040"/>
        <w:gridCol w:w="1242"/>
        <w:gridCol w:w="1328"/>
        <w:gridCol w:w="1414"/>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95CI_low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95CI_high</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primary analysis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1.141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0.588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2.214</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 unadjusted, with MI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0.587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2.217</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 adjusted, complete-case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0.590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2.215</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 adjusted, worst-case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1.202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2.197</w:t>
            </w:r>
          </w:p>
        </w:tc>
      </w:tr>
    </w:tbl>
    <w:p>
      <w:pPr>
        <w:pStyle w:val="FirstParagraph"/>
      </w:pPr>
      <w:r>
        <w:t xml:space="preserve">For the fourth sensitivity analysis we re-do the non-inferiority hypothesis test, but using the risk ratio and a non-inferiority margin of 1.35. We see from the table above that this null hypothesis of inferiority is not rejected.</w:t>
      </w:r>
    </w:p>
    <w:bookmarkEnd w:id="42"/>
    <w:bookmarkEnd w:id="43"/>
    <w:bookmarkStart w:id="48" w:name="Xc54106fb61944f972ace81befa33804c50b17f5"/>
    <w:p>
      <w:pPr>
        <w:pStyle w:val="Heading1"/>
      </w:pPr>
      <w:r>
        <w:t xml:space="preserve">Supplementary analyses of primary endpoints</w:t>
      </w:r>
    </w:p>
    <w:bookmarkStart w:id="44" w:name="halt-hypothetical-strategy-for-death"/>
    <w:p>
      <w:pPr>
        <w:pStyle w:val="Heading2"/>
      </w:pPr>
      <w:r>
        <w:t xml:space="preserve">HALT: hypothetical strategy for death</w:t>
      </w:r>
    </w:p>
    <w:p>
      <w:pPr>
        <w:pStyle w:val="FirstParagraph"/>
      </w:pPr>
      <w:r>
        <w:t xml:space="preserve">The analysis model only uses the treatment variable and no other covariates.</w:t>
      </w:r>
    </w:p>
    <w:p>
      <w:pPr>
        <w:pStyle w:val="BodyText"/>
      </w:pPr>
      <w:r>
        <w:t xml:space="preserve">Multiple imputation with imputation model containing BMI, sodium, potassium,</w:t>
      </w:r>
      <w:r>
        <w:t xml:space="preserve"> </w:t>
      </w:r>
      <w:r>
        <w:t xml:space="preserve">ALT, triglycerides, albumin, and bilirubin.</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Estimated average unadjusted risk ratio, along with corresponding p-value and confidence interval.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670"/>
        <w:gridCol w:w="1242"/>
        <w:gridCol w:w="1120"/>
        <w:gridCol w:w="1328"/>
        <w:gridCol w:w="1414"/>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contrast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95CI_low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95CI_high</w:t>
            </w:r>
          </w:p>
        </w:tc>
      </w:tr>
      <w:tr>
        <w:trPr>
          <w:trHeight w:val="623" w:hRule="auto"/>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 / ASA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1.061</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0.770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0.712</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1.582</w:t>
            </w:r>
          </w:p>
        </w:tc>
      </w:tr>
    </w:tbl>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Estimated average unadjusted risk difference, along with corresponding confidence interval.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682"/>
        <w:gridCol w:w="1242"/>
        <w:gridCol w:w="1328"/>
        <w:gridCol w:w="1414"/>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contrast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95CI_low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95CI_high</w:t>
            </w:r>
          </w:p>
        </w:tc>
      </w:tr>
      <w:tr>
        <w:trPr>
          <w:trHeight w:val="623" w:hRule="auto"/>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 - ASA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0.014</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-0.077</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0.105</w:t>
            </w:r>
          </w:p>
        </w:tc>
      </w:tr>
    </w:tbl>
    <w:bookmarkEnd w:id="44"/>
    <w:bookmarkStart w:id="45" w:name="X7c1ace1a927a3f761d440677b7dba267ee042a6"/>
    <w:p>
      <w:pPr>
        <w:pStyle w:val="Heading2"/>
      </w:pPr>
      <w:r>
        <w:t xml:space="preserve">Safety composite: hypothetical strategy for treatment deviations</w:t>
      </w:r>
    </w:p>
    <w:p>
      <w:pPr>
        <w:pStyle w:val="FirstParagraph"/>
      </w:pPr>
      <w:r>
        <w:t xml:space="preserve">to do</w:t>
      </w:r>
    </w:p>
    <w:bookmarkEnd w:id="45"/>
    <w:bookmarkStart w:id="46" w:name="X5345fc554ea0acb8bd4169ca35d7f3548695875"/>
    <w:p>
      <w:pPr>
        <w:pStyle w:val="Heading2"/>
      </w:pPr>
      <w:r>
        <w:t xml:space="preserve">Safety compositet: composite strategy for treatment deviations</w:t>
      </w:r>
    </w:p>
    <w:p>
      <w:pPr>
        <w:pStyle w:val="FirstParagraph"/>
      </w:pPr>
      <w:r>
        <w:t xml:space="preserve">With this strategy we still have 360 observations, but now we have 77 safety events.</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Estimated average adjusted risk difference, along with corresponding confidence interval.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682"/>
        <w:gridCol w:w="1242"/>
        <w:gridCol w:w="1328"/>
        <w:gridCol w:w="1414"/>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contrast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95CI_low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95CI_high</w:t>
            </w:r>
          </w:p>
        </w:tc>
      </w:tr>
      <w:tr>
        <w:trPr>
          <w:trHeight w:val="623" w:hRule="auto"/>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 - ASA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-0.017</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-0.101</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0.067</w:t>
            </w:r>
          </w:p>
        </w:tc>
      </w:tr>
    </w:tbl>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Estimated average adjusted risk ratio, along with corresponding p-value and confidence interval.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670"/>
        <w:gridCol w:w="1242"/>
        <w:gridCol w:w="1120"/>
        <w:gridCol w:w="1328"/>
        <w:gridCol w:w="1414"/>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contrast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95CI_low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95CI_high</w:t>
            </w:r>
          </w:p>
        </w:tc>
      </w:tr>
      <w:tr>
        <w:trPr>
          <w:trHeight w:val="623" w:hRule="auto"/>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 / ASA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0.923</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0.689</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0.623</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1.367</w:t>
            </w:r>
          </w:p>
        </w:tc>
      </w:tr>
    </w:tbl>
    <w:bookmarkEnd w:id="46"/>
    <w:bookmarkStart w:id="47" w:name="X585b22aa3a9d3c99c3ea5a6e8a666301dea19e5"/>
    <w:p>
      <w:pPr>
        <w:pStyle w:val="Heading2"/>
      </w:pPr>
      <w:r>
        <w:t xml:space="preserve">Safety composite: primary strata strategy for treatment deviations</w:t>
      </w:r>
    </w:p>
    <w:p>
      <w:pPr>
        <w:pStyle w:val="FirstParagraph"/>
      </w:pPr>
      <w:r>
        <w:t xml:space="preserve">With this strategy we now have 305 observations and 22 safety events.</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Estimated average adjusted risk difference, along with corresponding confidence interval.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682"/>
        <w:gridCol w:w="1242"/>
        <w:gridCol w:w="1328"/>
        <w:gridCol w:w="1414"/>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contrast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95CI_low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95CI_high</w:t>
            </w:r>
          </w:p>
        </w:tc>
      </w:tr>
      <w:tr>
        <w:trPr>
          <w:trHeight w:val="623" w:hRule="auto"/>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 - ASA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-0.015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-0.073</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0.044</w:t>
            </w:r>
          </w:p>
        </w:tc>
      </w:tr>
    </w:tbl>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Estimated average adjusted risk ratio, along with corresponding p-value and confidence interval.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670"/>
        <w:gridCol w:w="1242"/>
        <w:gridCol w:w="1120"/>
        <w:gridCol w:w="1328"/>
        <w:gridCol w:w="1414"/>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contrast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95CI_low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95CI_high</w:t>
            </w:r>
          </w:p>
        </w:tc>
      </w:tr>
      <w:tr>
        <w:trPr>
          <w:trHeight w:val="623" w:hRule="auto"/>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 / ASA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0.817</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0.625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0.364</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1.834</w:t>
            </w:r>
          </w:p>
        </w:tc>
      </w:tr>
    </w:tbl>
    <w:bookmarkEnd w:id="47"/>
    <w:bookmarkEnd w:id="48"/>
    <w:bookmarkStart w:id="55" w:name="key-secondary-endpoints"/>
    <w:p>
      <w:pPr>
        <w:pStyle w:val="Heading1"/>
      </w:pPr>
      <w:r>
        <w:t xml:space="preserve">Key secondary endpoints</w:t>
      </w:r>
    </w:p>
    <w:bookmarkStart w:id="49" w:name="clinical-efficacy"/>
    <w:p>
      <w:pPr>
        <w:pStyle w:val="Heading2"/>
      </w:pPr>
      <w:r>
        <w:t xml:space="preserve">Clinical efficacy</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Descriptive statistics for clinical efficacy composite by treatment arms and overall. Counts and proportions.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265"/>
        <w:gridCol w:w="1046"/>
        <w:gridCol w:w="1034"/>
        <w:gridCol w:w="1108"/>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Overall</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Missing</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composite=0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89</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death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hospitalisation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67</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KCCQ &lt; 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decline in KCCQ &gt; 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composite=1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258</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composite=1, %</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74.1%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74.6%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74.4%</w:t>
            </w:r>
          </w:p>
        </w:tc>
      </w:tr>
    </w:tbl>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Estimated average risk difference, along with corresponding confidence interval.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682"/>
        <w:gridCol w:w="1242"/>
        <w:gridCol w:w="1328"/>
        <w:gridCol w:w="1414"/>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contrast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95CI_low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95CI_high</w:t>
            </w:r>
          </w:p>
        </w:tc>
      </w:tr>
      <w:tr>
        <w:trPr>
          <w:trHeight w:val="623" w:hRule="auto"/>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 - ASA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-0.008</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-0.100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0.083</w:t>
            </w:r>
          </w:p>
        </w:tc>
      </w:tr>
    </w:tbl>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Estimated average risk ratio, along with corresponding confidence interval.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670"/>
        <w:gridCol w:w="1242"/>
        <w:gridCol w:w="1328"/>
        <w:gridCol w:w="1414"/>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contrast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95CI_low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95CI_high</w:t>
            </w:r>
          </w:p>
        </w:tc>
      </w:tr>
      <w:tr>
        <w:trPr>
          <w:trHeight w:val="623" w:hRule="auto"/>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 / ASA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0.989</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0.874</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1.118</w:t>
            </w:r>
          </w:p>
        </w:tc>
      </w:tr>
    </w:tbl>
    <w:bookmarkEnd w:id="49"/>
    <w:bookmarkStart w:id="50" w:name="thromboembolic-events"/>
    <w:p>
      <w:pPr>
        <w:pStyle w:val="Heading2"/>
      </w:pPr>
      <w:r>
        <w:t xml:space="preserve">Thromboembolic events</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Descriptive statistics for thromboembolic events by treatment arms and overall. Counts and proportions.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076"/>
        <w:gridCol w:w="1046"/>
        <w:gridCol w:w="912"/>
        <w:gridCol w:w="1108"/>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Overall</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Missing</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 thromboembolic event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336</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With thromboembolic event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events, %</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3.4%</w:t>
            </w:r>
          </w:p>
        </w:tc>
      </w:tr>
    </w:tbl>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Estimated risk difference, along with corresponding confidence interval.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682"/>
        <w:gridCol w:w="1242"/>
        <w:gridCol w:w="1328"/>
        <w:gridCol w:w="1414"/>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contrast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95CI_low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95CI_high</w:t>
            </w:r>
          </w:p>
        </w:tc>
      </w:tr>
      <w:tr>
        <w:trPr>
          <w:trHeight w:val="623" w:hRule="auto"/>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 - ASA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-0.042</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0.042</w:t>
            </w:r>
          </w:p>
        </w:tc>
      </w:tr>
    </w:tbl>
    <w:bookmarkEnd w:id="50"/>
    <w:bookmarkStart w:id="51" w:name="bleeding-events"/>
    <w:p>
      <w:pPr>
        <w:pStyle w:val="Heading2"/>
      </w:pPr>
      <w:r>
        <w:t xml:space="preserve">Bleeding events</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Descriptive statistics for VARC-3 bleeding events by treatment arms and overall. Counts and proportions.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138"/>
        <w:gridCol w:w="1046"/>
        <w:gridCol w:w="912"/>
        <w:gridCol w:w="1108"/>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Overall</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Missing</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 bleeding events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341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VARC-3 bleeding events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Type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Type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Type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Type 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VARC-3 bleeding events, %</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3.1%</w:t>
            </w:r>
          </w:p>
        </w:tc>
      </w:tr>
    </w:tbl>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Estimated risk difference, along with corresponding confidence interval.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682"/>
        <w:gridCol w:w="1242"/>
        <w:gridCol w:w="1328"/>
        <w:gridCol w:w="1414"/>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contrast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95CI_low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95CI_high</w:t>
            </w:r>
          </w:p>
        </w:tc>
      </w:tr>
      <w:tr>
        <w:trPr>
          <w:trHeight w:val="623" w:hRule="auto"/>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 - ASA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0.017</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-0.022</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0.058</w:t>
            </w:r>
          </w:p>
        </w:tc>
      </w:tr>
    </w:tbl>
    <w:bookmarkEnd w:id="51"/>
    <w:bookmarkStart w:id="52" w:name="all-cause-mortality"/>
    <w:p>
      <w:pPr>
        <w:pStyle w:val="Heading2"/>
      </w:pPr>
      <w:r>
        <w:t xml:space="preserve">All-cause mortality</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Descriptive statistics for deaths by treatment arms and overall. Counts and proportions.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4580"/>
        <w:gridCol w:w="1046"/>
        <w:gridCol w:w="912"/>
        <w:gridCol w:w="1108"/>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Overall</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Missing</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Alive at end-of-study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348</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Deaths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Deaths from cardiovascular causes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Deaths, %</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3.3%</w:t>
            </w:r>
          </w:p>
        </w:tc>
      </w:tr>
    </w:tbl>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Estimated risk difference, along with corresponding confidence interval.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682"/>
        <w:gridCol w:w="1242"/>
        <w:gridCol w:w="1328"/>
        <w:gridCol w:w="1414"/>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contrast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95CI_low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95CI_high</w:t>
            </w:r>
          </w:p>
        </w:tc>
      </w:tr>
      <w:tr>
        <w:trPr>
          <w:trHeight w:val="623" w:hRule="auto"/>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 - ASA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0.011</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-0.030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0.053</w:t>
            </w:r>
          </w:p>
        </w:tc>
      </w:tr>
    </w:tbl>
    <w:bookmarkEnd w:id="52"/>
    <w:bookmarkStart w:id="53" w:name="hemodynamic-valve-deterioration"/>
    <w:p>
      <w:pPr>
        <w:pStyle w:val="Heading2"/>
      </w:pPr>
      <w:r>
        <w:t xml:space="preserve">Hemodynamic valve deterioration</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Descriptive statistics for HVD by treatment arms and overall. Counts and proportions.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587"/>
        <w:gridCol w:w="1046"/>
        <w:gridCol w:w="1034"/>
        <w:gridCol w:w="1108"/>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Overall</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Missing</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 HVD (stage 0 or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289</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Stage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64</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HVD (stage 2 or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46</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Stage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HVD (stage 2 or 3),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13.7%</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HVD and death, %</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16.7%</w:t>
            </w:r>
          </w:p>
        </w:tc>
      </w:tr>
    </w:tbl>
    <w:p>
      <w:pPr>
        <w:pStyle w:val="FirstParagraph"/>
      </w:pPr>
      <w:r>
        <w:t xml:space="preserve">As, we see in the table above, no participant has HVD of stage 3.</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Estimated average risk difference, along with corresponding confidence interval.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682"/>
        <w:gridCol w:w="1242"/>
        <w:gridCol w:w="1328"/>
        <w:gridCol w:w="1414"/>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contrast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95CI_low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95CI_high</w:t>
            </w:r>
          </w:p>
        </w:tc>
      </w:tr>
      <w:tr>
        <w:trPr>
          <w:trHeight w:val="623" w:hRule="auto"/>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 - ASA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0.023</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-0.056</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0.102</w:t>
            </w:r>
          </w:p>
        </w:tc>
      </w:tr>
    </w:tbl>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Estimated average risk ratio, along with corresponding confidence interval.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670"/>
        <w:gridCol w:w="1242"/>
        <w:gridCol w:w="1328"/>
        <w:gridCol w:w="1414"/>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contrast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95CI_low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95CI_high</w:t>
            </w:r>
          </w:p>
        </w:tc>
      </w:tr>
      <w:tr>
        <w:trPr>
          <w:trHeight w:val="623" w:hRule="auto"/>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 / ASA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1.149</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0.714</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1.850</w:t>
            </w:r>
          </w:p>
        </w:tc>
      </w:tr>
    </w:tbl>
    <w:bookmarkEnd w:id="53"/>
    <w:bookmarkStart w:id="54" w:name="safety-composite-with-tia"/>
    <w:p>
      <w:pPr>
        <w:pStyle w:val="Heading2"/>
      </w:pPr>
      <w:r>
        <w:t xml:space="preserve">Safety composite with TIA</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Descriptive statistics for safety composite including TIA by treatment arms and overall. Counts and proportions.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062"/>
        <w:gridCol w:w="1046"/>
        <w:gridCol w:w="1034"/>
        <w:gridCol w:w="1108"/>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Overall</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Missing</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 safety events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314</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Safety events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bleeding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death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stroke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Safety events, %</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11.3%</w:t>
            </w:r>
          </w:p>
        </w:tc>
      </w:tr>
    </w:tbl>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Estimated average adjusted risk difference, along with corresponding confidence interval.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682"/>
        <w:gridCol w:w="1242"/>
        <w:gridCol w:w="1328"/>
        <w:gridCol w:w="1414"/>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contrast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95CI_low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95CI_high</w:t>
            </w:r>
          </w:p>
        </w:tc>
      </w:tr>
      <w:tr>
        <w:trPr>
          <w:trHeight w:val="623" w:hRule="auto"/>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 - ASA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0.011</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-0.055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0.077</w:t>
            </w:r>
          </w:p>
        </w:tc>
      </w:tr>
    </w:tbl>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Estimated average adjusted risk ratio, along with corresponding confidence interval.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670"/>
        <w:gridCol w:w="1242"/>
        <w:gridCol w:w="1328"/>
        <w:gridCol w:w="1414"/>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contrast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95CI_low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95CI_high</w:t>
            </w:r>
          </w:p>
        </w:tc>
      </w:tr>
      <w:tr>
        <w:trPr>
          <w:trHeight w:val="623" w:hRule="auto"/>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 / ASA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1.104</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0.615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1.983</w:t>
            </w:r>
          </w:p>
        </w:tc>
      </w:tr>
    </w:tbl>
    <w:bookmarkEnd w:id="54"/>
    <w:bookmarkEnd w:id="55"/>
    <w:bookmarkStart w:id="56" w:name="secondary-safety-endpoints"/>
    <w:p>
      <w:pPr>
        <w:pStyle w:val="Heading1"/>
      </w:pPr>
      <w:r>
        <w:t xml:space="preserve">Secondary safety endpoints</w:t>
      </w:r>
    </w:p>
    <w:bookmarkEnd w:id="56"/>
    <w:bookmarkStart w:id="65" w:name="sub-group-analyses"/>
    <w:p>
      <w:pPr>
        <w:pStyle w:val="Heading1"/>
      </w:pPr>
      <w:r>
        <w:t xml:space="preserve">Sub-group analyses</w:t>
      </w:r>
    </w:p>
    <w:bookmarkStart w:id="60" w:name="halt-1"/>
    <w:p>
      <w:pPr>
        <w:pStyle w:val="Heading2"/>
      </w:pPr>
      <w:r>
        <w:t xml:space="preserve">HALT</w:t>
      </w:r>
    </w:p>
    <w:p>
      <w:pPr>
        <w:pStyle w:val="FirstParagraph"/>
      </w:pPr>
      <w:r>
        <w:t xml:space="preserve">These analyses use the treatment variable, the subgroup factor, their interaction, and no other covariates.</w:t>
      </w:r>
    </w:p>
    <w:p>
      <w:pPr>
        <w:pStyle w:val="BodyText"/>
      </w:pPr>
      <w:r>
        <w:t xml:space="preserve">Multiple imputation with imputation model containing BMI, sodium, potassium,</w:t>
      </w:r>
      <w:r>
        <w:t xml:space="preserve"> </w:t>
      </w:r>
      <w:r>
        <w:t xml:space="preserve">ALT, triglycerides, albumin, and bilirubin.</w:t>
      </w:r>
    </w:p>
    <w:p>
      <w:pPr>
        <w:pStyle w:val="CaptionedFigure"/>
      </w:pPr>
      <w:r>
        <w:drawing>
          <wp:inline>
            <wp:extent cx="5334000" cy="3200400"/>
            <wp:effectExtent b="0" l="0" r="0" t="0"/>
            <wp:docPr descr="Forest plot of subgroup analyses for HALT." title="" id="58" name="Picture"/>
            <a:graphic>
              <a:graphicData uri="http://schemas.openxmlformats.org/drawingml/2006/picture">
                <pic:pic>
                  <pic:nvPicPr>
                    <pic:cNvPr descr="report_acasatavi_sham_files/markdown_figs/subgroupsHALT-1.png" id="59" name="Picture"/>
                    <pic:cNvPicPr>
                      <a:picLocks noChangeArrowheads="1" noChangeAspect="1"/>
                    </pic:cNvPicPr>
                  </pic:nvPicPr>
                  <pic:blipFill>
                    <a:blip r:embed="rId57"/>
                    <a:stretch>
                      <a:fillRect/>
                    </a:stretch>
                  </pic:blipFill>
                  <pic:spPr bwMode="auto">
                    <a:xfrm>
                      <a:off x="0" y="0"/>
                      <a:ext cx="5334000" cy="3200400"/>
                    </a:xfrm>
                    <a:prstGeom prst="rect">
                      <a:avLst/>
                    </a:prstGeom>
                    <a:noFill/>
                    <a:ln w="9525">
                      <a:noFill/>
                      <a:headEnd/>
                      <a:tailEnd/>
                    </a:ln>
                  </pic:spPr>
                </pic:pic>
              </a:graphicData>
            </a:graphic>
          </wp:inline>
        </w:drawing>
      </w:r>
    </w:p>
    <w:p>
      <w:pPr>
        <w:pStyle w:val="ImageCaption"/>
      </w:pPr>
      <w:r>
        <w:t xml:space="preserve">Forest plot of subgroup analyses for HALT.</w:t>
      </w:r>
    </w:p>
    <w:p>
      <w:pPr>
        <w:pStyle w:val="BodyText"/>
      </w:pPr>
      <w:r>
        <w:t xml:space="preserve">Subgroups with few participants may get confidence intervals which are too wide to show in the figure above. In those case, check the tables below.</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Age subgroups and HALT. Estimated average unadjusted risk ratio, along with corresponding confidence interval.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670"/>
        <w:gridCol w:w="973"/>
        <w:gridCol w:w="1242"/>
        <w:gridCol w:w="1328"/>
        <w:gridCol w:w="1414"/>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contrast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age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95CI_low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95CI_high</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 / ASA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&lt;75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0.977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0.563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1.694</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 / ASA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&gt;= 75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0.735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1.956</w:t>
            </w:r>
          </w:p>
        </w:tc>
      </w:tr>
    </w:tbl>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Sex and HALT. Estimated average unadjusted risk ratio, along with corresponding confidence interval.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670"/>
        <w:gridCol w:w="1144"/>
        <w:gridCol w:w="1242"/>
        <w:gridCol w:w="1328"/>
        <w:gridCol w:w="1414"/>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contrast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sex</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95CI_low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95CI_high</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 / ASA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Male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1.079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0.661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1.760</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 / ASA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Female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1.113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0.653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1.897</w:t>
            </w:r>
          </w:p>
        </w:tc>
      </w:tr>
    </w:tbl>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Diabetes and HALT. Estimated average unadjusted risk ratio, along with corresponding confidence interval.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670"/>
        <w:gridCol w:w="1242"/>
        <w:gridCol w:w="1242"/>
        <w:gridCol w:w="1328"/>
        <w:gridCol w:w="1414"/>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contrast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diabetes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95CI_low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95CI_high</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 / ASA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1.132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0.740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1.732</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 / ASA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0.997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0.486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2.044</w:t>
            </w:r>
          </w:p>
        </w:tc>
      </w:tr>
    </w:tbl>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Hypertension and HALT. Estimated average unadjusted risk ratio, along with corresponding confidence interval.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670"/>
        <w:gridCol w:w="1670"/>
        <w:gridCol w:w="1242"/>
        <w:gridCol w:w="1328"/>
        <w:gridCol w:w="1414"/>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contrast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hypertension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95CI_low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95CI_high</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 / ASA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1.462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0.763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2.800</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 / ASA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0.931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0.589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1.470</w:t>
            </w:r>
          </w:p>
        </w:tc>
      </w:tr>
    </w:tbl>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Renal function and HALT. Estimated average unadjusted risk ratio, along with corresponding confidence interval.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670"/>
        <w:gridCol w:w="1732"/>
        <w:gridCol w:w="1242"/>
        <w:gridCol w:w="1328"/>
        <w:gridCol w:w="1414"/>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contrast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renal function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95CI_low</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95CI_high</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 / ASA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impaired</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0.512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0.048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5.473</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 / ASA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preserved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1.116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0.773</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1.611</w:t>
            </w:r>
          </w:p>
        </w:tc>
      </w:tr>
    </w:tbl>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Valve type and HALT. Estimated average unadjusted risk ratio, along with corresponding confidence interval.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670"/>
        <w:gridCol w:w="2184"/>
        <w:gridCol w:w="1242"/>
        <w:gridCol w:w="1328"/>
        <w:gridCol w:w="1414"/>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contrast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valve type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95CI_low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95CI_high</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 / ASA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Balloon-expanded</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0.974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0.626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1.514</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 / ASA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Self-expandable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1.384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0.727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2.638</w:t>
            </w:r>
          </w:p>
        </w:tc>
      </w:tr>
    </w:tbl>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Post-dilatation and HALT. Estimated average unadjusted risk ratio, along with corresponding confidence interval.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670"/>
        <w:gridCol w:w="1780"/>
        <w:gridCol w:w="1242"/>
        <w:gridCol w:w="1328"/>
        <w:gridCol w:w="1414"/>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contrast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post-dilatation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95CI_low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95CI_high</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 / ASA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1.010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0.686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1.486</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 / ASA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1.937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0.634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5.914</w:t>
            </w:r>
          </w:p>
        </w:tc>
      </w:tr>
    </w:tbl>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Ascending aorta diameter and HALT. Estimated average unadjusted risk ratio, along with corresponding confidence interval.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670"/>
        <w:gridCol w:w="2575"/>
        <w:gridCol w:w="1242"/>
        <w:gridCol w:w="1328"/>
        <w:gridCol w:w="1414"/>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contrast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ascending aorta diam.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estimate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95CI_low</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95CI_high</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 / ASA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&lt;30 mm</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0.917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0.542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1.554</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 / ASA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&gt;= 30 mm</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1.247</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0.740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2.101</w:t>
            </w:r>
          </w:p>
        </w:tc>
      </w:tr>
    </w:tbl>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Frailty and HALT. Estimated average unadjusted risk ratio, along with corresponding confidence interval.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670"/>
        <w:gridCol w:w="1523"/>
        <w:gridCol w:w="1242"/>
        <w:gridCol w:w="1328"/>
        <w:gridCol w:w="1414"/>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contrast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frailty index</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95CI_low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95CI_high</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 / ASA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robust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0.877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0.506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1.521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 / ASA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pre-frail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4.209</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 / ASA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missing</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0.918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0.460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1.834</w:t>
            </w:r>
          </w:p>
        </w:tc>
      </w:tr>
    </w:tbl>
    <w:bookmarkEnd w:id="60"/>
    <w:bookmarkStart w:id="64" w:name="safety-composite-1"/>
    <w:p>
      <w:pPr>
        <w:pStyle w:val="Heading2"/>
      </w:pPr>
      <w:r>
        <w:t xml:space="preserve">Safety composite</w:t>
      </w:r>
    </w:p>
    <w:p>
      <w:pPr>
        <w:pStyle w:val="FirstParagraph"/>
      </w:pPr>
      <w:r>
        <w:t xml:space="preserve">These analyses use the treatment variable, the subgroup factor, their interaction, and covariates age, sex, cad, prev_stroke, diabetes, hypertension, GFR.</w:t>
      </w:r>
    </w:p>
    <w:p>
      <w:pPr>
        <w:pStyle w:val="BodyText"/>
      </w:pPr>
      <w:r>
        <w:t xml:space="preserve">Multiple imputation with imputation model containing treatment, age, sex, cad, prev_stroke, diabetes, hypertension, GFR.</w:t>
      </w:r>
    </w:p>
    <w:p>
      <w:pPr>
        <w:pStyle w:val="CaptionedFigure"/>
      </w:pPr>
      <w:r>
        <w:drawing>
          <wp:inline>
            <wp:extent cx="5334000" cy="3200400"/>
            <wp:effectExtent b="0" l="0" r="0" t="0"/>
            <wp:docPr descr="Forest plot of subgroup analyses for safety composite." title="" id="62" name="Picture"/>
            <a:graphic>
              <a:graphicData uri="http://schemas.openxmlformats.org/drawingml/2006/picture">
                <pic:pic>
                  <pic:nvPicPr>
                    <pic:cNvPr descr="report_acasatavi_sham_files/markdown_figs/subgroupsSAF-1.png" id="63" name="Picture"/>
                    <pic:cNvPicPr>
                      <a:picLocks noChangeArrowheads="1" noChangeAspect="1"/>
                    </pic:cNvPicPr>
                  </pic:nvPicPr>
                  <pic:blipFill>
                    <a:blip r:embed="rId61"/>
                    <a:stretch>
                      <a:fillRect/>
                    </a:stretch>
                  </pic:blipFill>
                  <pic:spPr bwMode="auto">
                    <a:xfrm>
                      <a:off x="0" y="0"/>
                      <a:ext cx="5334000" cy="3200400"/>
                    </a:xfrm>
                    <a:prstGeom prst="rect">
                      <a:avLst/>
                    </a:prstGeom>
                    <a:noFill/>
                    <a:ln w="9525">
                      <a:noFill/>
                      <a:headEnd/>
                      <a:tailEnd/>
                    </a:ln>
                  </pic:spPr>
                </pic:pic>
              </a:graphicData>
            </a:graphic>
          </wp:inline>
        </w:drawing>
      </w:r>
    </w:p>
    <w:p>
      <w:pPr>
        <w:pStyle w:val="ImageCaption"/>
      </w:pPr>
      <w:r>
        <w:t xml:space="preserve">Forest plot of subgroup analyses for safety composite.</w:t>
      </w:r>
    </w:p>
    <w:p>
      <w:pPr>
        <w:pStyle w:val="BodyText"/>
      </w:pPr>
      <w:r>
        <w:t xml:space="preserve">Subgroups with few participants may get confidence intervals which are too wide to show in the figure above. In those case, check the tables below.</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Age subgroups and safety risk. Estimated average adjusted risk difference, along with corresponding confidence interval.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682"/>
        <w:gridCol w:w="973"/>
        <w:gridCol w:w="1242"/>
        <w:gridCol w:w="1328"/>
        <w:gridCol w:w="1414"/>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contrast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age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95CI_low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95CI_high</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 - ASA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&lt;75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-0.014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-0.108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0.080</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 - ASA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&gt;= 75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0.033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-0.044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0.111</w:t>
            </w:r>
          </w:p>
        </w:tc>
      </w:tr>
    </w:tbl>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Sex and safety risk. Estimated average adjusted risk difference, along with corresponding confidence interval.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682"/>
        <w:gridCol w:w="1144"/>
        <w:gridCol w:w="1242"/>
        <w:gridCol w:w="1328"/>
        <w:gridCol w:w="1414"/>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contrast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sex</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95CI_low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95CI_high</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 - ASA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Male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0.088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0.010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0.165</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 - ASA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Female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-0.119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-0.206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-0.031</w:t>
            </w:r>
          </w:p>
        </w:tc>
      </w:tr>
    </w:tbl>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Diabetes and safety risk. Estimated average adjusted risk difference, along with correspondin confidence interval.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682"/>
        <w:gridCol w:w="1242"/>
        <w:gridCol w:w="1242"/>
        <w:gridCol w:w="1328"/>
        <w:gridCol w:w="1414"/>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contrast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diabetes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95CI_low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95CI_high</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 - ASA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0.020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-0.045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0.085</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 - ASA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-0.027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-0.166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0.113</w:t>
            </w:r>
          </w:p>
        </w:tc>
      </w:tr>
    </w:tbl>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Hypertension and safety risk. Estimated average adjusted risk difference, along with corresponding confidence interval.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682"/>
        <w:gridCol w:w="1670"/>
        <w:gridCol w:w="1242"/>
        <w:gridCol w:w="1328"/>
        <w:gridCol w:w="1414"/>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contrast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hypertension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95CI_low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95CI_high</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 - ASA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0.010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-0.102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0.123</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 - ASA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-0.066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0.078</w:t>
            </w:r>
          </w:p>
        </w:tc>
      </w:tr>
    </w:tbl>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Renal function and safety risk. Estimated average adjusted risk difference, along with corresponding confidence interval.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682"/>
        <w:gridCol w:w="1732"/>
        <w:gridCol w:w="1242"/>
        <w:gridCol w:w="1328"/>
        <w:gridCol w:w="1414"/>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contrast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renal function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95CI_low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95CI_high</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 - ASA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impaired</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-0.189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-0.796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0.417</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 - ASA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preserved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0.013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-0.047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0.073</w:t>
            </w:r>
          </w:p>
        </w:tc>
      </w:tr>
    </w:tbl>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Valve type and safety risk. Estimated average adjusted risk difference, along with corresponding confidence interval.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682"/>
        <w:gridCol w:w="2184"/>
        <w:gridCol w:w="1242"/>
        <w:gridCol w:w="1328"/>
        <w:gridCol w:w="1414"/>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contrast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valve type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95CI_low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95CI_high</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 - ASA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Balloon-expanded</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0.011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-0.067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0.089</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 - ASA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Self-expandable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-0.073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0.084</w:t>
            </w:r>
          </w:p>
        </w:tc>
      </w:tr>
    </w:tbl>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Post-dilatation and safety risk. Estimated average adjusted risk difference, along with corresponding confidence interval.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682"/>
        <w:gridCol w:w="1780"/>
        <w:gridCol w:w="1242"/>
        <w:gridCol w:w="1328"/>
        <w:gridCol w:w="1414"/>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contrast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post-dilatation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95CI_low</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95CI_high</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 - ASA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0.014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-0.048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0.077</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 - ASA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-0.029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-0.223</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0.166</w:t>
            </w:r>
          </w:p>
        </w:tc>
      </w:tr>
    </w:tbl>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Ascending aorta diameter and safety risk. Estimated average adjusted risk difference, along with corresponding confidence interval.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682"/>
        <w:gridCol w:w="2575"/>
        <w:gridCol w:w="1242"/>
        <w:gridCol w:w="1328"/>
        <w:gridCol w:w="1414"/>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contrast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ascending aorta diam.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95CI_low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95CI_high</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 - ASA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&lt;30 mm</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0.043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-0.036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0.122</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 - ASA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&gt;= 30 mm</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-0.023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-0.114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0.069</w:t>
            </w:r>
          </w:p>
        </w:tc>
      </w:tr>
    </w:tbl>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Frailty and safety risk. Estimated average adjusted risk difference, along with corresponding confidence interval.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682"/>
        <w:gridCol w:w="1523"/>
        <w:gridCol w:w="1242"/>
        <w:gridCol w:w="1328"/>
        <w:gridCol w:w="1414"/>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contrast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frailty index</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95CI_low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95CI_high</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 - ASA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robust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-0.058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0.026</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 - ASA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pre-frail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0.199</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 - ASA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missing</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0.042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-0.085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0.169</w:t>
            </w:r>
          </w:p>
        </w:tc>
      </w:tr>
    </w:tbl>
    <w:bookmarkEnd w:id="64"/>
    <w:bookmarkEnd w:id="65"/>
    <w:bookmarkStart w:id="69" w:name="additional-safety-analysis"/>
    <w:p>
      <w:pPr>
        <w:pStyle w:val="Heading1"/>
      </w:pPr>
      <w:r>
        <w:t xml:space="preserve">Additional safety analysis</w:t>
      </w:r>
    </w:p>
    <w:p>
      <w:pPr>
        <w:pStyle w:val="BlockText"/>
      </w:pPr>
      <w:r>
        <w:t xml:space="preserve">Which numbers and tables do you want to see here? The two first tables are kind of redundant, but the question is whether one should require that the AE is possibly related to study medication or not.</w:t>
      </w:r>
    </w:p>
    <w:bookmarkStart w:id="66" w:name="X3edd50b04415f5f2690fe7092b0cd7e28cf0a22"/>
    <w:p>
      <w:pPr>
        <w:pStyle w:val="Heading2"/>
      </w:pPr>
      <w:r>
        <w:t xml:space="preserve">Overview of adverse events, serious adverse events and suspected unexpected serious adverse reaction</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Summary of adverse events.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4568"/>
        <w:gridCol w:w="1872"/>
        <w:gridCol w:w="1676"/>
        <w:gridCol w:w="1933"/>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 (n=180)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ASA (n=180)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Overall (n=360)</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 of AEs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515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 of patients with any AEs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119 (66.1%)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114 (63.3%)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233 (64.7%)</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 of patients with one 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56 (31.1%)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43 (23.9%)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99 (27.5%)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 of patients with two 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27 (15%)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41 (22.8%)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68 (18.9%)</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 of patients with three or more AEs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36 (20%)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 (16.7%)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66 (18.3%)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 of SAEs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237</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 of patients with any SAEs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72 (40%)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67 (37.2%)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139 (38.6%)</w:t>
            </w:r>
          </w:p>
        </w:tc>
      </w:tr>
    </w:tbl>
    <w:p>
      <w:pPr>
        <w:pStyle w:val="FirstParagraph"/>
      </w:pPr>
      <w:r>
        <w:t xml:space="preserve">There are no SUSARs in the dataset. No SAE which is unexpected and possibly, probably or definitely related to study medication.</w:t>
      </w:r>
    </w:p>
    <w:bookmarkEnd w:id="66"/>
    <w:bookmarkStart w:id="67" w:name="Xaff82cabc10082dc1da41dfe0d23296f19ae977"/>
    <w:p>
      <w:pPr>
        <w:pStyle w:val="Heading2"/>
      </w:pPr>
      <w:r>
        <w:t xml:space="preserve">Suspected adverse reactions: AEs and SAEs with a possible, probable or definite relation to study treatments</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Summary of adverse events with a possible, probable or definite relation to study treatments.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4568"/>
        <w:gridCol w:w="1872"/>
        <w:gridCol w:w="1676"/>
        <w:gridCol w:w="1933"/>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 (n=180)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ASA (n=180)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Overall (n=360)</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 of AEs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184</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 of patients with any AEs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63 (29.3%)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65 (30.2%)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128 (29.8%)</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 of patients with one 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44 (24.4%)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43 (23.9%)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87 (24.2%)</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 of patients with two 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 (7.2%)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 (10%)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31 (8.6%)</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 of patients with three or more AEs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 (3.3%)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 (2.2%)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 (2.8%)</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 of SAEs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67</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 of patients with any SAEs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27 (15%)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 (14.4%)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53 (14.7%)</w:t>
            </w:r>
          </w:p>
        </w:tc>
      </w:tr>
    </w:tbl>
    <w:p>
      <w:pPr>
        <w:pStyle w:val="FirstParagraph"/>
      </w:pPr>
      <w:r>
        <w:t xml:space="preserve">There are no SUSARs in the dataset.</w:t>
      </w:r>
    </w:p>
    <w:bookmarkEnd w:id="67"/>
    <w:bookmarkStart w:id="68" w:name="X29fc779dd7281d40a553b2fcdf1cdc99bd9148b"/>
    <w:p>
      <w:pPr>
        <w:pStyle w:val="Heading2"/>
      </w:pPr>
      <w:r>
        <w:t xml:space="preserve">Adverse Events by System Organ Class and Preferred term</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Number of AEs and SAEs by system organ class and preferred term.</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7100"/>
        <w:gridCol w:w="4152"/>
        <w:gridCol w:w="1046"/>
        <w:gridCol w:w="851"/>
        <w:gridCol w:w="1046"/>
        <w:gridCol w:w="851"/>
      </w:tblGrid>
      <w:tr>
        <w:trPr>
          <w:trHeight w:val="638" w:hRule="auto"/>
          <w:tblHeader/>
        </w:trPr>
        <w:tc>
          <w:tcPr>
            <w:gridSpan w:val="2"/>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 </w:t>
            </w:r>
          </w:p>
        </w:tc>
        <w:tc>
          <w:tcPr>
            <w:gridSpan w:val="2"/>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AE</w:t>
            </w:r>
          </w:p>
        </w:tc>
        <w:tc>
          <w:tcPr>
            <w:gridSpan w:val="2"/>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SAE</w:t>
            </w:r>
          </w:p>
        </w:tc>
      </w:tr>
      <w:tr>
        <w:trPr>
          <w:trHeight w:val="638" w:hRule="auto"/>
          <w:tblHeader/>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System organ class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Preferred term</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DOAC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ASA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DOAC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ASA</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blood and lymphatic system disorders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anaemia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haemolytic anaemia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iron deficiency anaemia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cardiac disorders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acute coronary syndrome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acute myocardial infarction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angina pectoris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atrial fibrillation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atrial flutter</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atrioventricular block</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atrioventricular block complete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atrioventricular block first degree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atrioventricular block second degree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cardiac arrest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cardiac failure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myocardial infarction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nodal rhythm</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pericardial effusion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pericarditis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ventricular arrhythmia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ventricular tachycardia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ear and labyrinth disorders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sudden hearing loss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vertigo positional</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endocrine disorders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hypothyroidism</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eye disorders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amaurosis fugax</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blindness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conjunctival haemorrhage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diplopia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vision blurred</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visual impairment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vitreous haemorrhage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gastrointestinal disorders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abdominal pain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abdominal pain upper</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diverticulum intestinal haemorrhagic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dry mouth</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flatulence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gastrointestinal haemorrhage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gastrooesophageal reflux disease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haematochezia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ileus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intestinal obstruction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intestinal pseudo-obstruction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melaena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mouth haemorrhage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nausea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oesophagitis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pancreatitis acute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rectal haemorrhage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general disorders and administration site conditions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chest pain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death</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fatigue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fibrosis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gait disturbance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hernia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injection site discomfort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paravalvular regurgitation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prolapse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prosthetic cardiac valve thrombosis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hepatobiliary disorders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cholecystitis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cholelithiasis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hepatic cirrhosis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hepatic fibrosis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immune system disorders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hypersensitivity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infections and infestations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arthritis bacterial</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cellulitis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covid-19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device related infection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endocarditis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enterococcal infection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erysipelas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infection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localised infection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lower respiratory tract infection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pharyngitis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pneumonia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postoperative wound infection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pyelonephritis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respiratory tract infection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septic embolus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septic pulmonary embolism</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septic shock</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tooth infection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urinary tract infection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injury, poisoning and procedural complications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alcohol poisoning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ankle fracture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cervical vertebral fracture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facial bones fracture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fall</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femoral neck fracture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forearm fracture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ligament rupture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limb injury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periorbital haematoma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post procedural haematoma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prescribed overdose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skin laceration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upper limb fracture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vascular pseudoaneurysm</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wrist fracture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investigations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enterococcus test positive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occult blood</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metabolism and nutrition disorders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dehydration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diabetic ketoacidosis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gout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hyperglycaemia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hypoglycaemia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hypomagnesaemia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iron deficiency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type 2 diabetes mellitus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musculoskeletal and connective tissue disorders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arthralgia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arthritis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musculoskeletal chest pain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osteoarthritis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pain in extremity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polymyalgia rheumatica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neoplasms benign, malignant and unspecified (incl cysts and polyps)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basal cell carcinoma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bladder cancer</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brain neoplasm</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breast cancer</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colorectal adenocarcinoma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laryngeal papilloma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malignant melanoma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metastases to lymph nodes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prostate cancer</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rectosigmoid cancer</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renal neoplasm</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nervous system disorders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amnesia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balance disorder</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cerebral artery embolism</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cerebral haemorrhage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cerebral infarction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cerebrovascular accident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dizziness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embolic cerebral infarction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epilepsy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hyposmia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lethargy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migraine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presyncope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seizure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syncope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transient ischaemic attack</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tremor</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vascular dementia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psychiatric disorders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autoscopy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confusional state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delirium</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renal and urinary disorders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acute kidney injury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haematuria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nephrolithiasis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nephrotic syndrome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renal failure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urinary retention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reproductive system and breast disorders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gynaecomastia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uterine prolapse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respiratory, thoracic and mediastinal disorders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acute pulmonary oedema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chronic obstructive pulmonary disease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dyspnoea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emphysema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epistaxis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haemoptysis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hypersensitivity pneumonitis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pleural effusion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productive cough</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pulmonary embolism</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pulmonary oedema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sleep apnoea syndrome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skin and subcutaneous tissue disorders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decubitus ulcer</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petechiae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pruritus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rash</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skin haemorrhage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surgical and medical procedures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appendicectomy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cardiac pacemaker insertion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cardiac resynchronisation therapy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cataract operation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cholecystectomy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colectomy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hip arthroplasty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large intestinal polypectomy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mole excision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orchidectomy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percutaneous coronary intervention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skin neoplasm excision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spinal laminectomy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transurethral bladder resection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vascular disorders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aortic aneurysm</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deep vein thrombosis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embolism</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haematoma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haemorrhage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hypertension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hypotension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peripheral arterial occlusive disease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thrombophlebitis superficial</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thrombosis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23"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vasculitis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bl>
    <w:bookmarkEnd w:id="68"/>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7" Target="media/rId57.png" /><Relationship Type="http://schemas.openxmlformats.org/officeDocument/2006/relationships/image" Id="rId61" Target="media/rId61.png" /><Relationship Type="http://schemas.openxmlformats.org/officeDocument/2006/relationships/image" Id="rId33" Target="media/rId3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Statistical report for ACASA-TAVI</dc:title>
  <dc:creator>C. Cunen</dc:creator>
  <cp:keywords/>
  <dcterms:created xsi:type="dcterms:W3CDTF">2026-07-01T13:24:09Z</dcterms:created>
  <dcterms:modified xsi:type="dcterms:W3CDTF">2026-07-01T13:24:09Z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01 juli 2026</vt:lpwstr>
  </property>
  <property fmtid="{D5CDD505-2E9C-101B-9397-08002B2CF9AE}" pid="3" name="output">
    <vt:lpwstr/>
  </property>
  <property fmtid="{D5CDD505-2E9C-101B-9397-08002B2CF9AE}" pid="4" name="subtitle">
    <vt:lpwstr>AntiCoagulation versus AcetylSalicylic Acid after Transcatheter Aortic Valve Implantation</vt:lpwstr>
  </property>
</Properties>
</file>