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Statistical report for ACASA-TAVI</w:t>
      </w:r>
    </w:p>
    <w:p>
      <w:pPr>
        <w:pStyle w:val="Subtitle"/>
      </w:pPr>
      <w:r>
        <w:t xml:space="preserve">AntiCoagulation versus AcetylSalicylic Acid after Transcatheter Aortic Valve Implantation</w:t>
      </w:r>
    </w:p>
    <w:p>
      <w:pPr>
        <w:pStyle w:val="Author"/>
      </w:pPr>
      <w:r>
        <w:t xml:space="preserve">C. Cunen</w:t>
      </w:r>
    </w:p>
    <w:p>
      <w:pPr>
        <w:pStyle w:val="Date"/>
      </w:pPr>
      <w:r>
        <w:t xml:space="preserve">08 juni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introduction"/>
    <w:p>
      <w:pPr>
        <w:pStyle w:val="Heading1"/>
      </w:pPr>
      <w:r>
        <w:t xml:space="preserve">Introduction</w:t>
      </w:r>
    </w:p>
    <w:p>
      <w:pPr>
        <w:pStyle w:val="FirstParagraph"/>
      </w:pPr>
      <w:r>
        <w:t xml:space="preserve">The ACASA-TAVI study is</w:t>
      </w:r>
      <w:r>
        <w:t xml:space="preserve"> </w:t>
      </w:r>
      <w:r>
        <w:rPr>
          <w:strike/>
        </w:rPr>
        <w:t xml:space="preserve">a prospective investigation of losartan as an adjunctive therapy for patients with glioblastoma</w:t>
      </w:r>
      <w:r>
        <w:t xml:space="preserve">. According to Protocol</w:t>
      </w:r>
      <w:r>
        <w:t xml:space="preserve"> </w:t>
      </w:r>
      <w:r>
        <w:rPr>
          <w:strike/>
        </w:rPr>
        <w:t xml:space="preserve">Version 7.0 (17-Dec-2024), the trial collects comprehensive demographic, clinical, imaging, and quality-of-life information prior to treatment initiation</w:t>
      </w:r>
      <w:r>
        <w:t xml:space="preserve">.</w:t>
      </w:r>
    </w:p>
    <w:p>
      <w:pPr>
        <w:pStyle w:val="BodyText"/>
      </w:pPr>
      <w:r>
        <w:t xml:space="preserve">This report summarises</w:t>
      </w:r>
      <w:r>
        <w:t xml:space="preserve"> </w:t>
      </w:r>
      <w:r>
        <w:rPr>
          <w:strike/>
        </w:rPr>
        <w:t xml:space="preserve">the currently available baseline data with emphasis on clinical status, imaging assessments, and prior treatments that may influence subsequent outcomes</w:t>
      </w:r>
      <w:r>
        <w:t xml:space="preserve">.</w:t>
      </w:r>
    </w:p>
    <w:p>
      <w:pPr>
        <w:pStyle w:val="BodyText"/>
      </w:pPr>
      <w:r>
        <w:t xml:space="preserve">The safety analysis is based on</w:t>
      </w:r>
      <w:r>
        <w:t xml:space="preserve"> </w:t>
      </w:r>
      <w:r>
        <w:t xml:space="preserve">the Safety Analysis Set including all subjects with any safety information after baseline (N=53).</w:t>
      </w:r>
      <w:r>
        <w:t xml:space="preserve"> </w:t>
      </w:r>
      <w:r>
        <w:t xml:space="preserve">Patients randomised to hydroxychloroquine without receiving any amount of the treatment will be</w:t>
      </w:r>
      <w:r>
        <w:t xml:space="preserve"> </w:t>
      </w:r>
      <w:r>
        <w:t xml:space="preserve">excluded from the safety population (nobody was excluded based on that condition). The primary</w:t>
      </w:r>
      <w:r>
        <w:t xml:space="preserve"> </w:t>
      </w:r>
      <w:r>
        <w:t xml:space="preserve">efficacy analysis is based on the Full Analysis Set (FAS) including all randomised subjects who have</w:t>
      </w:r>
      <w:r>
        <w:t xml:space="preserve"> </w:t>
      </w:r>
      <w:r>
        <w:t xml:space="preserve">had at least one baseline and one post-randomisation evaluation of efficacy (N=51). The secondary</w:t>
      </w:r>
      <w:r>
        <w:t xml:space="preserve"> </w:t>
      </w:r>
      <w:r>
        <w:t xml:space="preserve">efficacy analysis is based on the Per Protocol Set including all participants of the FAS who took at</w:t>
      </w:r>
      <w:r>
        <w:t xml:space="preserve"> </w:t>
      </w:r>
      <w:r>
        <w:t xml:space="preserve">least 7 of the 8 first hydroxychloroquine doses (N=49)</w:t>
      </w:r>
      <w:r>
        <w:t xml:space="preserve"> </w:t>
      </w:r>
      <w:r>
        <w:t xml:space="preserve">Analysis according to final SAP version 2.1, dated 28.05.2020</w:t>
      </w:r>
      <w:r>
        <w:t xml:space="preserve"> </w:t>
      </w:r>
      <w:r>
        <w:t xml:space="preserve">Data extraction Viedoc electronic data capture system, time stamped: 26.05.2020 12:06 UTC</w:t>
      </w:r>
    </w:p>
    <w:p>
      <w:pPr>
        <w:pStyle w:val="BodyText"/>
      </w:pPr>
      <w:r>
        <w:t xml:space="preserve">The aim of this document is to produce tables and figures to be included into the article as requested by email from Merete Hetland 10 December 2019. The analyses are prespecified in the Statistical Analysis Plan (SAP) dated 2nd of September 2019, and the locked database with an update received on the 10th of December dated 26th of October 2019.</w:t>
      </w:r>
    </w:p>
    <w:bookmarkStart w:id="20" w:name="randomisation-status"/>
    <w:p>
      <w:pPr>
        <w:pStyle w:val="Heading2"/>
      </w:pPr>
      <w:r>
        <w:t xml:space="preserve">Randomisation Status</w:t>
      </w:r>
    </w:p>
    <w:p>
      <w:pPr>
        <w:pStyle w:val="FirstParagraph"/>
      </w:pPr>
      <w:r>
        <w:t xml:space="preserve">The present dataset is built on</w:t>
      </w:r>
      <w:r>
        <w:t xml:space="preserve"> </w:t>
      </w:r>
      <w:r>
        <w:rPr>
          <w:i/>
          <w:iCs/>
        </w:rPr>
        <w:t xml:space="preserve">sham randomisation</w:t>
      </w:r>
      <w:r>
        <w:t xml:space="preserve"> </w:t>
      </w:r>
      <w:r>
        <w:t xml:space="preserve">generated from the most recent export from Viedoc. No true treatment assignments have been unlocked. All findings in this document should therefore be interpreted as preliminary and descriptive only. Final efficacy comparisons will not be conducted until the database is locked and genuine randomisation codes are used.</w:t>
      </w:r>
    </w:p>
    <w:bookmarkEnd w:id="20"/>
    <w:bookmarkStart w:id="21" w:name="data-preparations"/>
    <w:p>
      <w:pPr>
        <w:pStyle w:val="Heading2"/>
      </w:pPr>
      <w:r>
        <w:t xml:space="preserve">Data preparations</w:t>
      </w:r>
    </w:p>
    <w:p>
      <w:pPr>
        <w:pStyle w:val="FirstParagraph"/>
      </w:pPr>
      <w:r>
        <w:t xml:space="preserve">The data have been further prepared in accordance with the SAP, except for the imputation of missing baseline Body Mass Index (BMI) for two trial subjects. They have been imputed with the median BMI value among all other ITT subjects. This imputation is not described in the SAP.</w:t>
      </w:r>
    </w:p>
    <w:bookmarkEnd w:id="21"/>
    <w:bookmarkStart w:id="22" w:name="specifications-to-the-analyses"/>
    <w:p>
      <w:pPr>
        <w:pStyle w:val="Heading2"/>
      </w:pPr>
      <w:r>
        <w:t xml:space="preserve">Specifications to the analyses</w:t>
      </w:r>
    </w:p>
    <w:p>
      <w:pPr>
        <w:pStyle w:val="FirstParagraph"/>
      </w:pPr>
      <w:r>
        <w:t xml:space="preserve">For the continuous CRP and ESR parameters, I have fitted a generalized linear mixed gamma model due to skewness. This model gave the best fit according to Akaike’s Information Criterion over a standard linear mixed model and a generalized linear mixed lognormal model. For the joint count variables I fitted a generalised linear mixed negative binomial model over a corresponding poisson model due to overdispersion. All these specification are according to the analysis plan.</w:t>
      </w:r>
    </w:p>
    <w:bookmarkEnd w:id="22"/>
    <w:bookmarkEnd w:id="23"/>
    <w:bookmarkStart w:id="30" w:name="patient-enrolment-and-disposition"/>
    <w:p>
      <w:pPr>
        <w:pStyle w:val="Heading1"/>
      </w:pPr>
      <w:r>
        <w:t xml:space="preserve">Patient enrolment and disposition</w:t>
      </w:r>
    </w:p>
    <w:bookmarkStart w:id="24" w:name="trial-population"/>
    <w:p>
      <w:pPr>
        <w:pStyle w:val="Heading2"/>
      </w:pPr>
      <w:r>
        <w:t xml:space="preserve">Trial population</w:t>
      </w:r>
    </w:p>
    <w:p>
      <w:pPr>
        <w:pStyle w:val="FirstParagraph"/>
      </w:pPr>
      <w:r>
        <w:t xml:space="preserve">The following table summarizes the number of patients that were screened (?), that were eligible and randomized, that received the treatment and that were lost to follow-up, as well as the number of patients included in the analyses. This table should be used to fill in the CONSORT diagram (??).</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Counts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522"/>
        <w:gridCol w:w="778"/>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description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Assessed at screening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Eligible at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Ineligible at screening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Eligible and randomised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359</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Eligible not randomised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Randomized but ineligible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Non-completers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Randomised and FAS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Randomised and FAS with primary efficacy endpoint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334</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Randomised and FAS with primary safety endpoint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257</w:t>
            </w:r>
          </w:p>
        </w:tc>
      </w:tr>
    </w:tbl>
    <w:bookmarkEnd w:id="24"/>
    <w:bookmarkStart w:id="25" w:name="X3eac55546c0925b7f261fe37fd1642ab592a3c5"/>
    <w:p>
      <w:pPr>
        <w:pStyle w:val="Heading2"/>
      </w:pPr>
      <w:r>
        <w:t xml:space="preserve">Patient disposition (reasons for non-completion)</w:t>
      </w:r>
    </w:p>
    <w:p>
      <w:pPr>
        <w:pStyle w:val="FirstParagraph"/>
      </w:pPr>
      <w:r>
        <w:t xml:space="preserve">Overview of study completion and reasons for non-completion. The counts of</w:t>
      </w:r>
      <w:r>
        <w:t xml:space="preserve"> </w:t>
      </w:r>
      <w:r>
        <w:t xml:space="preserve">“Study completed”</w:t>
      </w:r>
      <w:r>
        <w:t xml:space="preserve"> </w:t>
      </w:r>
      <w:r>
        <w:t xml:space="preserve">which are neither</w:t>
      </w:r>
      <w:r>
        <w:t xml:space="preserve"> </w:t>
      </w:r>
      <w:r>
        <w:t xml:space="preserve">“Yes”</w:t>
      </w:r>
      <w:r>
        <w:t xml:space="preserve"> </w:t>
      </w:r>
      <w:r>
        <w:t xml:space="preserve">nor</w:t>
      </w:r>
      <w:r>
        <w:t xml:space="preserve"> </w:t>
      </w:r>
      <w:r>
        <w:t xml:space="preserve">“No”</w:t>
      </w:r>
      <w:r>
        <w:t xml:space="preserve"> </w:t>
      </w:r>
      <w:r>
        <w:t xml:space="preserve">are participants who have not had their final visit yet.</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Overview of study completion and reasons for non-completion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224"/>
        <w:gridCol w:w="1046"/>
        <w:gridCol w:w="851"/>
        <w:gridCol w:w="900"/>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Number of randomised participants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360</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Study completed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336</w:t>
            </w:r>
          </w:p>
        </w:tc>
      </w:tr>
      <w:tr>
        <w:trPr>
          <w:trHeight w:val="573"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Reason for discontinuation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Voluntary discontinuation by patient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Incorrect randomisation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Non-compliance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bl>
    <w:bookmarkEnd w:id="25"/>
    <w:bookmarkStart w:id="26" w:name="X2874729a399a51a2a2c27d70152a28510971d69"/>
    <w:p>
      <w:pPr>
        <w:pStyle w:val="Heading2"/>
      </w:pPr>
      <w:r>
        <w:t xml:space="preserve">Timing of end of study, withdrawals and follow ups</w:t>
      </w:r>
    </w:p>
    <w:p>
      <w:pPr>
        <w:pStyle w:val="FirstParagraph"/>
      </w:pPr>
      <w:r>
        <w:t xml:space="preserve">Time from randomisation to end of study and time from randomisation to withdrawal/lost to follow-up is summarized by median and min-max, overall and by treatment group.</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Length of study by treatment groups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963"/>
        <w:gridCol w:w="1548"/>
        <w:gridCol w:w="1732"/>
        <w:gridCol w:w="1732"/>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All participants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361 (0-510)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 (1-440)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358.5 (0-510)</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Non-completers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 (0-363)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183.5 (1-271)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121 (0-363)</w:t>
            </w:r>
          </w:p>
        </w:tc>
      </w:tr>
    </w:tbl>
    <w:bookmarkEnd w:id="26"/>
    <w:bookmarkStart w:id="27" w:name="protocol-deviations"/>
    <w:p>
      <w:pPr>
        <w:pStyle w:val="Heading2"/>
      </w:pPr>
      <w:r>
        <w:t xml:space="preserve">Protocol deviations</w:t>
      </w:r>
    </w:p>
    <w:p>
      <w:pPr>
        <w:pStyle w:val="FirstParagraph"/>
      </w:pPr>
      <w:r>
        <w:t xml:space="preserve">Number of major and minor protocol deviations, summarized by treatment group with details of type of deviation provided.</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minor protocol deviations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13"/>
        <w:gridCol w:w="5461"/>
        <w:gridCol w:w="655"/>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 of 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Incorrect treatment and/or dose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Prohibited concomitant medication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Failure to collect important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Serious breach - 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Prohibited concomitant medication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Failure to collect important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Serious breach - SAE notification / safety procedure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Other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r>
    </w:tbl>
    <w:p>
      <w:pPr>
        <w:pStyle w:val="BodyText"/>
      </w:pPr>
      <w:r>
        <w:t xml:space="preserve">There are currently no PD that are categorised as</w:t>
      </w:r>
      <w:r>
        <w:t xml:space="preserve"> </w:t>
      </w:r>
      <w:r>
        <w:t xml:space="preserve">“major”</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major protocol deviations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13"/>
        <w:gridCol w:w="1915"/>
        <w:gridCol w:w="5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Treatment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Category of PD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w:t>
            </w:r>
          </w:p>
        </w:tc>
      </w:tr>
    </w:tbl>
    <w:bookmarkEnd w:id="27"/>
    <w:bookmarkStart w:id="28" w:name="adherence-to-allocated-treatment"/>
    <w:p>
      <w:pPr>
        <w:pStyle w:val="Heading2"/>
      </w:pPr>
      <w:r>
        <w:t xml:space="preserve">Adherence to allocated treatment</w:t>
      </w:r>
    </w:p>
    <w:p>
      <w:pPr>
        <w:pStyle w:val="FirstParagraph"/>
      </w:pPr>
      <w:r>
        <w:t xml:space="preserve">Number of patients participants switching between ASA and DOAC or stopping the treatment altogether (so far - final data could reveal more switches), by treatment group and in total.</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participants switching or stopping.</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46"/>
        <w:gridCol w:w="2796"/>
        <w:gridCol w:w="1352"/>
        <w:gridCol w:w="1279"/>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change in study drug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Switching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Stopping</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bl>
    <w:bookmarkEnd w:id="28"/>
    <w:bookmarkStart w:id="29" w:name="analysis-sets"/>
    <w:p>
      <w:pPr>
        <w:pStyle w:val="Heading2"/>
      </w:pPr>
      <w:r>
        <w:t xml:space="preserve">Analysis sets</w:t>
      </w:r>
    </w:p>
    <w:p>
      <w:pPr>
        <w:pStyle w:val="FirstParagraph"/>
      </w:pPr>
      <w:r>
        <w:t xml:space="preserve">The FAS includes all participants. The SAS is the same as the FAS.</w:t>
      </w:r>
      <w:r>
        <w:t xml:space="preserve"> </w:t>
      </w:r>
      <w:r>
        <w:t xml:space="preserve">The PP includes all participants except</w:t>
      </w:r>
      <w:r>
        <w:t xml:space="preserve"> </w:t>
      </w:r>
      <w:r>
        <w:t xml:space="preserve">– non-completers that did not die (voluntary discontinuation mostly)</w:t>
      </w:r>
      <w:r>
        <w:t xml:space="preserve"> </w:t>
      </w:r>
      <w:r>
        <w:t xml:space="preserve">– participants with important protocol deviations</w:t>
      </w:r>
      <w:r>
        <w:t xml:space="preserve"> </w:t>
      </w:r>
      <w:r>
        <w:t xml:space="preserve">– participants switching between ASA and DOAC or stopping the treatment altogether.</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participants in the different analysis sets.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46"/>
        <w:gridCol w:w="1976"/>
        <w:gridCol w:w="2245"/>
        <w:gridCol w:w="1951"/>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Full analysis 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Safety analysis 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 protocol set</w:t>
            </w:r>
          </w:p>
        </w:tc>
      </w:tr>
      <w:tr>
        <w:trPr>
          <w:trHeight w:val="57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153</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305</w:t>
            </w:r>
          </w:p>
        </w:tc>
      </w:tr>
    </w:tbl>
    <w:bookmarkEnd w:id="29"/>
    <w:bookmarkEnd w:id="30"/>
    <w:bookmarkStart w:id="38" w:name="X152c858db766f039168fb4c8c8273afb55a6079"/>
    <w:p>
      <w:pPr>
        <w:pStyle w:val="Heading1"/>
      </w:pPr>
      <w:r>
        <w:t xml:space="preserve">Demographics and baseline characteristics</w:t>
      </w:r>
    </w:p>
    <w:bookmarkStart w:id="31" w:name="table-for-abstract-may-2026"/>
    <w:p>
      <w:pPr>
        <w:pStyle w:val="Heading2"/>
      </w:pPr>
      <w:r>
        <w:t xml:space="preserve">Table for abstract (May 2026)</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Baseline characteristics for all 360 participants. Continuous variables are summarised by mean (SD), or by median (IQR) as indicated.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842"/>
        <w:gridCol w:w="1915"/>
      </w:tblGrid>
      <w:tr>
        <w:trPr>
          <w:trHeight w:val="411"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74.5 (3.7)</w:t>
            </w:r>
          </w:p>
        </w:tc>
      </w:tr>
      <w:tr>
        <w:trPr>
          <w:trHeight w:val="60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Body mass index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28.1 (4.7)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Coronary artery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Diabetes mellitus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Previous stroke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Permanent pacemaker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Chronic obstructive pulmonary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Troponin T (ng/L)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(11 - 28)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NT-proBNP (ng/L)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413 (197 - 812)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Glomerular filtration rate (mL/min/1 1.73 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 (18.4)</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Pre-TAVI echocardiography parameters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ejection fraction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53.6 (7.7)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mean gradient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49.6 (12.6)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valvular area (cm^2)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(0.2)</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Procedural characteristics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Balloon-expanded valve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w:t>
            </w:r>
          </w:p>
        </w:tc>
      </w:tr>
      <w:tr>
        <w:trPr>
          <w:trHeight w:val="61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Self-expandable valve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w:t>
            </w:r>
          </w:p>
        </w:tc>
      </w:tr>
    </w:tbl>
    <w:bookmarkEnd w:id="31"/>
    <w:bookmarkStart w:id="32" w:name="demographics-and-medical-history"/>
    <w:p>
      <w:pPr>
        <w:pStyle w:val="Heading2"/>
      </w:pPr>
      <w:r>
        <w:t xml:space="preserve">Demographics and medical history</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Demographics and medical history.</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203"/>
        <w:gridCol w:w="1811"/>
        <w:gridCol w:w="1615"/>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Age (years)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74.4 (3.7)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74.5 (3.7)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74.5 (3.7)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Sex,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 (63.9%)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111 (61.7%)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 (62.8%)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65 (36.1%)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69 (38.3%)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 (37.2%)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Hypertension,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 (70.9%)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250 (71.4%)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Coronary artery disease,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 (20.6%)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 (26.9%)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 (23.7%)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Diabetes mellitus,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 (30.9%)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 (28.3%)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Chronic obstructive pulmonary disease,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 (13.7%)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Previous stroke,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 (11.4%)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Permanent pacemaker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 (1.7%)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(2.3%)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Smoking status,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Never smoked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 (36.7%)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125 (34.7%)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Has stopped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 (52.2%)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91 (50.6%)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185 (51.4%)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Sometimes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 (0.6%)</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Daily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(14.4%)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(12.2%)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48 (13.3%)</w:t>
            </w:r>
          </w:p>
        </w:tc>
      </w:tr>
    </w:tbl>
    <w:bookmarkEnd w:id="32"/>
    <w:bookmarkStart w:id="33" w:name="Xedd584c87fd898880aefbb37d73339295451a75"/>
    <w:p>
      <w:pPr>
        <w:pStyle w:val="Heading2"/>
      </w:pPr>
      <w:r>
        <w:t xml:space="preserve">Vital signs and physical characteristics at baseline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Vital signs and physical characteristics at baseline.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543"/>
        <w:gridCol w:w="1811"/>
        <w:gridCol w:w="1615"/>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Weight (kg)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84.3 (16.2)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84.9 (15.9)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84.6 (16)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Height (cm)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173.8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173.4 (9.1)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Body mass index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27.9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28.3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28.1 (4.7)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Systolic blood pressure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143.6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140.3 (20.8)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Diastolic blood pressure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 (9.8)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71.9 (10.1)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Body temperature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36.7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36.7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36.7 (0.4)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Pulse rate (beats/min)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74.7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73.8 (13.2)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Respiratory rate (breaths/min)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16.9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16.8 (2.5)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Mini-Cog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Signs of cognitive impairment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 (8.1%)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cognitive impairment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147 (90.7%)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148 (93.1%)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295 (91.9%)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 (10.8%)</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Five times sit-to-stand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&lt; 15 sec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115 (83.3%)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109 (79.6%)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224 (81.5%)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&gt;= 15 sec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 (18.5%)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85 (23.6%)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Frailty,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Robust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90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165 (45.8%)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Pre-frail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59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102 (28.3%)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Frail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 (25.6%)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47 (26.1%)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93 (25.8%)</w:t>
            </w:r>
          </w:p>
        </w:tc>
      </w:tr>
    </w:tbl>
    <w:bookmarkEnd w:id="33"/>
    <w:bookmarkStart w:id="34" w:name="Xa9118ed01ee68b6ce0e45caf9cfa30baee93695"/>
    <w:p>
      <w:pPr>
        <w:pStyle w:val="Heading2"/>
      </w:pPr>
      <w:r>
        <w:t xml:space="preserve">Clinical chemistry and hematology at baseline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Some results related to clinical chemistry and hematology at baseline.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956"/>
        <w:gridCol w:w="1915"/>
        <w:gridCol w:w="1915"/>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Hemoglobin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13.4 (1.6)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13.7 (1.6)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 (1.6)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Platelets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220.1 (61.7)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232.9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226.5 (64.7)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Leukocytes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 (6.1 - 8.6)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 (6.5 - 8.7)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 (6.3 - 8.7)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International Normalized Ratio (INR)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 (0.1)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139.5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139.6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139.6 (2.7)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Potassium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(0.4)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25.3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27.6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26.4 (13.6)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troponin 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 (11.8 - 27.8)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(11 - 28)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(11 - 28)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NT-proBNP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431 (216 - 815)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372 (177 - 779)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413 (197 - 812)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GFR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73.6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76.3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 (18.4)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Glucose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 (2.1)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Glycated haemoglobin (HbA1c)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42.2 (9.3)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42.1 (9.6)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Triglycerides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(0.8)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(1.1)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HDL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(0.5)</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LDL cholesterol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 (0.9)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Creatinine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92.2 (46.8)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84.8 (29.4)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88.5 (39.2)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Albumin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42.7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42.9 (3.3)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Bilirubin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8.9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9.9 (5.6)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9.4 (5.1)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 (2.8%)</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CRP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 (0.8 - 4)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(0.7 - 3.3)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 (0.8 - 3.8)</w:t>
            </w:r>
          </w:p>
        </w:tc>
      </w:tr>
    </w:tbl>
    <w:bookmarkEnd w:id="34"/>
    <w:bookmarkStart w:id="35" w:name="Xc2e61d1ad8799e8cf2c384fe63b579af9a4db05"/>
    <w:p>
      <w:pPr>
        <w:pStyle w:val="Heading2"/>
      </w:pPr>
      <w:r>
        <w:t xml:space="preserve">Echocardiography pre-TAVI and at baseline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Some echocardiography parameters pre-TAVI.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78"/>
        <w:gridCol w:w="1811"/>
        <w:gridCol w:w="1615"/>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mean gradient (mmHg)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49.4 (13.2)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49.9 (12)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49.6 (12.6)</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LVOT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22.7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22.3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22.5 (1.9)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Presence of low-flow low-gradient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(5.3%)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ejection fraction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52.9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54.4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53.6 (7.7)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global longitudinal strain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-15.2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-16.4 (8.9)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-15.8 (6.7)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Stroke volume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83.7 (19.8)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84.9 (21.2)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Stroke volume index (mL per 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40.5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41.1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40.8 (13.3)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valvular area (cm^2)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 (0.2)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regurgitation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108 (63.5%)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105 (61.4%)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213 (62.5%)</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 echocardiography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18 (5%)</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Some echocardiography parameters at baseline (post-TAVI).</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678"/>
        <w:gridCol w:w="1811"/>
        <w:gridCol w:w="1615"/>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mean gradient (mmHg)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 (4.7)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13.1 (4.8)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LVOT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21.4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21.2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21.3 (2)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Presence of low-flow low-gradient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 (18.1%)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ejection fraction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57.7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55.9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56.8 (10.7)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ventricular global longitudinal strain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-15.7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 (3.4)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Stroke volume (mL)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83 (14.7)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82.8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82.9 (17.7)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Stroke volume index (mL per 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41.3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41.3 (9.2)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41.3 (8.2)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valvular area (cm^2)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 (0.4)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valve regurgitation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(32.5%)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 (31.2%)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81 (31.9%)</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 echocardiography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58 (32.2%)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55 (30.6%)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 (31.4%)</w:t>
            </w:r>
          </w:p>
        </w:tc>
      </w:tr>
    </w:tbl>
    <w:bookmarkEnd w:id="35"/>
    <w:bookmarkStart w:id="36" w:name="characteristics-of-the-tavi-procedure"/>
    <w:p>
      <w:pPr>
        <w:pStyle w:val="Heading2"/>
      </w:pPr>
      <w:r>
        <w:t xml:space="preserve">Characteristics of the TAVI procedure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Characteristics of the TAVI procedure.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105"/>
        <w:gridCol w:w="1811"/>
        <w:gridCol w:w="1615"/>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Characteristic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TAVI valve type, n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Balloon-expanded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130 (72.6%)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256 (71.3%)</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Self-expandable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 (27.4%)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 (28.7%)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TAVI post-dilatation,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 (9.2%)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166 (92.7%)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160 (88.9%)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326 (90.8%)</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TAVI supra-valvular prothesis position,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46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 (27.9%)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 (74.3%)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126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259 (72.1%)</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Ascending aorta diameter (mm)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30.5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29.6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30.1 (3.9)</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ab/>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Missing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 (0%)</w:t>
            </w:r>
          </w:p>
        </w:tc>
      </w:tr>
    </w:tbl>
    <w:bookmarkEnd w:id="36"/>
    <w:bookmarkStart w:id="37" w:name="change-in-baseline-characteristics"/>
    <w:p>
      <w:pPr>
        <w:pStyle w:val="Heading2"/>
      </w:pPr>
      <w:r>
        <w:t xml:space="preserve">Change in baseline characteristics</w:t>
      </w:r>
    </w:p>
    <w:p>
      <w:pPr>
        <w:pStyle w:val="BlockText"/>
      </w:pPr>
      <w:r>
        <w:t xml:space="preserve">Some baseline variables are measured again at 12 months. Do you want a table looking at the change in these values?</w:t>
      </w:r>
      <w:r>
        <w:t xml:space="preserve"> </w:t>
      </w:r>
      <w:r>
        <w:t xml:space="preserve">Not here maybe</w:t>
      </w:r>
    </w:p>
    <w:bookmarkEnd w:id="37"/>
    <w:bookmarkEnd w:id="38"/>
    <w:bookmarkStart w:id="58" w:name="primary-endpoints"/>
    <w:p>
      <w:pPr>
        <w:pStyle w:val="Heading1"/>
      </w:pPr>
      <w:r>
        <w:t xml:space="preserve">Primary endpoints</w:t>
      </w:r>
    </w:p>
    <w:bookmarkStart w:id="47" w:name="primary-efficacy-endpoint"/>
    <w:p>
      <w:pPr>
        <w:pStyle w:val="Heading2"/>
      </w:pPr>
      <w:r>
        <w:t xml:space="preserve">Primary efficacy endpoint</w:t>
      </w:r>
    </w:p>
    <w:bookmarkStart w:id="39" w:name="descriptive-statistics"/>
    <w:p>
      <w:pPr>
        <w:pStyle w:val="Heading3"/>
      </w:pPr>
      <w:r>
        <w:t xml:space="preserve">Descriptive statistics</w:t>
      </w:r>
    </w:p>
    <w:p>
      <w:pPr>
        <w:pStyle w:val="FirstParagraph"/>
      </w:pPr>
      <w:r>
        <w:t xml:space="preserve">Also by site?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HALT (primary efficacy endpoint).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76"/>
        <w:gridCol w:w="1487"/>
        <w:gridCol w:w="1487"/>
        <w:gridCol w:w="1487"/>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 thickening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260</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&lt;=25% of leaflet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&gt;25-50 % of leaflet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&gt;50-75 % of lealet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r>
        <w:trPr>
          <w:trHeight w:val="57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&gt;75 % of leaflet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Missing 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 HALT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38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 (21.3%)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74 (22.2%)</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 HALT &amp; Death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45 (26.2%)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(23.8%)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86 (25%)</w:t>
            </w:r>
          </w:p>
        </w:tc>
      </w:tr>
    </w:tbl>
    <w:bookmarkEnd w:id="39"/>
    <w:bookmarkStart w:id="40" w:name="Xeff0e2a765a321156c12f1371b7369441726b75"/>
    <w:p>
      <w:pPr>
        <w:pStyle w:val="Heading3"/>
      </w:pPr>
      <w:r>
        <w:t xml:space="preserve">Unadjusted analysis with multiple imputation</w:t>
      </w:r>
    </w:p>
    <w:p>
      <w:pPr>
        <w:pStyle w:val="FirstParagraph"/>
      </w:pPr>
      <w:r>
        <w:t xml:space="preserve">Multiple imputation with imputation model containing sex, hemoglobin, potassium,</w:t>
      </w:r>
      <w:r>
        <w:t xml:space="preserve"> </w:t>
      </w:r>
      <w:r>
        <w:t xml:space="preserve">bmi, sodium and LDL cholesterol. So the model does not use the treatment variable</w:t>
      </w:r>
      <w:r>
        <w:t xml:space="preserve"> </w:t>
      </w:r>
      <w:r>
        <w:t xml:space="preserve">(to stay more or less in-line with the protocol).</w:t>
      </w:r>
      <w:r>
        <w:t xml:space="preserve"> </w:t>
      </w:r>
      <w:r>
        <w:t xml:space="preserve">But the analysis model only uses the treatment variable and no other covariates.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difference,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961"/>
        <w:gridCol w:w="1120"/>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 - 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0.570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0.066</w:t>
            </w:r>
          </w:p>
        </w:tc>
      </w:tr>
    </w:tbl>
    <w:bookmarkEnd w:id="40"/>
    <w:bookmarkStart w:id="41" w:name="unadjusted-analysis-complete-cases"/>
    <w:p>
      <w:pPr>
        <w:pStyle w:val="Heading3"/>
      </w:pPr>
      <w:r>
        <w:t xml:space="preserve">Unadjusted analysis, complete-cases</w:t>
      </w:r>
    </w:p>
    <w:p>
      <w:pPr>
        <w:pStyle w:val="FirstParagraph"/>
      </w:pPr>
      <w:r>
        <w:t xml:space="preserve">Dropping participants with missing HALT value (ie. dropping 16 observations - remember that some participants with missing HALT are dead and so are counted as</w:t>
      </w:r>
      <w:r>
        <w:t xml:space="preserve"> </w:t>
      </w:r>
      <w:r>
        <w:t xml:space="preserve">‘events’</w:t>
      </w:r>
      <w:r>
        <w:t xml:space="preserve"> </w:t>
      </w:r>
      <w:r>
        <w:t xml:space="preserve">in this analysis).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difference,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961"/>
        <w:gridCol w:w="1120"/>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 - 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0.618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-0.115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0.068</w:t>
            </w:r>
          </w:p>
        </w:tc>
      </w:tr>
    </w:tbl>
    <w:bookmarkEnd w:id="41"/>
    <w:bookmarkStart w:id="42" w:name="X2df87cd5f094d5c7d1a43f7f3c967373bfbd1e3"/>
    <w:p>
      <w:pPr>
        <w:pStyle w:val="Heading3"/>
      </w:pPr>
      <w:r>
        <w:t xml:space="preserve">Adjusted analysis with multilple imputation</w:t>
      </w:r>
    </w:p>
    <w:p>
      <w:pPr>
        <w:pStyle w:val="FirstParagraph"/>
      </w:pPr>
      <w:r>
        <w:t xml:space="preserve">Multiple imputation with imputation model containing sex, hemoglobin, potassium,</w:t>
      </w:r>
      <w:r>
        <w:t xml:space="preserve"> </w:t>
      </w:r>
      <w:r>
        <w:t xml:space="preserve">bmi, sodium and LDL cholesterol. So the model does not use the treatment variable</w:t>
      </w:r>
      <w:r>
        <w:t xml:space="preserve"> </w:t>
      </w:r>
      <w:r>
        <w:t xml:space="preserve">(to stay more or less in-line with the protocol).</w:t>
      </w:r>
      <w:r>
        <w:t xml:space="preserve"> </w:t>
      </w:r>
      <w:r>
        <w:t xml:space="preserve">The analysis model uses the covariates listed above and the treatment variable in addition.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adjusted risk difference,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961"/>
        <w:gridCol w:w="1120"/>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 - 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0.080</w:t>
            </w:r>
          </w:p>
        </w:tc>
      </w:tr>
    </w:tbl>
    <w:bookmarkEnd w:id="42"/>
    <w:bookmarkStart w:id="46" w:name="adjusted-analysis-complete-cases"/>
    <w:p>
      <w:pPr>
        <w:pStyle w:val="Heading3"/>
      </w:pPr>
      <w:r>
        <w:t xml:space="preserve">Adjusted analysis, complete-cases</w:t>
      </w:r>
    </w:p>
    <w:p>
      <w:pPr>
        <w:pStyle w:val="FirstParagraph"/>
      </w:pPr>
      <w:r>
        <w:t xml:space="preserve">Dropping participants with missing HALT value (ie. dropping 16 observations - remember that some participants with missing HALT are dead and so are counted as</w:t>
      </w:r>
      <w:r>
        <w:t xml:space="preserve"> </w:t>
      </w:r>
      <w:r>
        <w:t xml:space="preserve">‘events’</w:t>
      </w:r>
      <w:r>
        <w:t xml:space="preserve"> </w:t>
      </w:r>
      <w:r>
        <w:t xml:space="preserve">in this analysis).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Fitted model.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48"/>
        <w:gridCol w:w="1242"/>
        <w:gridCol w:w="839"/>
        <w:gridCol w:w="1120"/>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(Intercept)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w:t>
            </w:r>
          </w:p>
        </w:tc>
      </w:tr>
      <w:tr>
        <w:trPr>
          <w:trHeight w:val="615"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ran_trtASA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hemoglobin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w:t>
            </w:r>
          </w:p>
        </w:tc>
      </w:tr>
      <w:tr>
        <w:trPr>
          <w:trHeight w:val="6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potassium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0.02</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sodium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w:t>
            </w:r>
          </w:p>
        </w:tc>
      </w:tr>
      <w:tr>
        <w:trPr>
          <w:trHeight w:val="57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LDLchol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0.31</w:t>
            </w:r>
          </w:p>
        </w:tc>
      </w:tr>
    </w:tbl>
    <w:p>
      <w:pPr>
        <w:pStyle w:val="BodyText"/>
      </w:pPr>
      <w:r>
        <w:t xml:space="preserve">Distribution of risk differences for all study participants.</w:t>
      </w:r>
    </w:p>
    <w:p>
      <w:pPr>
        <w:pStyle w:val="CaptionedFigure"/>
      </w:pPr>
      <w:r>
        <w:drawing>
          <wp:inline>
            <wp:extent cx="3733800" cy="2666999"/>
            <wp:effectExtent b="0" l="0" r="0" t="0"/>
            <wp:docPr descr="Distribution of risk difference for all study participants. Mean risk difference in orange. Median in green." title="" id="44" name="Picture"/>
            <a:graphic>
              <a:graphicData uri="http://schemas.openxmlformats.org/drawingml/2006/picture">
                <pic:pic>
                  <pic:nvPicPr>
                    <pic:cNvPr descr="report_acasatavi_sham_files/report_acasatavi_sham_files/figure-docx/unnamed-chunk-22-1.png" id="45" name="Picture"/>
                    <pic:cNvPicPr>
                      <a:picLocks noChangeArrowheads="1" noChangeAspect="1"/>
                    </pic:cNvPicPr>
                  </pic:nvPicPr>
                  <pic:blipFill>
                    <a:blip r:embed="rId43"/>
                    <a:stretch>
                      <a:fillRect/>
                    </a:stretch>
                  </pic:blipFill>
                  <pic:spPr bwMode="auto">
                    <a:xfrm>
                      <a:off x="0" y="0"/>
                      <a:ext cx="3733800" cy="2666999"/>
                    </a:xfrm>
                    <a:prstGeom prst="rect">
                      <a:avLst/>
                    </a:prstGeom>
                    <a:noFill/>
                    <a:ln w="9525">
                      <a:noFill/>
                      <a:headEnd/>
                      <a:tailEnd/>
                    </a:ln>
                  </pic:spPr>
                </pic:pic>
              </a:graphicData>
            </a:graphic>
          </wp:inline>
        </w:drawing>
      </w:r>
    </w:p>
    <w:p>
      <w:pPr>
        <w:pStyle w:val="ImageCaption"/>
      </w:pPr>
      <w:r>
        <w:t xml:space="preserve">Distribution of risk difference for all study participants. Mean risk difference in orange. Median in green.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adjusted risk difference,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961"/>
        <w:gridCol w:w="1120"/>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 - 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-0.101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0.078</w:t>
            </w:r>
          </w:p>
        </w:tc>
      </w:tr>
    </w:tbl>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adjusted risk ratio,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48"/>
        <w:gridCol w:w="1242"/>
        <w:gridCol w:w="1120"/>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0.667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1.367</w:t>
            </w:r>
          </w:p>
        </w:tc>
      </w:tr>
    </w:tbl>
    <w:bookmarkEnd w:id="46"/>
    <w:bookmarkEnd w:id="47"/>
    <w:bookmarkStart w:id="57" w:name="primary-safety-endpoint"/>
    <w:p>
      <w:pPr>
        <w:pStyle w:val="Heading2"/>
      </w:pPr>
      <w:r>
        <w:t xml:space="preserve">Primary safety endpoint</w:t>
      </w:r>
    </w:p>
    <w:bookmarkStart w:id="54" w:name="descriptive-statistics-1"/>
    <w:p>
      <w:pPr>
        <w:pStyle w:val="Heading3"/>
      </w:pPr>
      <w:r>
        <w:t xml:space="preserve">Descriptive statistics</w:t>
      </w:r>
    </w:p>
    <w:p>
      <w:pPr>
        <w:pStyle w:val="FirstParagraph"/>
      </w:pPr>
      <w:r>
        <w:t xml:space="preserve">Also by site?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Descriptive statistics for primary safety endpoint. Counts and proportions.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269"/>
        <w:gridCol w:w="1487"/>
        <w:gridCol w:w="1487"/>
        <w:gridCol w:w="1487"/>
      </w:tblGrid>
      <w:tr>
        <w:trPr>
          <w:trHeight w:val="57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w:t>
            </w:r>
          </w:p>
        </w:tc>
      </w:tr>
      <w:tr>
        <w:trPr>
          <w:trHeight w:val="617"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 safety events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229</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bleeding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death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r>
      <w:tr>
        <w:trPr>
          <w:trHeight w:val="569"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stroke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r>
      <w:tr>
        <w:trPr>
          <w:trHeight w:val="61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Missing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103</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Total safety event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(11.1%)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 (10.7%)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 (10.9%)</w:t>
            </w:r>
          </w:p>
        </w:tc>
      </w:tr>
    </w:tbl>
    <w:p>
      <w:pPr>
        <w:pStyle w:val="BodyText"/>
      </w:pPr>
      <w:r>
        <w:t xml:space="preserve">Out of the 28 safety events, 9 happen in patients that also switch between the treatments at some point. Among these 9 patients: 6 experience the safety event before switching, while 3 experience the safety event after switching.</w:t>
      </w:r>
    </w:p>
    <w:p>
      <w:pPr>
        <w:pStyle w:val="CaptionedFigure"/>
      </w:pPr>
      <w:r>
        <w:drawing>
          <wp:inline>
            <wp:extent cx="5334000" cy="2667000"/>
            <wp:effectExtent b="0" l="0" r="0" t="0"/>
            <wp:docPr descr="All patients" title="" id="49" name="Picture"/>
            <a:graphic>
              <a:graphicData uri="http://schemas.openxmlformats.org/drawingml/2006/picture">
                <pic:pic>
                  <pic:nvPicPr>
                    <pic:cNvPr descr="report_acasatavi_sham_files/report_acasatavi_sham_files/figure-docx/unnamed-chunk-26-1.png" id="50" name="Picture"/>
                    <pic:cNvPicPr>
                      <a:picLocks noChangeArrowheads="1" noChangeAspect="1"/>
                    </pic:cNvPicPr>
                  </pic:nvPicPr>
                  <pic:blipFill>
                    <a:blip r:embed="rId4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All patients</w:t>
      </w:r>
    </w:p>
    <w:p>
      <w:pPr>
        <w:pStyle w:val="CaptionedFigure"/>
      </w:pPr>
      <w:r>
        <w:drawing>
          <wp:inline>
            <wp:extent cx="5334000" cy="3556000"/>
            <wp:effectExtent b="0" l="0" r="0" t="0"/>
            <wp:docPr descr="Patients with safety events and/or switching and discontinuation" title="" id="52" name="Picture"/>
            <a:graphic>
              <a:graphicData uri="http://schemas.openxmlformats.org/drawingml/2006/picture">
                <pic:pic>
                  <pic:nvPicPr>
                    <pic:cNvPr descr="report_acasatavi_sham_files/report_acasatavi_sham_files/figure-docx/unnamed-chunk-27-1.png" id="53" name="Picture"/>
                    <pic:cNvPicPr>
                      <a:picLocks noChangeArrowheads="1" noChangeAspect="1"/>
                    </pic:cNvPicPr>
                  </pic:nvPicPr>
                  <pic:blipFill>
                    <a:blip r:embed="rId51"/>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Patients with safety events and/or switching and discontinuation</w:t>
      </w:r>
    </w:p>
    <w:p>
      <w:pPr>
        <w:pStyle w:val="BodyText"/>
      </w:pPr>
      <w:r>
        <w:t xml:space="preserve">In this figure there are 46 switches and 7 discontinuations, and these number may seem to bit slightly at odds with the numbers presented in Table 2.6. But that’s actually just because what is called</w:t>
      </w:r>
      <w:r>
        <w:t xml:space="preserve"> </w:t>
      </w:r>
      <w:r>
        <w:t xml:space="preserve">“switches”</w:t>
      </w:r>
      <w:r>
        <w:t xml:space="preserve"> </w:t>
      </w:r>
      <w:r>
        <w:t xml:space="preserve">here in fact includes both</w:t>
      </w:r>
      <w:r>
        <w:t xml:space="preserve"> </w:t>
      </w:r>
      <w:r>
        <w:t xml:space="preserve">“switches and stops”</w:t>
      </w:r>
      <w:r>
        <w:t xml:space="preserve"> </w:t>
      </w:r>
      <w:r>
        <w:t xml:space="preserve">in Table 2.6.</w:t>
      </w:r>
    </w:p>
    <w:bookmarkEnd w:id="54"/>
    <w:bookmarkStart w:id="55" w:name="Xab3da7f8e19423a53563971629d0f19a860b21b"/>
    <w:p>
      <w:pPr>
        <w:pStyle w:val="Heading3"/>
      </w:pPr>
      <w:r>
        <w:t xml:space="preserve">Unadjusted analysis with multiple imputation, treatment policy strategy</w:t>
      </w:r>
    </w:p>
    <w:p>
      <w:pPr>
        <w:pStyle w:val="FirstParagraph"/>
      </w:pPr>
      <w:r>
        <w:t xml:space="preserve">Multiple imputation with imputation model containing no covariates</w:t>
      </w:r>
      <w:r>
        <w:t xml:space="preserve"> </w:t>
      </w:r>
      <w:r>
        <w:t xml:space="preserve">(so using only the overall event rate, to stay more or less in-line with the protocol).</w:t>
      </w:r>
      <w:r>
        <w:t xml:space="preserve"> </w:t>
      </w:r>
      <w:r>
        <w:t xml:space="preserve">The analysis model uses the treatment variable and no other covariates.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difference, along with corresponding p-value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961"/>
        <w:gridCol w:w="1903"/>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p.value.nonsup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0.080</w:t>
            </w:r>
          </w:p>
        </w:tc>
      </w:tr>
    </w:tbl>
    <w:bookmarkEnd w:id="55"/>
    <w:bookmarkStart w:id="56" w:name="X2a085012692cb3ea89a8b0d6cb27cfbaec71b5b"/>
    <w:p>
      <w:pPr>
        <w:pStyle w:val="Heading3"/>
      </w:pPr>
      <w:r>
        <w:t xml:space="preserve">Unadjusted analysis, complete-cases, treatment policy strategy</w:t>
      </w:r>
    </w:p>
    <w:p>
      <w:pPr>
        <w:pStyle w:val="FirstParagraph"/>
      </w:pPr>
      <w:r>
        <w:t xml:space="preserve">Discuss margin (in protocol it says 11.9%, but that seems a bit wide maybe)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Estimated average unadjusted risk difference, along with corresponding p-value (for non-inferiority test) and confidence interval.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682"/>
        <w:gridCol w:w="1242"/>
        <w:gridCol w:w="961"/>
        <w:gridCol w:w="1903"/>
        <w:gridCol w:w="1328"/>
        <w:gridCol w:w="1414"/>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contrast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p.value.nonsup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95CI_high</w:t>
            </w:r>
          </w:p>
        </w:tc>
      </w:tr>
      <w:tr>
        <w:trPr>
          <w:trHeight w:val="574"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 ASA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0.039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0.080</w:t>
            </w:r>
          </w:p>
        </w:tc>
      </w:tr>
    </w:tbl>
    <w:bookmarkEnd w:id="56"/>
    <w:bookmarkEnd w:id="57"/>
    <w:bookmarkEnd w:id="58"/>
    <w:bookmarkStart w:id="63" w:name="key-secondary-endpoints"/>
    <w:p>
      <w:pPr>
        <w:pStyle w:val="Heading1"/>
      </w:pPr>
      <w:r>
        <w:t xml:space="preserve">Key secondary endpoints</w:t>
      </w:r>
    </w:p>
    <w:bookmarkStart w:id="59" w:name="clinical-efficacy"/>
    <w:p>
      <w:pPr>
        <w:pStyle w:val="Heading2"/>
      </w:pPr>
      <w:r>
        <w:t xml:space="preserve">Clinical efficacy</w:t>
      </w:r>
    </w:p>
    <w:bookmarkEnd w:id="59"/>
    <w:bookmarkStart w:id="60" w:name="thromboembolic-events"/>
    <w:p>
      <w:pPr>
        <w:pStyle w:val="Heading2"/>
      </w:pPr>
      <w:r>
        <w:t xml:space="preserve">Thromboembolic events</w:t>
      </w:r>
    </w:p>
    <w:bookmarkEnd w:id="60"/>
    <w:bookmarkStart w:id="61" w:name="bleeding-events"/>
    <w:p>
      <w:pPr>
        <w:pStyle w:val="Heading2"/>
      </w:pPr>
      <w:r>
        <w:t xml:space="preserve">Bleeding events</w:t>
      </w:r>
    </w:p>
    <w:bookmarkEnd w:id="61"/>
    <w:bookmarkStart w:id="62" w:name="all-cause-mortality"/>
    <w:p>
      <w:pPr>
        <w:pStyle w:val="Heading2"/>
      </w:pPr>
      <w:r>
        <w:t xml:space="preserve">All-cause mortality</w:t>
      </w:r>
    </w:p>
    <w:bookmarkEnd w:id="62"/>
    <w:bookmarkEnd w:id="63"/>
    <w:bookmarkStart w:id="64" w:name="secondary-safety-endpoints"/>
    <w:p>
      <w:pPr>
        <w:pStyle w:val="Heading1"/>
      </w:pPr>
      <w:r>
        <w:t xml:space="preserve">Secondary safety endpoints</w:t>
      </w:r>
    </w:p>
    <w:bookmarkEnd w:id="64"/>
    <w:bookmarkStart w:id="72" w:name="additional-safety-analysis"/>
    <w:p>
      <w:pPr>
        <w:pStyle w:val="Heading1"/>
      </w:pPr>
      <w:r>
        <w:t xml:space="preserve">Additional safety analysis</w:t>
      </w:r>
    </w:p>
    <w:p>
      <w:pPr>
        <w:pStyle w:val="BlockText"/>
      </w:pPr>
      <w:r>
        <w:t xml:space="preserve">Which numbers and tables do you want to see here?</w:t>
      </w:r>
    </w:p>
    <w:bookmarkStart w:id="65" w:name="X3edd50b04415f5f2690fe7092b0cd7e28cf0a22"/>
    <w:p>
      <w:pPr>
        <w:pStyle w:val="Heading2"/>
      </w:pPr>
      <w:r>
        <w:t xml:space="preserve">Overview of adverse events, serious adverse events and suspected unexpected serious adverse reaction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Summary of adverse events.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4568"/>
        <w:gridCol w:w="1872"/>
        <w:gridCol w:w="1676"/>
        <w:gridCol w:w="1933"/>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 (n=180)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 (n=180)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Overall (n=360)</w:t>
            </w:r>
          </w:p>
        </w:tc>
      </w:tr>
      <w:tr>
        <w:trPr>
          <w:trHeight w:val="57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AEs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any 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119 (66.1%)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 (62.8%)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232 (64.4%)</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one 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56 (31.1%)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42 (23.3%)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98 (27.2%)</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two 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68 (18.9%)</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three or more 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36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66 (18.3%)</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SAEs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237</w:t>
            </w:r>
          </w:p>
        </w:tc>
      </w:tr>
      <w:tr>
        <w:trPr>
          <w:trHeight w:val="617"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any SAEs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72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67 (37.2%)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139 (38.6%)</w:t>
            </w:r>
          </w:p>
        </w:tc>
      </w:tr>
      <w:tr>
        <w:trPr>
          <w:trHeight w:val="57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SUSARs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r>
      <w:tr>
        <w:trPr>
          <w:trHeight w:val="61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Number of patients with any SUSARs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 (4.4%)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 (0.6%)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 (2.5%)</w:t>
            </w:r>
          </w:p>
        </w:tc>
      </w:tr>
    </w:tbl>
    <w:bookmarkEnd w:id="65"/>
    <w:bookmarkStart w:id="66" w:name="adverse-events-of-special-interest"/>
    <w:p>
      <w:pPr>
        <w:pStyle w:val="Heading2"/>
      </w:pPr>
      <w:r>
        <w:t xml:space="preserve">Adverse events of special interest</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adverse events of special interest by system organ class and preferred term.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425"/>
        <w:gridCol w:w="2893"/>
        <w:gridCol w:w="1046"/>
        <w:gridCol w:w="851"/>
      </w:tblGrid>
      <w:tr>
        <w:trPr>
          <w:trHeight w:val="617"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System organ class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Preferred 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DOAC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ASA</w:t>
            </w:r>
          </w:p>
        </w:tc>
      </w:tr>
      <w:tr>
        <w:trPr>
          <w:trHeight w:val="61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general disorders and administration site conditions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paravalvular regurgitation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skin and subcutaneous tissue disorders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petechiae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bl>
    <w:bookmarkEnd w:id="66"/>
    <w:bookmarkStart w:id="67" w:name="Xd20b450debca245bf36d465f01e4b4e52d89aa8"/>
    <w:p>
      <w:pPr>
        <w:pStyle w:val="Heading2"/>
      </w:pPr>
      <w:r>
        <w:t xml:space="preserve">Maximal intensity and causal relationships of AEs and SAEs to acetylsalicylic acid</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adverse events by categories of intensity and causal relationship to acetylsalicylic acid.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40"/>
        <w:gridCol w:w="1365"/>
        <w:gridCol w:w="1181"/>
        <w:gridCol w:w="1242"/>
        <w:gridCol w:w="1291"/>
        <w:gridCol w:w="1157"/>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intensity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Unrelated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Unlikely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Possible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Probable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Definite</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Mild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Severe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bl>
    <w:bookmarkEnd w:id="67"/>
    <w:bookmarkStart w:id="68" w:name="X94f6a90c0c6315ddd6b14698f6318d6d45ceb53"/>
    <w:p>
      <w:pPr>
        <w:pStyle w:val="Heading2"/>
      </w:pPr>
      <w:r>
        <w:t xml:space="preserve">Maximal intensity and causal relationships of AEs and SAEs to apixaban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adverse events by categories of intensity and causal relationship to apixaban.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40"/>
        <w:gridCol w:w="1365"/>
        <w:gridCol w:w="1181"/>
        <w:gridCol w:w="1242"/>
        <w:gridCol w:w="1291"/>
        <w:gridCol w:w="1157"/>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intensity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Unrelated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Unlikely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Possible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Probable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Definite</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Mild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Severe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bl>
    <w:bookmarkEnd w:id="68"/>
    <w:bookmarkStart w:id="69" w:name="X96b076290a6c555861946e2c9952d99fb9440cc"/>
    <w:p>
      <w:pPr>
        <w:pStyle w:val="Heading2"/>
      </w:pPr>
      <w:r>
        <w:t xml:space="preserve">Maximal intensity and causal relationships of AEs and SAEs to edoxaban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adverse events by categories of intensity and causal relationship to edoxaban.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40"/>
        <w:gridCol w:w="1365"/>
        <w:gridCol w:w="1181"/>
        <w:gridCol w:w="1242"/>
        <w:gridCol w:w="1291"/>
        <w:gridCol w:w="1157"/>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intensity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Unrelated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Unlikely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Possible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Probable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Definite</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Mild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Severe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bl>
    <w:bookmarkEnd w:id="69"/>
    <w:bookmarkStart w:id="70" w:name="X43865c4268ac7c03d40e397a18dc5dd700419b4"/>
    <w:p>
      <w:pPr>
        <w:pStyle w:val="Heading2"/>
      </w:pPr>
      <w:r>
        <w:t xml:space="preserve">Maximal intensity and causal relationships of AEs and SAEs to rivaroxaban</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adverse events by categories of intensity and causal relationship to rivaroxaban.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340"/>
        <w:gridCol w:w="1365"/>
        <w:gridCol w:w="1181"/>
        <w:gridCol w:w="1242"/>
        <w:gridCol w:w="1291"/>
        <w:gridCol w:w="1157"/>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intensity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Unrelated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Unlikely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Possible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Probable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Definite</w:t>
            </w:r>
          </w:p>
        </w:tc>
      </w:tr>
      <w:tr>
        <w:trPr>
          <w:trHeight w:val="57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Mild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Moderate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4"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Severe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bl>
    <w:bookmarkEnd w:id="70"/>
    <w:bookmarkStart w:id="71" w:name="X29fc779dd7281d40a553b2fcdf1cdc99bd9148b"/>
    <w:p>
      <w:pPr>
        <w:pStyle w:val="Heading2"/>
      </w:pPr>
      <w:r>
        <w:t xml:space="preserve">Adverse Events by System Organ Class and Preferred term</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left"/>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Number of AEs and SAEs by system organ class and preferred term.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100"/>
        <w:gridCol w:w="4152"/>
        <w:gridCol w:w="1046"/>
        <w:gridCol w:w="851"/>
        <w:gridCol w:w="1046"/>
        <w:gridCol w:w="851"/>
      </w:tblGrid>
      <w:tr>
        <w:trPr>
          <w:trHeight w:val="574" w:hRule="auto"/>
          <w:tblHeader/>
        </w:trPr>
        <w:tc>
          <w:tcPr>
            <w:gridSpan w:val="2"/>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t>
            </w:r>
          </w:p>
        </w:tc>
        <w:tc>
          <w:tcPr>
            <w:gridSpan w:val="2"/>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AE</w:t>
            </w:r>
          </w:p>
        </w:tc>
        <w:tc>
          <w:tcPr>
            <w:gridSpan w:val="2"/>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SAE</w:t>
            </w:r>
          </w:p>
        </w:tc>
      </w:tr>
      <w:tr>
        <w:trPr>
          <w:trHeight w:val="617"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System organ class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Preferred term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DOAC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ASA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DOAC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ASA</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blood and lymphatic system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haemolytic anaemia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iron deficiency anaemia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acute coronary syndrome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acute myocardial infarction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angina pectoris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atrial fibrillation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atrial flutter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atrioventricular block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atrioventricular block complete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atrioventricular block first degree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atrioventricular block second degree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arrest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failure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myocardial infarction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nodal rhythm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pericardial effusion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pericarditis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ventricular arrhythmia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ventricular tachycardia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ear and labyrinth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sudden hearing loss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vertigo positional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endocrine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hypothyroidism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eye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amaurosis fugax</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blindness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conjunctival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diplopia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vision blurred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visual impairment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vitreous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gastrointestinal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abdominal pain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abdominal pain upper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diverticulum intestinal haemorrhagic</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dry mouth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flatulence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gastrointestinal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gastrooesophageal reflux disease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haematochezia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ileus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intestinal obstruction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intestinal pseudo-obstruction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melaena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mouth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nausea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oesophagitis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pancreatitis acute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rectal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general disorders and administration site conditions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chest pain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death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fatigue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fibrosis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gait disturbance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hernia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injection site discomfort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paravalvular regurgitation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prolapse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prosthetic cardiac valve thrombosis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hepatobiliary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cholecystitis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cholelithiasis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hepatic cirrhosis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hepatic fibrosis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immune system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hypersensitivity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infections and infestations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arthritis bacterial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cellulitis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covid-19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device related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endocarditis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enterococcal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erysipelas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localised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lower respiratory tract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pharyngitis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pneumonia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r>
      <w:tr>
        <w:trPr>
          <w:trHeight w:val="61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postoperative wound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pyelonephritis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respiratory tract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septic embolus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septic pulmonary embolism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septic shock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tooth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urinary tract infection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injury, poisoning and procedural complications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alcohol poisoning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ankle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cervical vertebral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facial bones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fall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femoral neck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forearm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ligament rupture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limb injury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periorbital haematoma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post procedural haematoma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prescribed overdose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skin laceration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upper limb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vascular pseudoaneurysm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wrist fracture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investigations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enterococcus test positive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occult blood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metabolism and nutrition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dehydration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diabetic ketoacidosis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gout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hyperglycaemia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hypoglycaemia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hypomagnesaemia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iron deficiency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2 diabetes mellitus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musculoskeletal and connective tissue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arthralgia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arthritis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musculoskeletal chest pain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osteoarthritis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pain in extremity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polymyalgia rheumatica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7"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neoplasms benign, malignant and unspecified (incl cysts and polyps)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basal cell carcinoma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bladder cancer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brain neoplasm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breast cancer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colorectal adenocarcinoma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laryngeal papilloma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malignant melanoma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metastases to lymph nodes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08"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prostate cancer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rectosigmoid cancer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renal neoplasm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nervous system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amnesia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balance disorder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cerebral artery embolism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cerebral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cerebral infarction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cerebrovascular accident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dizziness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embolic cerebral infarction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epilepsy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hyposmia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lethargy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migraine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presyncope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seizure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syncope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transient ischaemic attack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tremor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vascular dementia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psychiatric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autoscopy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confusional state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delirium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renal and urinary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acute kidney injury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haematuria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nephrolithiasis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nephrotic syndrome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renal failure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urinary retention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reproductive system and breast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gynaecomastia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uterine prolapse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respiratory, thoracic and mediastinal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acute pulmonary oedema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chronic obstructive pulmonary disease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dyspnoea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emphysema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epistaxis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haemoptysis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hypersensitivity pneumonitis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pleural effusion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productive cough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pulmonary embolism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pulmonary oedema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sleep apnoea syndrome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skin and subcutaneous tissue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decubitus ulcer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petechiae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pruritus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rash</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skin 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surgical and medical procedures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appendicectomy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pacemaker insertion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cardiac resynchronisation therapy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cataract operation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cholecystectomy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colectomy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hip arthroplasty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large intestinal polypectomy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mole excision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orchidectomy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percutaneous coronary intervention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skin neoplasm excision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spinal laminectomy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transurethral bladder resection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vascular disorders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aortic aneurysm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deep vein thrombosis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embolism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haematoma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haemorrhage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hypertension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4"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hypotension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r>
      <w:tr>
        <w:trPr>
          <w:trHeight w:val="612"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peripheral arterial occlusive disease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615"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thrombophlebitis superficial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thrombosis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r>
        <w:trPr>
          <w:trHeight w:val="571"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vasculitis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w:t>
            </w:r>
          </w:p>
        </w:tc>
      </w:tr>
    </w:tbl>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image" Id="rId51" Target="media/rId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report for ACASA-TAVI</dc:title>
  <dc:creator>C. Cunen</dc:creator>
  <cp:keywords/>
  <dcterms:created xsi:type="dcterms:W3CDTF">2026-06-08T11:30:09Z</dcterms:created>
  <dcterms:modified xsi:type="dcterms:W3CDTF">2026-06-08T11:30:09Z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08 juni 2026</vt:lpwstr>
  </property>
  <property fmtid="{D5CDD505-2E9C-101B-9397-08002B2CF9AE}" pid="3" name="output">
    <vt:lpwstr/>
  </property>
  <property fmtid="{D5CDD505-2E9C-101B-9397-08002B2CF9AE}" pid="4" name="subtitle">
    <vt:lpwstr>AntiCoagulation versus AcetylSalicylic Acid after Transcatheter Aortic Valve Implantation</vt:lpwstr>
  </property>
</Properties>
</file>