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report for ACASA-TAVI</w:t>
      </w:r>
    </w:p>
    <w:p>
      <w:pPr>
        <w:pStyle w:val="Subtitle"/>
      </w:pPr>
      <w:r>
        <w:t xml:space="preserve">AntiCoagulation versus AcetylSalicylic Acid after Transcatheter Aortic Valve Implantation</w:t>
      </w:r>
    </w:p>
    <w:p>
      <w:pPr>
        <w:pStyle w:val="Author"/>
      </w:pPr>
      <w:r>
        <w:t xml:space="preserve">C. Cunen</w:t>
      </w:r>
    </w:p>
    <w:p>
      <w:pPr>
        <w:pStyle w:val="Date"/>
      </w:pPr>
      <w:r>
        <w:t xml:space="preserve">19 juni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introduction"/>
    <w:p>
      <w:pPr>
        <w:pStyle w:val="Heading1"/>
      </w:pPr>
      <w:r>
        <w:t xml:space="preserve">Introduction</w:t>
      </w:r>
    </w:p>
    <w:bookmarkStart w:id="20" w:name="randomisation-status"/>
    <w:p>
      <w:pPr>
        <w:pStyle w:val="Heading2"/>
      </w:pPr>
      <w:r>
        <w:t xml:space="preserve">Randomisation Status</w:t>
      </w:r>
    </w:p>
    <w:p>
      <w:pPr>
        <w:pStyle w:val="FirstParagraph"/>
      </w:pPr>
      <w:r>
        <w:t xml:space="preserve">The present dataset is built on</w:t>
      </w:r>
      <w:r>
        <w:t xml:space="preserve"> </w:t>
      </w:r>
      <w:r>
        <w:rPr>
          <w:i/>
          <w:iCs/>
        </w:rPr>
        <w:t xml:space="preserve">sham randomisation</w:t>
      </w:r>
      <w:r>
        <w:t xml:space="preserve"> </w:t>
      </w:r>
      <w:r>
        <w:t xml:space="preserve">generated from the most recent export from Viedoc. No true treatment assignments have been unlocked. All findings in this document should therefore be interpreted as preliminary and descriptive only. Final efficacy comparisons will not be conducted until the database is locked and genuine randomisation codes are used.</w:t>
      </w:r>
    </w:p>
    <w:bookmarkEnd w:id="20"/>
    <w:bookmarkStart w:id="21" w:name="data-preparations"/>
    <w:p>
      <w:pPr>
        <w:pStyle w:val="Heading2"/>
      </w:pPr>
      <w:r>
        <w:t xml:space="preserve">Data preparations</w:t>
      </w:r>
    </w:p>
    <w:p>
      <w:pPr>
        <w:pStyle w:val="FirstParagraph"/>
      </w:pPr>
      <w:r>
        <w:t xml:space="preserve">The data have been prepared in accordance with the SAP, except for …</w:t>
      </w:r>
    </w:p>
    <w:bookmarkEnd w:id="21"/>
    <w:bookmarkEnd w:id="22"/>
    <w:bookmarkStart w:id="29" w:name="patient-enrolment-and-disposition"/>
    <w:p>
      <w:pPr>
        <w:pStyle w:val="Heading1"/>
      </w:pPr>
      <w:r>
        <w:t xml:space="preserve">Patient enrolment and disposition</w:t>
      </w:r>
    </w:p>
    <w:p>
      <w:pPr>
        <w:pStyle w:val="FirstParagraph"/>
      </w:pPr>
      <w:r>
        <w:t xml:space="preserve">27 patients from haukeland, 333 from OUS</w:t>
      </w:r>
    </w:p>
    <w:bookmarkStart w:id="23" w:name="trial-population"/>
    <w:p>
      <w:pPr>
        <w:pStyle w:val="Heading2"/>
      </w:pPr>
      <w:r>
        <w:t xml:space="preserve">Trial population</w:t>
      </w:r>
    </w:p>
    <w:p>
      <w:pPr>
        <w:pStyle w:val="FirstParagraph"/>
      </w:pPr>
      <w:r>
        <w:t xml:space="preserve">The following table summarizes the number of patients that were screened (?), that were eligible and randomized, that received the treatment and that were lost to follow-up, as well as the number of patients included in the analyses. This table should be used to fill in the CONSORT diagram (??).</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Counts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828"/>
        <w:gridCol w:w="778"/>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Assessed at screening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Eligible at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Ineligible at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Eligible and randomised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359</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Eligible not randomised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Randomized but ineligible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Non-completers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Randomised and FAS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Randomised and FAS with co-primary efficacy endpoint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334</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Randomised and FAS with co-primary safety endpoint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r>
    </w:tbl>
    <w:bookmarkEnd w:id="23"/>
    <w:bookmarkStart w:id="24" w:name="X3eac55546c0925b7f261fe37fd1642ab592a3c5"/>
    <w:p>
      <w:pPr>
        <w:pStyle w:val="Heading2"/>
      </w:pPr>
      <w:r>
        <w:t xml:space="preserve">Patient disposition (reasons for non-completion)</w:t>
      </w:r>
    </w:p>
    <w:p>
      <w:pPr>
        <w:pStyle w:val="FirstParagraph"/>
      </w:pPr>
      <w:r>
        <w:t xml:space="preserve">Overview of study completion and reasons for non-completion. The counts of</w:t>
      </w:r>
      <w:r>
        <w:t xml:space="preserve"> </w:t>
      </w:r>
      <w:r>
        <w:t xml:space="preserve">“Study completed”</w:t>
      </w:r>
      <w:r>
        <w:t xml:space="preserve"> </w:t>
      </w:r>
      <w:r>
        <w:t xml:space="preserve">which are neither</w:t>
      </w:r>
      <w:r>
        <w:t xml:space="preserve"> </w:t>
      </w:r>
      <w:r>
        <w:t xml:space="preserve">“Yes”</w:t>
      </w:r>
      <w:r>
        <w:t xml:space="preserve"> </w:t>
      </w:r>
      <w:r>
        <w:t xml:space="preserve">nor</w:t>
      </w:r>
      <w:r>
        <w:t xml:space="preserve"> </w:t>
      </w:r>
      <w:r>
        <w:t xml:space="preserve">“No”</w:t>
      </w:r>
      <w:r>
        <w:t xml:space="preserve"> </w:t>
      </w:r>
      <w:r>
        <w:t xml:space="preserve">are participants who have not had their final visit yet.</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Overview of study completion and reasons for non-completion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17"/>
        <w:gridCol w:w="1046"/>
        <w:gridCol w:w="851"/>
        <w:gridCol w:w="900"/>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Number of randomised participants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Study completed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336</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Reason for discontinuation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Voluntary discontinuation by patient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Incorrect randomisation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Non-compliance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bl>
    <w:bookmarkEnd w:id="24"/>
    <w:bookmarkStart w:id="25" w:name="X2874729a399a51a2a2c27d70152a28510971d69"/>
    <w:p>
      <w:pPr>
        <w:pStyle w:val="Heading2"/>
      </w:pPr>
      <w:r>
        <w:t xml:space="preserve">Timing of end of study, withdrawals and follow ups</w:t>
      </w:r>
    </w:p>
    <w:p>
      <w:pPr>
        <w:pStyle w:val="FirstParagraph"/>
      </w:pPr>
      <w:r>
        <w:t xml:space="preserve">Time from randomisation to end of study and time from randomisation to withdrawal/lost to follow-up is summarized by median and min-max, overall and by treatment group.</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Length of study by treatment groups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63"/>
        <w:gridCol w:w="1548"/>
        <w:gridCol w:w="1732"/>
        <w:gridCol w:w="1732"/>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All participants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361 (0-510)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 (1-440)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358.5 (0-510)</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Non-completers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 (0-363)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183.5 (1-271)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 (0-363)</w:t>
            </w:r>
          </w:p>
        </w:tc>
      </w:tr>
    </w:tbl>
    <w:bookmarkEnd w:id="25"/>
    <w:bookmarkStart w:id="26" w:name="protocol-deviations"/>
    <w:p>
      <w:pPr>
        <w:pStyle w:val="Heading2"/>
      </w:pPr>
      <w:r>
        <w:t xml:space="preserve">Protocol deviations</w:t>
      </w:r>
    </w:p>
    <w:p>
      <w:pPr>
        <w:pStyle w:val="FirstParagraph"/>
      </w:pPr>
      <w:r>
        <w:t xml:space="preserve">Number of major and minor protocol deviations, summarized by treatment group with details of type of deviation provided.</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minor protocol deviations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13"/>
        <w:gridCol w:w="5461"/>
        <w:gridCol w:w="655"/>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 of 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Incorrect treatment and/or dose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Prohibited concomitant medication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Failure to collect important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Serious breach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Prohibited concomitant medication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Failure to collect important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Serious breach - SAE notification / safety procedure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r>
    </w:tbl>
    <w:p>
      <w:pPr>
        <w:pStyle w:val="BodyText"/>
      </w:pPr>
      <w:r>
        <w:t xml:space="preserve">There are currently no PD that are categorised as</w:t>
      </w:r>
      <w:r>
        <w:t xml:space="preserve"> </w:t>
      </w:r>
      <w:r>
        <w:t xml:space="preserve">“major”</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major protocol deviations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13"/>
        <w:gridCol w:w="1915"/>
        <w:gridCol w:w="5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 of 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r>
    </w:tbl>
    <w:bookmarkEnd w:id="26"/>
    <w:bookmarkStart w:id="27" w:name="adherence-to-allocated-treatment"/>
    <w:p>
      <w:pPr>
        <w:pStyle w:val="Heading2"/>
      </w:pPr>
      <w:r>
        <w:t xml:space="preserve">Adherence to allocated treatment</w:t>
      </w:r>
    </w:p>
    <w:p>
      <w:pPr>
        <w:pStyle w:val="FirstParagraph"/>
      </w:pPr>
      <w:r>
        <w:t xml:space="preserve">Number of patients participants switching between ASA and DOAC or stopping the treatment altogether (so far - final data could reveal more switches), by treatment group and in total.</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participants switching or stopping.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46"/>
        <w:gridCol w:w="2796"/>
        <w:gridCol w:w="2502"/>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change in study drug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Switching or stopping</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r>
    </w:tbl>
    <w:bookmarkEnd w:id="27"/>
    <w:bookmarkStart w:id="28" w:name="analysis-sets"/>
    <w:p>
      <w:pPr>
        <w:pStyle w:val="Heading2"/>
      </w:pPr>
      <w:r>
        <w:t xml:space="preserve">Analysis sets</w:t>
      </w:r>
    </w:p>
    <w:p>
      <w:pPr>
        <w:pStyle w:val="FirstParagraph"/>
      </w:pPr>
      <w:r>
        <w:t xml:space="preserve">The FAS includes all participants. The SAS is the same as the FAS.</w:t>
      </w:r>
      <w:r>
        <w:t xml:space="preserve"> </w:t>
      </w:r>
      <w:r>
        <w:t xml:space="preserve">The PP includes all participants except</w:t>
      </w:r>
      <w:r>
        <w:t xml:space="preserve"> </w:t>
      </w:r>
      <w:r>
        <w:t xml:space="preserve">– non-completers that did not die (voluntary discontinuation mostly)</w:t>
      </w:r>
      <w:r>
        <w:t xml:space="preserve"> </w:t>
      </w:r>
      <w:r>
        <w:t xml:space="preserve">– participants with important protocol deviations</w:t>
      </w:r>
      <w:r>
        <w:t xml:space="preserve"> </w:t>
      </w:r>
      <w:r>
        <w:t xml:space="preserve">– participants switching between ASA and DOAC or stopping the treatment altogether.</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participants in the different analysis sets.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46"/>
        <w:gridCol w:w="1976"/>
        <w:gridCol w:w="1951"/>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Full analysis 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 protocol set</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153</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305</w:t>
            </w:r>
          </w:p>
        </w:tc>
      </w:tr>
    </w:tbl>
    <w:bookmarkEnd w:id="28"/>
    <w:bookmarkEnd w:id="29"/>
    <w:bookmarkStart w:id="36" w:name="X152c858db766f039168fb4c8c8273afb55a6079"/>
    <w:p>
      <w:pPr>
        <w:pStyle w:val="Heading1"/>
      </w:pPr>
      <w:r>
        <w:t xml:space="preserve">Demographics and baseline characteristics</w:t>
      </w:r>
    </w:p>
    <w:bookmarkStart w:id="30" w:name="table-1"/>
    <w:p>
      <w:pPr>
        <w:pStyle w:val="Heading2"/>
      </w:pPr>
      <w:r>
        <w:t xml:space="preserve">Table 1</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Baseline characteristics for all 360 participants. Continuous variables are summarised by mean (SD), or by median (IQR) as appopriate.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842"/>
        <w:gridCol w:w="1915"/>
      </w:tblGrid>
      <w:tr>
        <w:trPr>
          <w:trHeight w:val="41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 (3.7)</w:t>
            </w:r>
          </w:p>
        </w:tc>
      </w:tr>
      <w:tr>
        <w:trPr>
          <w:trHeight w:val="60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NYHA functional class III or IV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Body mass index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28.1 (4.7)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Coronary artery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Previous stroke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Permanent pacemaker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Chronic obstructive pulmonary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EuroSCORE II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 (2.1)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Troponin T (ng/L)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(11 - 28)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NT-proBNP (ng/L)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413 (197 - 812)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Glomerular filtration rate (mL/min/1 1.73 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(18.4)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Pre-TAVI aortic valve parameters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ejection fraction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53.7 (7.7)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mean gradient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 (12.6)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valvular area (cm^2)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(0.2)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annular area (mm^2)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478.4 (93.6)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annular perimeter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78.8 (7.7)</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Bicuspid aortic valve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Valce-in-valve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Procedural characteristics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Balloon-expanded valve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Self-expandable valve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Pre-dilation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Post-dilation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bl>
    <w:bookmarkEnd w:id="30"/>
    <w:bookmarkStart w:id="31" w:name="demographics-and-medical-history"/>
    <w:p>
      <w:pPr>
        <w:pStyle w:val="Heading2"/>
      </w:pPr>
      <w:r>
        <w:t xml:space="preserve">Demographics and medical history</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Demographics and medical history.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203"/>
        <w:gridCol w:w="1811"/>
        <w:gridCol w:w="1615"/>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74.4 (3.7)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 (3.7)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 (3.7)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Sex,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 (63.9%)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 (61.7%)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 (62.8%)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 (36.1%)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 (38.3%)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 (37.2%)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Hypertension,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 (70.9%)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 (71.4%)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Coronary artery disease,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 (20.6%)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 (26.9%)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 (23.7%)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Diabetes mellitus,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 (30.9%)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 (28.3%)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Chronic obstructive pulmonary disease,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 (13.7%)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Previous stroke,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 (11.4%)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Permanent pacemaker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(2.3%)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Smoking status,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Never smoked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 (36.7%)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 (34.7%)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Has stopped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 (52.2%)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 (50.6%)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 (51.4%)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(0.6%)</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 (13.3%)</w:t>
            </w:r>
          </w:p>
        </w:tc>
      </w:tr>
    </w:tbl>
    <w:bookmarkEnd w:id="31"/>
    <w:bookmarkStart w:id="32" w:name="Xedd584c87fd898880aefbb37d73339295451a75"/>
    <w:p>
      <w:pPr>
        <w:pStyle w:val="Heading2"/>
      </w:pPr>
      <w:r>
        <w:t xml:space="preserve">Vital signs and physical characteristics at baseline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Vital signs and physical characteristics at baseline.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543"/>
        <w:gridCol w:w="1811"/>
        <w:gridCol w:w="1615"/>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Weight (kg)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84.3 (16.2)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84.9 (15.9)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84.6 (16)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Height (cm)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173.8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173.4 (9.1)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Body mass index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28.3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28.1 (4.7)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Systolic blood pressure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143.6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140.3 (20.8)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Diastolic blood pressure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 (10.1)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Body temperature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36.7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36.7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36.7 (0.4)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Pulse rate (beats/min)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74.7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73.8 (13.2)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Respiratory rate (breaths/min)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 (2.5)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Mini-Cog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Signs of cognitive impairment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(8.1%)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cognitive impairment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 (90.7%)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 (93.1%)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295 (91.9%)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 (10.8%)</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Five times sit-to-stand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15 sec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 (83.3%)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 (79.6%)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 (81.5%)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 15 sec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 (18.5%)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 (23.6%)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Frailty,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 (45.8%)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Pre-frail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 (28.3%)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 (25.6%)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 (26.1%)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 (25.8%)</w:t>
            </w:r>
          </w:p>
        </w:tc>
      </w:tr>
    </w:tbl>
    <w:bookmarkEnd w:id="32"/>
    <w:bookmarkStart w:id="33" w:name="Xa9118ed01ee68b6ce0e45caf9cfa30baee93695"/>
    <w:p>
      <w:pPr>
        <w:pStyle w:val="Heading2"/>
      </w:pPr>
      <w:r>
        <w:t xml:space="preserve">Clinical chemistry and hematology at baseline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Some results related to clinical chemistry and hematology at baseline.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956"/>
        <w:gridCol w:w="1915"/>
        <w:gridCol w:w="1915"/>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Hemoglobin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 (1.6)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 (1.6)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 (1.6)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Platelets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220.1 (61.7)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232.9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226.5 (64.7)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Leukocytes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 (6.1 - 8.6)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 (6.5 - 8.7)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 (6.3 - 8.7)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International Normalized Ratio (INR)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(0.1)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139.5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139.6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139.6 (2.7)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Potassium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(0.4)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 (13.6)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troponin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(11.8 - 27.8)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(11 - 28)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(11 - 28)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NT-proBNP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431 (216 - 815)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372 (177 - 779)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413 (197 - 812)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GFR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73.6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76.3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(18.4)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Glucose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 (2.1)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Glycated haemoglobin (HbA1c)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 (9.6)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Triglycerides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(0.8)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(1.1)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HDL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(0.5)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LDL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(0.9)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Creatinine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92.2 (46.8)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84.8 (29.4)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88.5 (39.2)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Albumin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42.7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42.9 (3.3)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Bilirubin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 (5.1)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(0.8 - 4)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(0.7 - 3.3)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(0.8 - 3.8)</w:t>
            </w:r>
          </w:p>
        </w:tc>
      </w:tr>
    </w:tbl>
    <w:bookmarkEnd w:id="33"/>
    <w:bookmarkStart w:id="34" w:name="Xc2e61d1ad8799e8cf2c384fe63b579af9a4db05"/>
    <w:p>
      <w:pPr>
        <w:pStyle w:val="Heading2"/>
      </w:pPr>
      <w:r>
        <w:t xml:space="preserve">Echocardiography pre-TAVI and at baseline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Some echocardiography parameters pre-TAVI.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78"/>
        <w:gridCol w:w="1811"/>
        <w:gridCol w:w="1615"/>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mean gradient (mmHg)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49.4 (13.2)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49.9 (12)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 (12.6)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LVOT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22.3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22.5 (1.9)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Presence of low-flow low-gradient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(5.2%)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ejection fraction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52.9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54.5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53.7 (7.7)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global longitudinal strain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 (6.7)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 volume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83.7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 (22.4)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84.9 (21.2)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 volume index (mL per 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40.5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41.1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40.8 (13.3)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valvular area (cm^2)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(0.2)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regurgitation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 (63.5%)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 (61.6%)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214 (62.6%)</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 echocardiography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(4.7%)</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Some echocardiography parameters at baseline (post-TAVI).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78"/>
        <w:gridCol w:w="1811"/>
        <w:gridCol w:w="1615"/>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mean gradient (mmHg)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 (4.6)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LVOT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21.1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21.1 (2)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Presence of low-flow low-gradient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 (24.4%)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 (21.5%)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ejection fraction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57.7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55.9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56.8 (10.7)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global longitudinal strain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 (3.4)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 volume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80.1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82.2 (18.9)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81.2 (17.2)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 volume index (mL per 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39.5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40.6 (9.2)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40.1 (8.7)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valvular area (cm^2)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(0.4)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regurgitation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 (33.5%)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 (32.7%)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 (33.1%)</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 echocardiography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 (32.8%)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 (30.6%)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 (31.7%)</w:t>
            </w:r>
          </w:p>
        </w:tc>
      </w:tr>
    </w:tbl>
    <w:bookmarkEnd w:id="34"/>
    <w:bookmarkStart w:id="35" w:name="characteristics-of-the-tavi-procedure"/>
    <w:p>
      <w:pPr>
        <w:pStyle w:val="Heading2"/>
      </w:pPr>
      <w:r>
        <w:t xml:space="preserve">Characteristics of the TAVI procedure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Characteristics of the TAVI procedure.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105"/>
        <w:gridCol w:w="1811"/>
        <w:gridCol w:w="1615"/>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TAVI valve type, n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Balloon-expanded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 (72.6%)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 (70%)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 (71.3%)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Self-expandable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 (27.4%)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 (30%)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 (28.7%)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TAVI post-dilatation,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 (11.1%)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 (9.2%)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 (92.7%)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160 (88.9%)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326 (90.8%)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TAVI supra-valvular prothesis position,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 (30%)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 (27.9%)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 (74.3%)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 (70%)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 (72.1%)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Ascending aorta diameter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30.5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29.6 (3.8)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30.1 (3.9)</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r>
    </w:tbl>
    <w:bookmarkEnd w:id="35"/>
    <w:bookmarkEnd w:id="36"/>
    <w:bookmarkStart w:id="50" w:name="primary-analysis-of-primary-endpoints"/>
    <w:p>
      <w:pPr>
        <w:pStyle w:val="Heading1"/>
      </w:pPr>
      <w:r>
        <w:t xml:space="preserve">Primary analysis of primary endpoints</w:t>
      </w:r>
    </w:p>
    <w:bookmarkStart w:id="37" w:name="X6e545bec728ee413ff1c7218460004be65c1b5b"/>
    <w:p>
      <w:pPr>
        <w:pStyle w:val="Heading2"/>
      </w:pPr>
      <w:r>
        <w:t xml:space="preserve">Occurrence and timing of intercurrent events</w:t>
      </w:r>
    </w:p>
    <w:p>
      <w:pPr>
        <w:pStyle w:val="BlockText"/>
      </w:pPr>
      <w:r>
        <w:t xml:space="preserve">Maybe here… Death and switches</w:t>
      </w:r>
    </w:p>
    <w:bookmarkEnd w:id="37"/>
    <w:bookmarkStart w:id="40" w:name="co-primary-efficacy-endpoint"/>
    <w:p>
      <w:pPr>
        <w:pStyle w:val="Heading2"/>
      </w:pPr>
      <w:r>
        <w:t xml:space="preserve">Co-primary efficacy endpoint</w:t>
      </w:r>
    </w:p>
    <w:bookmarkStart w:id="38" w:name="descriptive-statistics"/>
    <w:p>
      <w:pPr>
        <w:pStyle w:val="Heading3"/>
      </w:pPr>
      <w:r>
        <w:t xml:space="preserve">Descriptive statistics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76"/>
        <w:gridCol w:w="1487"/>
        <w:gridCol w:w="1487"/>
        <w:gridCol w:w="1487"/>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 thickening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260</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&lt;=25% of leaflet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&gt;25-50 % of leaflet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&gt;50-75 % of lealet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&gt;75 % of leaflet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 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 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 (21.3%)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 (22.2%)</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 HALT &amp; Death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 (26.2%)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(23.6%)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 (24.9%)</w:t>
            </w:r>
          </w:p>
        </w:tc>
      </w:tr>
    </w:tbl>
    <w:bookmarkEnd w:id="38"/>
    <w:bookmarkStart w:id="39" w:name="X5a15ada23f7950206dc9bd6869b80855f3c0312"/>
    <w:p>
      <w:pPr>
        <w:pStyle w:val="Heading3"/>
      </w:pPr>
      <w:r>
        <w:t xml:space="preserve">Main analysis: Unadjusted analysis with multiple imputation</w:t>
      </w:r>
    </w:p>
    <w:p>
      <w:pPr>
        <w:pStyle w:val="FirstParagraph"/>
      </w:pPr>
      <w:r>
        <w:t xml:space="preserve">Multiple imputation with imputation model containing sex, hemoglobin, potassium,</w:t>
      </w:r>
      <w:r>
        <w:t xml:space="preserve"> </w:t>
      </w:r>
      <w:r>
        <w:t xml:space="preserve">bmi, sodium and LDL cholesterol. So the model does not use the treatment variable</w:t>
      </w:r>
      <w:r>
        <w:t xml:space="preserve"> </w:t>
      </w:r>
      <w:r>
        <w:t xml:space="preserve">(to stay more or less in-line with the protocol).</w:t>
      </w:r>
      <w:r>
        <w:t xml:space="preserve"> </w:t>
      </w:r>
      <w:r>
        <w:t xml:space="preserve">But the analysis model only uses the treatment variable and no other covariates.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ratio,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242"/>
        <w:gridCol w:w="1120"/>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0.531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0.779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1.621</w:t>
            </w:r>
          </w:p>
        </w:tc>
      </w:tr>
    </w:tbl>
    <w:bookmarkEnd w:id="39"/>
    <w:bookmarkEnd w:id="40"/>
    <w:bookmarkStart w:id="49" w:name="co-primary-safety-endpoint"/>
    <w:p>
      <w:pPr>
        <w:pStyle w:val="Heading2"/>
      </w:pPr>
      <w:r>
        <w:t xml:space="preserve">Co-primary safety endpoint</w:t>
      </w:r>
    </w:p>
    <w:bookmarkStart w:id="47" w:name="descriptive-statistics-1"/>
    <w:p>
      <w:pPr>
        <w:pStyle w:val="Heading3"/>
      </w:pPr>
      <w:r>
        <w:t xml:space="preserve">Descriptive statistics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primary safety endpoint. Counts and proportions. The counts are the number of participants experiencing an event of a particular type as their *first* safety event. Some patients may experience more than one safety event.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69"/>
        <w:gridCol w:w="1364"/>
        <w:gridCol w:w="1364"/>
        <w:gridCol w:w="1181"/>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 safety events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bleeding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56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stroke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 safety event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 (9%)</w:t>
            </w:r>
          </w:p>
        </w:tc>
      </w:tr>
    </w:tbl>
    <w:p>
      <w:pPr>
        <w:pStyle w:val="FirstParagraph"/>
      </w:pPr>
      <w:r>
        <w:t xml:space="preserve">Out of the 32 safety events, 10 happen in patients that also switch between the treatments at some point. Among these 10 patients: 6 experience the safety event before switching, while 4 experience the safety event after switching.</w:t>
      </w:r>
    </w:p>
    <w:p>
      <w:pPr>
        <w:pStyle w:val="CaptionedFigure"/>
      </w:pPr>
      <w:r>
        <w:drawing>
          <wp:inline>
            <wp:extent cx="5334000" cy="2667000"/>
            <wp:effectExtent b="0" l="0" r="0" t="0"/>
            <wp:docPr descr="All patients" title="" id="42" name="Picture"/>
            <a:graphic>
              <a:graphicData uri="http://schemas.openxmlformats.org/drawingml/2006/picture">
                <pic:pic>
                  <pic:nvPicPr>
                    <pic:cNvPr descr="report_acasatavi_sham_files/report_acasatavi_sham_files/figure-docx/unnamed-chunk-20-1.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All patients</w:t>
      </w:r>
    </w:p>
    <w:p>
      <w:pPr>
        <w:pStyle w:val="CaptionedFigure"/>
      </w:pPr>
      <w:r>
        <w:drawing>
          <wp:inline>
            <wp:extent cx="5334000" cy="3556000"/>
            <wp:effectExtent b="0" l="0" r="0" t="0"/>
            <wp:docPr descr="Patients with safety events and/or switching and discontinuation" title="" id="45" name="Picture"/>
            <a:graphic>
              <a:graphicData uri="http://schemas.openxmlformats.org/drawingml/2006/picture">
                <pic:pic>
                  <pic:nvPicPr>
                    <pic:cNvPr descr="report_acasatavi_sham_files/report_acasatavi_sham_files/figure-docx/unnamed-chunk-21-1.png" id="46" name="Picture"/>
                    <pic:cNvPicPr>
                      <a:picLocks noChangeArrowheads="1" noChangeAspect="1"/>
                    </pic:cNvPicPr>
                  </pic:nvPicPr>
                  <pic:blipFill>
                    <a:blip r:embed="rId4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Patients with safety events and/or switching and discontinuation</w:t>
      </w:r>
    </w:p>
    <w:p>
      <w:pPr>
        <w:pStyle w:val="BodyText"/>
      </w:pPr>
      <w:r>
        <w:t xml:space="preserve">In this figure there are 77 patients, including 32 patients experiencing the safety event, 47 patients with switching/stopping and 12 patients that discontinue* (actually 9 voluntary discontinuation, one incorrect randomisation [very early], and two which are followed for a full year, but have</w:t>
      </w:r>
      <w:r>
        <w:t xml:space="preserve"> </w:t>
      </w:r>
      <w:r>
        <w:t xml:space="preserve">“other”</w:t>
      </w:r>
      <w:r>
        <w:t xml:space="preserve"> </w:t>
      </w:r>
      <w:r>
        <w:t xml:space="preserve">or</w:t>
      </w:r>
      <w:r>
        <w:t xml:space="preserve"> </w:t>
      </w:r>
      <w:r>
        <w:t xml:space="preserve">“non-compliance”</w:t>
      </w:r>
      <w:r>
        <w:t xml:space="preserve"> </w:t>
      </w:r>
      <w:r>
        <w:t xml:space="preserve">listed as end-of-study reason). Some patients are then part of more than one group.</w:t>
      </w:r>
    </w:p>
    <w:bookmarkEnd w:id="47"/>
    <w:bookmarkStart w:id="48" w:name="Xab3da7f8e19423a53563971629d0f19a860b21b"/>
    <w:p>
      <w:pPr>
        <w:pStyle w:val="Heading3"/>
      </w:pPr>
      <w:r>
        <w:t xml:space="preserve">Unadjusted analysis with multiple imputation, treatment policy strategy</w:t>
      </w:r>
    </w:p>
    <w:p>
      <w:pPr>
        <w:pStyle w:val="FirstParagraph"/>
      </w:pPr>
      <w:r>
        <w:t xml:space="preserve">Multiple imputation with imputation model containing no covariates</w:t>
      </w:r>
      <w:r>
        <w:t xml:space="preserve"> </w:t>
      </w:r>
      <w:r>
        <w:t xml:space="preserve">(so using only the overall event rate, to stay more or less in-line with the protocol).</w:t>
      </w:r>
      <w:r>
        <w:t xml:space="preserve"> </w:t>
      </w:r>
      <w:r>
        <w:t xml:space="preserve">The analysis model uses the treatment variable and no other covariates.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difference,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961"/>
        <w:gridCol w:w="1903"/>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p.value.nonsup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0.072</w:t>
            </w:r>
          </w:p>
        </w:tc>
      </w:tr>
    </w:tbl>
    <w:bookmarkEnd w:id="48"/>
    <w:bookmarkEnd w:id="49"/>
    <w:bookmarkEnd w:id="50"/>
    <w:bookmarkStart w:id="51" w:name="Xbd5990cdb38e340999cd7cea1320ade26a82512"/>
    <w:p>
      <w:pPr>
        <w:pStyle w:val="Heading1"/>
      </w:pPr>
      <w:r>
        <w:t xml:space="preserve">Sensitivity analyses of primary endpoints</w:t>
      </w:r>
    </w:p>
    <w:bookmarkEnd w:id="51"/>
    <w:bookmarkStart w:id="57" w:name="key-secondary-endpoints"/>
    <w:p>
      <w:pPr>
        <w:pStyle w:val="Heading1"/>
      </w:pPr>
      <w:r>
        <w:t xml:space="preserve">Key secondary endpoints</w:t>
      </w:r>
    </w:p>
    <w:bookmarkStart w:id="52" w:name="clinical-efficacy"/>
    <w:p>
      <w:pPr>
        <w:pStyle w:val="Heading2"/>
      </w:pPr>
      <w:r>
        <w:t xml:space="preserve">Clinical efficacy</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clinical efficacy composite by treatment arms and overall.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82"/>
        <w:gridCol w:w="1046"/>
        <w:gridCol w:w="1034"/>
        <w:gridCol w:w="1108"/>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composite=0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composite=1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w:t>
            </w:r>
          </w:p>
        </w:tc>
      </w:tr>
      <w:tr>
        <w:trPr>
          <w:trHeight w:val="6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composite=1,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w:t>
            </w:r>
          </w:p>
        </w:tc>
      </w:tr>
    </w:tbl>
    <w:bookmarkEnd w:id="52"/>
    <w:bookmarkStart w:id="53" w:name="thromboembolic-events"/>
    <w:p>
      <w:pPr>
        <w:pStyle w:val="Heading2"/>
      </w:pPr>
      <w:r>
        <w:t xml:space="preserve">Thromboembolic events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thromboembolic events by treatment arms and overall.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76"/>
        <w:gridCol w:w="1046"/>
        <w:gridCol w:w="912"/>
        <w:gridCol w:w="1108"/>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thromboembolic event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336</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With thromboembolic event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60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events,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r>
    </w:tbl>
    <w:bookmarkEnd w:id="53"/>
    <w:bookmarkStart w:id="54" w:name="bleeding-events"/>
    <w:p>
      <w:pPr>
        <w:pStyle w:val="Heading2"/>
      </w:pPr>
      <w:r>
        <w:t xml:space="preserve">Bleeding events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VARC-3 bleeding events by treatment arms and overall.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20"/>
        <w:gridCol w:w="1046"/>
        <w:gridCol w:w="912"/>
        <w:gridCol w:w="1108"/>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bleeding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341</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VARC-3 bleeding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60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events,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w:t>
            </w:r>
          </w:p>
        </w:tc>
      </w:tr>
    </w:tbl>
    <w:bookmarkEnd w:id="54"/>
    <w:bookmarkStart w:id="55" w:name="all-cause-mortality"/>
    <w:p>
      <w:pPr>
        <w:pStyle w:val="Heading2"/>
      </w:pPr>
      <w:r>
        <w:t xml:space="preserve">All-cause mortality</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deaths by treatment arms and overall.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37"/>
        <w:gridCol w:w="1046"/>
        <w:gridCol w:w="912"/>
        <w:gridCol w:w="1108"/>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Alive at EOS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 from cardiovascular causes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60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r>
    </w:tbl>
    <w:bookmarkEnd w:id="55"/>
    <w:bookmarkStart w:id="56" w:name="hemodynamic-valve-deterioration"/>
    <w:p>
      <w:pPr>
        <w:pStyle w:val="Heading2"/>
      </w:pPr>
      <w:r>
        <w:t xml:space="preserve">Hemodynamic valve deterioration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HVD by treatment arms and overall.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87"/>
        <w:gridCol w:w="1046"/>
        <w:gridCol w:w="912"/>
        <w:gridCol w:w="1108"/>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HVD (stage 2 or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HVD (stage 2 or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HVD (2 or 3),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bl>
    <w:bookmarkEnd w:id="56"/>
    <w:bookmarkEnd w:id="57"/>
    <w:bookmarkStart w:id="58" w:name="secondary-safety-endpoints"/>
    <w:p>
      <w:pPr>
        <w:pStyle w:val="Heading1"/>
      </w:pPr>
      <w:r>
        <w:t xml:space="preserve">Secondary safety endpoints</w:t>
      </w:r>
    </w:p>
    <w:bookmarkEnd w:id="58"/>
    <w:bookmarkStart w:id="76" w:name="sub-group-analyses"/>
    <w:p>
      <w:pPr>
        <w:pStyle w:val="Heading1"/>
      </w:pPr>
      <w:r>
        <w:t xml:space="preserve">Sub-group analyses</w:t>
      </w:r>
    </w:p>
    <w:bookmarkStart w:id="75" w:name="halt"/>
    <w:p>
      <w:pPr>
        <w:pStyle w:val="Heading2"/>
      </w:pPr>
      <w:r>
        <w:t xml:space="preserve">HALT</w:t>
      </w:r>
    </w:p>
    <w:p>
      <w:pPr>
        <w:pStyle w:val="FirstParagraph"/>
      </w:pPr>
      <w:r>
        <w:t xml:space="preserve">Unadjusted logistic regression (with multiple imputation using same imputation model as in the primary analysis).</w:t>
      </w:r>
    </w:p>
    <w:bookmarkStart w:id="62" w:name="age"/>
    <w:p>
      <w:pPr>
        <w:pStyle w:val="Heading3"/>
      </w:pPr>
      <w:r>
        <w:t xml:space="preserve">Age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in age subgroups.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1046"/>
        <w:gridCol w:w="851"/>
        <w:gridCol w:w="1046"/>
        <w:gridCol w:w="1034"/>
      </w:tblGrid>
      <w:tr>
        <w:trPr>
          <w:trHeight w:val="569"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&lt;75</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 75</w:t>
            </w:r>
          </w:p>
        </w:tc>
      </w:tr>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HALT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 &amp; Deaths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ratio,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973"/>
        <w:gridCol w:w="1242"/>
        <w:gridCol w:w="1120"/>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1.804</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 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1.964</w:t>
            </w:r>
          </w:p>
        </w:tc>
      </w:tr>
    </w:tbl>
    <w:p>
      <w:pPr>
        <w:pStyle w:val="CaptionedFigure"/>
      </w:pPr>
      <w:r>
        <w:drawing>
          <wp:inline>
            <wp:extent cx="5334000" cy="2667000"/>
            <wp:effectExtent b="0" l="0" r="0" t="0"/>
            <wp:docPr descr="Estimated risk ratio between DOAc and ASA in two age groups, with 95% confidence interval." title="" id="60" name="Picture"/>
            <a:graphic>
              <a:graphicData uri="http://schemas.openxmlformats.org/drawingml/2006/picture">
                <pic:pic>
                  <pic:nvPicPr>
                    <pic:cNvPr descr="report_acasatavi_sham_files/report_acasatavi_sham_files/figure-docx/unnamed-chunk-31-1.png" id="61" name="Picture"/>
                    <pic:cNvPicPr>
                      <a:picLocks noChangeArrowheads="1" noChangeAspect="1"/>
                    </pic:cNvPicPr>
                  </pic:nvPicPr>
                  <pic:blipFill>
                    <a:blip r:embed="rId5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Estimated risk ratio between DOAc and ASA in two age groups, with 95% confidence interval.</w:t>
      </w:r>
    </w:p>
    <w:bookmarkEnd w:id="62"/>
    <w:bookmarkStart w:id="66" w:name="sex"/>
    <w:p>
      <w:pPr>
        <w:pStyle w:val="Heading3"/>
      </w:pPr>
      <w:r>
        <w:t xml:space="preserve">Sex</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by sex.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1046"/>
        <w:gridCol w:w="1034"/>
        <w:gridCol w:w="1046"/>
        <w:gridCol w:w="1034"/>
      </w:tblGrid>
      <w:tr>
        <w:trPr>
          <w:trHeight w:val="57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w:t>
            </w:r>
          </w:p>
        </w:tc>
      </w:tr>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r>
      <w:tr>
        <w:trPr>
          <w:trHeight w:val="57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HALT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 &amp; Deaths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26.9%</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ratio,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70"/>
        <w:gridCol w:w="1144"/>
        <w:gridCol w:w="1242"/>
        <w:gridCol w:w="1120"/>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1.811</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1.995</w:t>
            </w:r>
          </w:p>
        </w:tc>
      </w:tr>
    </w:tbl>
    <w:p>
      <w:pPr>
        <w:pStyle w:val="CaptionedFigure"/>
      </w:pPr>
      <w:r>
        <w:drawing>
          <wp:inline>
            <wp:extent cx="5334000" cy="2667000"/>
            <wp:effectExtent b="0" l="0" r="0" t="0"/>
            <wp:docPr descr="Estimated risk ratio between DOAc and ASA in two age groups, with 95% confidence interval." title="" id="64" name="Picture"/>
            <a:graphic>
              <a:graphicData uri="http://schemas.openxmlformats.org/drawingml/2006/picture">
                <pic:pic>
                  <pic:nvPicPr>
                    <pic:cNvPr descr="report_acasatavi_sham_files/report_acasatavi_sham_files/figure-docx/unnamed-chunk-34-1.png" id="65" name="Picture"/>
                    <pic:cNvPicPr>
                      <a:picLocks noChangeArrowheads="1" noChangeAspect="1"/>
                    </pic:cNvPicPr>
                  </pic:nvPicPr>
                  <pic:blipFill>
                    <a:blip r:embed="rId6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Estimated risk ratio between DOAc and ASA in two age groups, with 95% confidence interval.</w:t>
      </w:r>
    </w:p>
    <w:bookmarkEnd w:id="66"/>
    <w:bookmarkStart w:id="67" w:name="diabetes"/>
    <w:p>
      <w:pPr>
        <w:pStyle w:val="Heading3"/>
      </w:pPr>
      <w:r>
        <w:t xml:space="preserve">Diabetes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by diabetes.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1046"/>
        <w:gridCol w:w="1034"/>
        <w:gridCol w:w="1046"/>
        <w:gridCol w:w="1034"/>
      </w:tblGrid>
      <w:tr>
        <w:trPr>
          <w:trHeight w:val="57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diabetes</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Diabetes</w:t>
            </w:r>
          </w:p>
        </w:tc>
      </w:tr>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HALT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9</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 &amp; Deaths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22.7%</w:t>
            </w:r>
          </w:p>
        </w:tc>
      </w:tr>
    </w:tbl>
    <w:bookmarkEnd w:id="67"/>
    <w:bookmarkStart w:id="68" w:name="hypertension"/>
    <w:p>
      <w:pPr>
        <w:pStyle w:val="Heading3"/>
      </w:pPr>
      <w:r>
        <w:t xml:space="preserve">Hypertension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by hypertension.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1046"/>
        <w:gridCol w:w="851"/>
        <w:gridCol w:w="1046"/>
        <w:gridCol w:w="1034"/>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hypertension</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Hypertension</w:t>
            </w:r>
          </w:p>
        </w:tc>
      </w:tr>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HALT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 &amp; Deaths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w:t>
            </w:r>
          </w:p>
        </w:tc>
      </w:tr>
    </w:tbl>
    <w:bookmarkEnd w:id="68"/>
    <w:bookmarkStart w:id="69" w:name="impaired-renal-function"/>
    <w:p>
      <w:pPr>
        <w:pStyle w:val="Heading3"/>
      </w:pPr>
      <w:r>
        <w:t xml:space="preserve">Impaired renal function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by renal function.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1046"/>
        <w:gridCol w:w="1034"/>
        <w:gridCol w:w="1046"/>
        <w:gridCol w:w="1034"/>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Impaired</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Preserved</w:t>
            </w:r>
          </w:p>
        </w:tc>
      </w:tr>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HALT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 &amp; Deaths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w:t>
            </w:r>
          </w:p>
        </w:tc>
      </w:tr>
    </w:tbl>
    <w:p>
      <w:pPr>
        <w:pStyle w:val="BlockText"/>
      </w:pPr>
      <w:r>
        <w:t xml:space="preserve">Here there are so few in the impaired group that I don’t think inference is necessary.</w:t>
      </w:r>
    </w:p>
    <w:bookmarkEnd w:id="69"/>
    <w:bookmarkStart w:id="70" w:name="tavi-valve-type"/>
    <w:p>
      <w:pPr>
        <w:pStyle w:val="Heading3"/>
      </w:pPr>
      <w:r>
        <w:t xml:space="preserve">TAVI valve type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by valve type.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1046"/>
        <w:gridCol w:w="1034"/>
        <w:gridCol w:w="1046"/>
        <w:gridCol w:w="1034"/>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Balloon-expanded</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Self-expandable</w:t>
            </w:r>
          </w:p>
        </w:tc>
      </w:tr>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9</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 &amp; Deaths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w:t>
            </w:r>
          </w:p>
        </w:tc>
      </w:tr>
    </w:tbl>
    <w:bookmarkEnd w:id="70"/>
    <w:bookmarkStart w:id="71" w:name="tavi-post-dilation"/>
    <w:p>
      <w:pPr>
        <w:pStyle w:val="Heading3"/>
      </w:pPr>
      <w:r>
        <w:t xml:space="preserve">TAVI post-dilation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by post-dilation.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1046"/>
        <w:gridCol w:w="851"/>
        <w:gridCol w:w="1046"/>
        <w:gridCol w:w="851"/>
      </w:tblGrid>
      <w:tr>
        <w:trPr>
          <w:trHeight w:val="57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r>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r>
      <w:tr>
        <w:trPr>
          <w:trHeight w:val="57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HALT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16</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3</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 &amp; Deaths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25.2%</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38.5%</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r>
    </w:tbl>
    <w:bookmarkEnd w:id="71"/>
    <w:bookmarkStart w:id="72" w:name="tavi-supra-valcular-prosthesis-position"/>
    <w:p>
      <w:pPr>
        <w:pStyle w:val="Heading3"/>
      </w:pPr>
      <w:r>
        <w:t xml:space="preserve">TAVI supra-valcular prosthesis position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by supra-valcular prosthesis position.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1046"/>
        <w:gridCol w:w="1034"/>
        <w:gridCol w:w="1046"/>
        <w:gridCol w:w="1034"/>
      </w:tblGrid>
      <w:tr>
        <w:trPr>
          <w:trHeight w:val="57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r>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HALT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9</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 &amp; Deaths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w:t>
            </w:r>
          </w:p>
        </w:tc>
      </w:tr>
    </w:tbl>
    <w:bookmarkEnd w:id="72"/>
    <w:bookmarkStart w:id="73" w:name="ascending-aorta-diameter"/>
    <w:p>
      <w:pPr>
        <w:pStyle w:val="Heading3"/>
      </w:pPr>
      <w:r>
        <w:t xml:space="preserve">Ascending aorta diameter</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by ascending aorta diameter (mm).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1046"/>
        <w:gridCol w:w="1034"/>
        <w:gridCol w:w="1046"/>
        <w:gridCol w:w="1034"/>
      </w:tblGrid>
      <w:tr>
        <w:trPr>
          <w:trHeight w:val="57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30</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 30</w:t>
            </w:r>
          </w:p>
        </w:tc>
      </w:tr>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HALT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 &amp; Deaths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w:t>
            </w:r>
          </w:p>
        </w:tc>
      </w:tr>
    </w:tbl>
    <w:bookmarkEnd w:id="73"/>
    <w:bookmarkStart w:id="74" w:name="frailty-index"/>
    <w:p>
      <w:pPr>
        <w:pStyle w:val="Heading3"/>
      </w:pPr>
      <w:r>
        <w:t xml:space="preserve">Frailty index</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by frailty category.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1046"/>
        <w:gridCol w:w="1034"/>
        <w:gridCol w:w="1046"/>
        <w:gridCol w:w="1034"/>
        <w:gridCol w:w="1046"/>
        <w:gridCol w:w="1034"/>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robust</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pre-frail</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r>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HALT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9</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HALT &amp; Deaths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26.7%</w:t>
            </w:r>
          </w:p>
        </w:tc>
      </w:tr>
    </w:tbl>
    <w:bookmarkEnd w:id="74"/>
    <w:bookmarkEnd w:id="75"/>
    <w:bookmarkEnd w:id="76"/>
    <w:bookmarkStart w:id="80" w:name="additional-safety-analysis"/>
    <w:p>
      <w:pPr>
        <w:pStyle w:val="Heading1"/>
      </w:pPr>
      <w:r>
        <w:t xml:space="preserve">Additional safety analysis</w:t>
      </w:r>
    </w:p>
    <w:p>
      <w:pPr>
        <w:pStyle w:val="BlockText"/>
      </w:pPr>
      <w:r>
        <w:t xml:space="preserve">Which numbers and tables do you want to see here? The two first tables are kind of redundant, but the question is whether one should require that the AE is possibly related to study medication or not.</w:t>
      </w:r>
    </w:p>
    <w:bookmarkStart w:id="77" w:name="X3edd50b04415f5f2690fe7092b0cd7e28cf0a22"/>
    <w:p>
      <w:pPr>
        <w:pStyle w:val="Heading2"/>
      </w:pPr>
      <w:r>
        <w:t xml:space="preserve">Overview of adverse events, serious adverse events and suspected unexpected serious adverse reaction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Summary of adverse events.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568"/>
        <w:gridCol w:w="1872"/>
        <w:gridCol w:w="1676"/>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 (n=180)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AEs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any 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 (66.1%)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233 (64.7%)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one 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 (31.1%)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 (27.5%)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two 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 (18.9%)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three or more 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 (18.3%)</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SAEs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237</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any SAEs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 (40%)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 (37.2%)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 (38.6%)</w:t>
            </w:r>
          </w:p>
        </w:tc>
      </w:tr>
    </w:tbl>
    <w:p>
      <w:pPr>
        <w:pStyle w:val="FirstParagraph"/>
      </w:pPr>
      <w:r>
        <w:t xml:space="preserve">There are no SUSARs in the dataset. No SAE which is unexpected and possibly, probably or definitely related to study medication.</w:t>
      </w:r>
    </w:p>
    <w:bookmarkEnd w:id="77"/>
    <w:bookmarkStart w:id="78" w:name="Xaff82cabc10082dc1da41dfe0d23296f19ae977"/>
    <w:p>
      <w:pPr>
        <w:pStyle w:val="Heading2"/>
      </w:pPr>
      <w:r>
        <w:t xml:space="preserve">Suspected adverse reactions: AEs and SAEs with a possible, probable or definite relation to study treatments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Summary of adverse events with a possible, probable or definite relation to study treatments.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568"/>
        <w:gridCol w:w="1872"/>
        <w:gridCol w:w="1676"/>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 (n=180)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AEs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any 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 (30.2%)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 (29.8%)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one 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 (24.4%)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 (24.2%)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two 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 (8.6%)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three or more 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SAEs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any SAEs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 (15%)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 (14.7%)</w:t>
            </w:r>
          </w:p>
        </w:tc>
      </w:tr>
    </w:tbl>
    <w:p>
      <w:pPr>
        <w:pStyle w:val="FirstParagraph"/>
      </w:pPr>
      <w:r>
        <w:t xml:space="preserve">There are no SUSARs in the dataset.</w:t>
      </w:r>
    </w:p>
    <w:bookmarkEnd w:id="78"/>
    <w:bookmarkStart w:id="79" w:name="X29fc779dd7281d40a553b2fcdf1cdc99bd9148b"/>
    <w:p>
      <w:pPr>
        <w:pStyle w:val="Heading2"/>
      </w:pPr>
      <w:r>
        <w:t xml:space="preserve">Adverse Events by System Organ Class and Preferred term</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AEs and SAEs by system organ class and preferred term.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100"/>
        <w:gridCol w:w="4152"/>
        <w:gridCol w:w="1046"/>
        <w:gridCol w:w="851"/>
        <w:gridCol w:w="1046"/>
        <w:gridCol w:w="851"/>
      </w:tblGrid>
      <w:tr>
        <w:trPr>
          <w:trHeight w:val="574" w:hRule="auto"/>
          <w:tblHeader/>
        </w:trPr>
        <w:tc>
          <w:tcPr>
            <w:gridSpan w:val="2"/>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p>
        </w:tc>
        <w:tc>
          <w:tcPr>
            <w:gridSpan w:val="2"/>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AE</w:t>
            </w:r>
          </w:p>
        </w:tc>
        <w:tc>
          <w:tcPr>
            <w:gridSpan w:val="2"/>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SAE</w:t>
            </w:r>
          </w:p>
        </w:tc>
      </w:tr>
      <w:tr>
        <w:trPr>
          <w:trHeight w:val="617"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System organ class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Preferred term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DOAC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ASA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DOAC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ASA</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blood and lymphatic system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haemolytic anaemia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iron deficiency anaemia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acute coronary syndrome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acute myocardial infarction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angina pectoris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atrial fibrillation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atrial flutter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atrioventricular block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atrioventricular block complete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atrioventricular block first degree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atrioventricular block second degree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arrest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failure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myocardial infarction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nodal rhythm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pericardial effusion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pericarditis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ventricular arrhythmia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ventricular tachycardia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ear and labyrinth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sudden hearing loss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vertigo positional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endocrine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hypothyroidism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eye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amaurosis fugax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blindness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conjunctival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diplopia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vision blurred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visual impairment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vitreous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gastrointestinal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abdominal 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abdominal pain upper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diverticulum intestinal haemorrhagic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dry mouth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flatulence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gastrointestinal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gastrooesophageal reflux disease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haematochezia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ileus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intestinal obstruction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intestinal pseudo-obstruction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melaena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mouth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nausea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oesophagitis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pancreatitis acute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rectal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general disorders and administration site conditions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chest 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fatigue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fibrosis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gait disturbance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hernia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injection site discomfort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paravalvular regurgitation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prolapse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prosthetic cardiac valve thrombosis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hepatobiliary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cholecystitis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cholelithiasis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hepatic cirrhosis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hepatic fibrosis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immune system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hypersensitivity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infections and infestations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arthritis bacterial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cellulitis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covid-19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device related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endocarditis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enterococcal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erysipelas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localised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lower respiratory tract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pharyngitis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pneumonia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postoperative wound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pyelonephritis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respiratory tract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septic embolus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septic pulmonary embolism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septic shock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tooth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urinary tract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injury, poisoning and procedural complications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alcohol poisoning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ankle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cervical vertebral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facial bones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femoral neck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forearm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ligament rupture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limb injury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periorbital haematoma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 procedural haematoma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prescribed overdose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skin laceration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upper limb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vascular pseudoaneurysm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wrist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investigations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enterococcus test positive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occult blood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metabolism and nutrition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dehydration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diabetic ketoacidosis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gout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hyperglycaemia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hypoglycaemia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hypomagnesaemia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iron deficiency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2 diabetes mellitus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musculoskeletal and connective tissue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arthralgia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arthritis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musculoskeletal chest 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osteoarthritis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pain in extremity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polymyalgia rheumatica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neoplasms benign, malignant and unspecified (incl cysts and polyps)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basal cell carcinoma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bladder cancer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brain neoplasm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breast cancer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colorectal adenocarcinoma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laryngeal papilloma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malignant melanoma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metastases to lymph nodes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prostate cancer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rectosigmoid cancer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renal neoplasm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nervous system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amnesia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balance disorder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cerebral artery embolism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cerebral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cerebral infarction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cerebrovascular accident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dizziness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embolic cerebral infarction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epilepsy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hyposmia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lethargy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migraine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presyncope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seizure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syncope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transient ischaemic attack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tremor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vascular dementia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psychiatric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autoscopy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confusional state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delirium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renal and urinary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acute kidney injury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haematuria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nephrolithiasis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nephrotic syndrome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renal failure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urinary retention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reproductive system and breast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gynaecomastia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uterine prolapse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respiratory, thoracic and mediastinal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acute pulmonary oedema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chronic obstructive pulmonary disease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dyspnoea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emphysema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epistaxis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haemoptysis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hypersensitivity pneumonitis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pleural effusion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productive cough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pulmonary embolism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pulmonary oedema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sleep apnoea syndrome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skin and subcutaneous tissue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decubitus ulcer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petechiae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pruritus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rash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skin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surgical and medical procedures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appendicectomy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pacemaker insertion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resynchronisation therapy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cataract operation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cholecystectomy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 arthroplasty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large intestinal polypectomy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mole excision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orchidectomy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percutaneous coronary intervention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skin neoplasm excision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spinal laminectomy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transurethral bladder resection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vascular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aneurysm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deep vein thrombosis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haematoma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hypertension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hypotension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peripheral arterial occlusive disease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thrombophlebitis superficial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thrombosis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vasculitis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bl>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59" Target="media/rId59.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report for ACASA-TAVI</dc:title>
  <dc:creator>C. Cunen</dc:creator>
  <cp:keywords/>
  <dcterms:created xsi:type="dcterms:W3CDTF">2026-06-19T19:31:27Z</dcterms:created>
  <dcterms:modified xsi:type="dcterms:W3CDTF">2026-06-19T19:31:27Z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juni 2026</vt:lpwstr>
  </property>
  <property fmtid="{D5CDD505-2E9C-101B-9397-08002B2CF9AE}" pid="3" name="output">
    <vt:lpwstr/>
  </property>
  <property fmtid="{D5CDD505-2E9C-101B-9397-08002B2CF9AE}" pid="4" name="subtitle">
    <vt:lpwstr>AntiCoagulation versus AcetylSalicylic Acid after Transcatheter Aortic Valve Implantation</vt:lpwstr>
  </property>
</Properties>
</file>