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1B3" w:rsidRPr="000A6B26" w:rsidRDefault="00AC6183" w:rsidP="00AC6183">
      <w:pPr>
        <w:spacing w:after="0"/>
        <w:rPr>
          <w:b/>
          <w:i/>
        </w:rPr>
      </w:pPr>
      <w:r>
        <w:rPr>
          <w:b/>
          <w:i/>
          <w:sz w:val="28"/>
          <w:szCs w:val="28"/>
        </w:rPr>
        <w:t xml:space="preserve">                                                                                                                          </w:t>
      </w:r>
      <w:r w:rsidR="006D39F6">
        <w:rPr>
          <w:b/>
          <w:i/>
          <w:sz w:val="28"/>
          <w:szCs w:val="28"/>
        </w:rPr>
        <w:t xml:space="preserve">             </w:t>
      </w:r>
      <w:r w:rsidR="00B57B28" w:rsidRPr="000A6B26">
        <w:rPr>
          <w:b/>
          <w:i/>
          <w:noProof/>
          <w:color w:val="4F81BD" w:themeColor="accent1"/>
        </w:rPr>
        <w:drawing>
          <wp:anchor distT="0" distB="0" distL="114300" distR="114300" simplePos="0" relativeHeight="251659264" behindDoc="0" locked="0" layoutInCell="1" allowOverlap="1">
            <wp:simplePos x="0" y="0"/>
            <wp:positionH relativeFrom="column">
              <wp:posOffset>2226945</wp:posOffset>
            </wp:positionH>
            <wp:positionV relativeFrom="paragraph">
              <wp:posOffset>0</wp:posOffset>
            </wp:positionV>
            <wp:extent cx="1545590" cy="1170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rot="10800000" flipH="1" flipV="1">
                      <a:off x="0" y="0"/>
                      <a:ext cx="1545590" cy="1170940"/>
                    </a:xfrm>
                    <a:prstGeom prst="rect">
                      <a:avLst/>
                    </a:prstGeom>
                  </pic:spPr>
                </pic:pic>
              </a:graphicData>
            </a:graphic>
            <wp14:sizeRelH relativeFrom="margin">
              <wp14:pctWidth>0</wp14:pctWidth>
            </wp14:sizeRelH>
            <wp14:sizeRelV relativeFrom="margin">
              <wp14:pctHeight>0</wp14:pctHeight>
            </wp14:sizeRelV>
          </wp:anchor>
        </w:drawing>
      </w:r>
      <w:r w:rsidR="000A6B26" w:rsidRPr="000A6B26">
        <w:rPr>
          <w:b/>
          <w:i/>
          <w:color w:val="4F81BD" w:themeColor="accent1"/>
        </w:rPr>
        <w:t>RC</w:t>
      </w:r>
      <w:r w:rsidR="00951884" w:rsidRPr="000A6B26">
        <w:rPr>
          <w:b/>
          <w:i/>
          <w:color w:val="4F81BD" w:themeColor="accent1"/>
        </w:rPr>
        <w:t>:19038777</w:t>
      </w:r>
    </w:p>
    <w:p w:rsidR="00B051B3" w:rsidRDefault="00B051B3" w:rsidP="00BD735D">
      <w:pPr>
        <w:spacing w:after="0"/>
        <w:ind w:left="360"/>
        <w:rPr>
          <w:b/>
          <w:i/>
          <w:sz w:val="28"/>
          <w:szCs w:val="28"/>
        </w:rPr>
      </w:pPr>
    </w:p>
    <w:p w:rsidR="008B474D" w:rsidRPr="003E5FB7" w:rsidRDefault="007643A0" w:rsidP="00BD735D">
      <w:pPr>
        <w:spacing w:after="0"/>
        <w:ind w:left="360"/>
        <w:rPr>
          <w:b/>
          <w:i/>
          <w:sz w:val="28"/>
          <w:szCs w:val="28"/>
        </w:rPr>
      </w:pPr>
      <w:r w:rsidRPr="003E5FB7">
        <w:rPr>
          <w:b/>
          <w:i/>
          <w:sz w:val="28"/>
          <w:szCs w:val="28"/>
        </w:rPr>
        <w:t>DISCLAIMER</w:t>
      </w:r>
    </w:p>
    <w:p w:rsidR="008B474D" w:rsidRPr="003E5FB7" w:rsidRDefault="008B474D" w:rsidP="0041442E">
      <w:pPr>
        <w:spacing w:after="0"/>
        <w:ind w:left="360" w:right="365"/>
        <w:jc w:val="both"/>
        <w:rPr>
          <w:sz w:val="28"/>
          <w:szCs w:val="28"/>
        </w:rPr>
      </w:pPr>
      <w:r w:rsidRPr="003E5FB7">
        <w:rPr>
          <w:sz w:val="28"/>
          <w:szCs w:val="28"/>
        </w:rPr>
        <w:t xml:space="preserve">The management of G1000 does not guarantee that investing in </w:t>
      </w:r>
      <w:r w:rsidRPr="003E5FB7">
        <w:rPr>
          <w:b/>
          <w:sz w:val="28"/>
          <w:szCs w:val="28"/>
        </w:rPr>
        <w:t xml:space="preserve">G1000 </w:t>
      </w:r>
      <w:r w:rsidRPr="003E5FB7">
        <w:rPr>
          <w:sz w:val="28"/>
          <w:szCs w:val="28"/>
        </w:rPr>
        <w:t xml:space="preserve">is free from all or any investment risk or speculations that are usual of similar investment schemes. There are substantial risks in investing in </w:t>
      </w:r>
      <w:r w:rsidRPr="003E5FB7">
        <w:rPr>
          <w:b/>
          <w:i/>
          <w:sz w:val="28"/>
          <w:szCs w:val="28"/>
        </w:rPr>
        <w:t>G1000</w:t>
      </w:r>
      <w:r w:rsidRPr="003E5FB7">
        <w:rPr>
          <w:sz w:val="28"/>
          <w:szCs w:val="28"/>
        </w:rPr>
        <w:t xml:space="preserve">. Persons investing in </w:t>
      </w:r>
      <w:r w:rsidRPr="003E5FB7">
        <w:rPr>
          <w:b/>
          <w:i/>
          <w:sz w:val="28"/>
          <w:szCs w:val="28"/>
        </w:rPr>
        <w:t>G1000</w:t>
      </w:r>
      <w:r w:rsidRPr="003E5FB7">
        <w:rPr>
          <w:sz w:val="28"/>
          <w:szCs w:val="28"/>
        </w:rPr>
        <w:t xml:space="preserve"> should carefully note the following:</w:t>
      </w:r>
    </w:p>
    <w:p w:rsidR="008B474D" w:rsidRPr="003E5FB7" w:rsidRDefault="008B474D" w:rsidP="00BD735D">
      <w:pPr>
        <w:pStyle w:val="ListParagraph"/>
        <w:numPr>
          <w:ilvl w:val="0"/>
          <w:numId w:val="25"/>
        </w:numPr>
        <w:spacing w:after="0"/>
        <w:ind w:right="365" w:firstLine="0"/>
        <w:jc w:val="both"/>
        <w:rPr>
          <w:sz w:val="28"/>
          <w:szCs w:val="28"/>
        </w:rPr>
      </w:pPr>
      <w:r w:rsidRPr="003E5FB7">
        <w:rPr>
          <w:sz w:val="28"/>
          <w:szCs w:val="28"/>
        </w:rPr>
        <w:t xml:space="preserve">The investments and services offered by us may not be suitable for all investors. Before investing in </w:t>
      </w:r>
      <w:r w:rsidRPr="003E5FB7">
        <w:rPr>
          <w:b/>
          <w:sz w:val="28"/>
          <w:szCs w:val="28"/>
        </w:rPr>
        <w:t xml:space="preserve">G1000, </w:t>
      </w:r>
      <w:r w:rsidRPr="003E5FB7">
        <w:rPr>
          <w:sz w:val="28"/>
          <w:szCs w:val="28"/>
        </w:rPr>
        <w:t xml:space="preserve">ensure you have spoken to and sought the advice of an independent financial advisor who is not connected to the </w:t>
      </w:r>
      <w:r w:rsidRPr="003E5FB7">
        <w:rPr>
          <w:b/>
          <w:sz w:val="28"/>
          <w:szCs w:val="28"/>
        </w:rPr>
        <w:t xml:space="preserve">G1000 </w:t>
      </w:r>
      <w:r w:rsidRPr="003E5FB7">
        <w:rPr>
          <w:sz w:val="28"/>
          <w:szCs w:val="28"/>
        </w:rPr>
        <w:t>management in any way.</w:t>
      </w:r>
    </w:p>
    <w:p w:rsidR="008B474D" w:rsidRPr="003E5FB7" w:rsidRDefault="008B474D" w:rsidP="00BD735D">
      <w:pPr>
        <w:pStyle w:val="ListParagraph"/>
        <w:numPr>
          <w:ilvl w:val="0"/>
          <w:numId w:val="25"/>
        </w:numPr>
        <w:spacing w:after="0"/>
        <w:ind w:right="365" w:firstLine="0"/>
        <w:jc w:val="both"/>
        <w:rPr>
          <w:sz w:val="28"/>
          <w:szCs w:val="28"/>
        </w:rPr>
      </w:pPr>
      <w:r w:rsidRPr="003E5FB7">
        <w:rPr>
          <w:sz w:val="28"/>
          <w:szCs w:val="28"/>
        </w:rPr>
        <w:t xml:space="preserve">There is no guarantee or warrantee given for the capital value of units in fund. The price or monetary value of units is subject to fluctuation (upward and downwards) from time to time as determined by prevailing market realities. </w:t>
      </w:r>
    </w:p>
    <w:p w:rsidR="008B474D" w:rsidRPr="003E5FB7" w:rsidRDefault="008B474D" w:rsidP="00BD735D">
      <w:pPr>
        <w:pStyle w:val="ListParagraph"/>
        <w:numPr>
          <w:ilvl w:val="0"/>
          <w:numId w:val="25"/>
        </w:numPr>
        <w:spacing w:after="0"/>
        <w:ind w:right="365" w:firstLine="0"/>
        <w:jc w:val="both"/>
        <w:rPr>
          <w:sz w:val="28"/>
          <w:szCs w:val="28"/>
        </w:rPr>
      </w:pPr>
      <w:r w:rsidRPr="003E5FB7">
        <w:rPr>
          <w:sz w:val="28"/>
          <w:szCs w:val="28"/>
        </w:rPr>
        <w:t xml:space="preserve">The </w:t>
      </w:r>
      <w:r w:rsidRPr="003E5FB7">
        <w:rPr>
          <w:b/>
          <w:sz w:val="28"/>
          <w:szCs w:val="28"/>
        </w:rPr>
        <w:t xml:space="preserve">G1000 </w:t>
      </w:r>
      <w:r w:rsidR="007643A0" w:rsidRPr="003E5FB7">
        <w:rPr>
          <w:sz w:val="28"/>
          <w:szCs w:val="28"/>
        </w:rPr>
        <w:t>investment may</w:t>
      </w:r>
      <w:r w:rsidRPr="003E5FB7">
        <w:rPr>
          <w:sz w:val="28"/>
          <w:szCs w:val="28"/>
        </w:rPr>
        <w:t xml:space="preserve"> not allow investors to get their capital back at the expiration of every investment period (which is 30 months). </w:t>
      </w:r>
      <w:r w:rsidR="007643A0" w:rsidRPr="003E5FB7">
        <w:rPr>
          <w:sz w:val="28"/>
          <w:szCs w:val="28"/>
        </w:rPr>
        <w:t>The monthly Return on Investment is what is to be expected. Where there is damage to the investment period the expiration of the investment period, an investor may get back less than the amount invested.</w:t>
      </w:r>
    </w:p>
    <w:p w:rsidR="008B474D" w:rsidRPr="003E5FB7" w:rsidRDefault="007643A0" w:rsidP="00BD735D">
      <w:pPr>
        <w:pStyle w:val="ListParagraph"/>
        <w:numPr>
          <w:ilvl w:val="0"/>
          <w:numId w:val="25"/>
        </w:numPr>
        <w:spacing w:after="0"/>
        <w:ind w:right="365" w:firstLine="0"/>
        <w:jc w:val="both"/>
        <w:rPr>
          <w:sz w:val="28"/>
          <w:szCs w:val="28"/>
        </w:rPr>
      </w:pPr>
      <w:r w:rsidRPr="003E5FB7">
        <w:rPr>
          <w:sz w:val="28"/>
          <w:szCs w:val="28"/>
        </w:rPr>
        <w:t xml:space="preserve">In situation where information on past performance is given on any service or investment, it should not be taken as a guide to future performance. IT is only a statement of experience that can be used to predict future occurrences. </w:t>
      </w:r>
    </w:p>
    <w:p w:rsidR="007643A0" w:rsidRPr="003E5FB7" w:rsidRDefault="008B474D" w:rsidP="00BD735D">
      <w:pPr>
        <w:pStyle w:val="ListParagraph"/>
        <w:numPr>
          <w:ilvl w:val="0"/>
          <w:numId w:val="25"/>
        </w:numPr>
        <w:spacing w:after="0"/>
        <w:ind w:right="365" w:firstLine="0"/>
        <w:jc w:val="both"/>
        <w:rPr>
          <w:sz w:val="28"/>
          <w:szCs w:val="28"/>
        </w:rPr>
      </w:pPr>
      <w:r w:rsidRPr="003E5FB7">
        <w:rPr>
          <w:b/>
          <w:i/>
          <w:sz w:val="28"/>
          <w:szCs w:val="28"/>
        </w:rPr>
        <w:t>G1000</w:t>
      </w:r>
      <w:r w:rsidRPr="003E5FB7">
        <w:rPr>
          <w:sz w:val="28"/>
          <w:szCs w:val="28"/>
        </w:rPr>
        <w:t xml:space="preserve"> represents a speculative investment and involves a high/low degree of risk. An investor could lose all or a substantial portion of his/her investment. Investors must have the financial ability, </w:t>
      </w:r>
      <w:r w:rsidRPr="003E5FB7">
        <w:rPr>
          <w:sz w:val="28"/>
          <w:szCs w:val="28"/>
        </w:rPr>
        <w:lastRenderedPageBreak/>
        <w:t>sophistication/experience and willingness to bear the risks of an investment in G1000.</w:t>
      </w:r>
    </w:p>
    <w:p w:rsidR="007643A0" w:rsidRPr="003E5FB7" w:rsidRDefault="008B474D" w:rsidP="00BD735D">
      <w:pPr>
        <w:pStyle w:val="ListParagraph"/>
        <w:numPr>
          <w:ilvl w:val="0"/>
          <w:numId w:val="25"/>
        </w:numPr>
        <w:spacing w:after="0"/>
        <w:ind w:right="365" w:firstLine="0"/>
        <w:jc w:val="both"/>
        <w:rPr>
          <w:sz w:val="28"/>
          <w:szCs w:val="28"/>
        </w:rPr>
      </w:pPr>
      <w:r w:rsidRPr="003E5FB7">
        <w:rPr>
          <w:sz w:val="28"/>
          <w:szCs w:val="28"/>
        </w:rPr>
        <w:t xml:space="preserve">An investment in </w:t>
      </w:r>
      <w:r w:rsidRPr="003E5FB7">
        <w:rPr>
          <w:b/>
          <w:i/>
          <w:sz w:val="28"/>
          <w:szCs w:val="28"/>
        </w:rPr>
        <w:t>G1000</w:t>
      </w:r>
      <w:r w:rsidRPr="003E5FB7">
        <w:rPr>
          <w:sz w:val="28"/>
          <w:szCs w:val="28"/>
        </w:rPr>
        <w:t xml:space="preserve"> should be discretionary capital set aside strictly for speculative purposes</w:t>
      </w:r>
      <w:r w:rsidR="007643A0" w:rsidRPr="003E5FB7">
        <w:rPr>
          <w:sz w:val="28"/>
          <w:szCs w:val="28"/>
        </w:rPr>
        <w:t>.</w:t>
      </w:r>
    </w:p>
    <w:p w:rsidR="007643A0" w:rsidRPr="003E5FB7" w:rsidRDefault="008B474D" w:rsidP="00BD735D">
      <w:pPr>
        <w:pStyle w:val="ListParagraph"/>
        <w:numPr>
          <w:ilvl w:val="0"/>
          <w:numId w:val="25"/>
        </w:numPr>
        <w:spacing w:after="0"/>
        <w:ind w:right="365" w:firstLine="0"/>
        <w:jc w:val="both"/>
        <w:rPr>
          <w:sz w:val="28"/>
          <w:szCs w:val="28"/>
        </w:rPr>
      </w:pPr>
      <w:r w:rsidRPr="003E5FB7">
        <w:rPr>
          <w:b/>
          <w:i/>
          <w:sz w:val="28"/>
          <w:szCs w:val="28"/>
        </w:rPr>
        <w:t>G1000</w:t>
      </w:r>
      <w:r w:rsidRPr="003E5FB7">
        <w:rPr>
          <w:sz w:val="28"/>
          <w:szCs w:val="28"/>
        </w:rPr>
        <w:t xml:space="preserve"> may employ leverage and other investment techniques, and such leverage and other investment techniques may result in increased volatility of the fund’s performance and increased risk of loss.</w:t>
      </w:r>
    </w:p>
    <w:p w:rsidR="007643A0" w:rsidRPr="003E5FB7" w:rsidRDefault="008B474D" w:rsidP="00BD735D">
      <w:pPr>
        <w:pStyle w:val="ListParagraph"/>
        <w:numPr>
          <w:ilvl w:val="0"/>
          <w:numId w:val="25"/>
        </w:numPr>
        <w:spacing w:after="0"/>
        <w:ind w:right="365" w:firstLine="0"/>
        <w:jc w:val="both"/>
        <w:rPr>
          <w:sz w:val="28"/>
          <w:szCs w:val="28"/>
        </w:rPr>
      </w:pPr>
      <w:r w:rsidRPr="003E5FB7">
        <w:rPr>
          <w:sz w:val="28"/>
          <w:szCs w:val="28"/>
        </w:rPr>
        <w:t>These policies are subject to change from time to time at company's discretion without permission from investors.</w:t>
      </w:r>
    </w:p>
    <w:p w:rsidR="008B474D" w:rsidRPr="003E5FB7" w:rsidRDefault="008B474D" w:rsidP="00BD735D">
      <w:pPr>
        <w:pStyle w:val="ListParagraph"/>
        <w:numPr>
          <w:ilvl w:val="0"/>
          <w:numId w:val="25"/>
        </w:numPr>
        <w:spacing w:after="0"/>
        <w:ind w:right="365" w:firstLine="0"/>
        <w:jc w:val="both"/>
        <w:rPr>
          <w:sz w:val="28"/>
          <w:szCs w:val="28"/>
        </w:rPr>
      </w:pPr>
      <w:r w:rsidRPr="003E5FB7">
        <w:rPr>
          <w:sz w:val="28"/>
          <w:szCs w:val="28"/>
        </w:rPr>
        <w:t>Proceeding to invest in G1000 will be taken as a proof that you have read, understood these policies and are interested in taking the risk</w:t>
      </w:r>
      <w:r w:rsidR="007643A0" w:rsidRPr="003E5FB7">
        <w:rPr>
          <w:sz w:val="28"/>
          <w:szCs w:val="28"/>
        </w:rPr>
        <w:t>s</w:t>
      </w:r>
      <w:r w:rsidRPr="003E5FB7">
        <w:rPr>
          <w:sz w:val="28"/>
          <w:szCs w:val="28"/>
        </w:rPr>
        <w:t>.</w:t>
      </w:r>
    </w:p>
    <w:p w:rsidR="00901FD7" w:rsidRPr="003E5FB7" w:rsidRDefault="00A43053" w:rsidP="00101112">
      <w:pPr>
        <w:spacing w:after="0" w:line="240" w:lineRule="auto"/>
        <w:jc w:val="both"/>
        <w:rPr>
          <w:b/>
          <w:sz w:val="28"/>
          <w:szCs w:val="28"/>
        </w:rPr>
      </w:pPr>
      <w:r w:rsidRPr="003E5FB7">
        <w:rPr>
          <w:b/>
          <w:sz w:val="28"/>
          <w:szCs w:val="28"/>
        </w:rPr>
        <w:t>TERMS AND CONDITIONS</w:t>
      </w:r>
    </w:p>
    <w:p w:rsidR="00A43053" w:rsidRPr="003E5FB7" w:rsidRDefault="00A43053" w:rsidP="00101112">
      <w:pPr>
        <w:spacing w:after="0" w:line="240" w:lineRule="auto"/>
        <w:jc w:val="both"/>
        <w:rPr>
          <w:sz w:val="28"/>
          <w:szCs w:val="28"/>
        </w:rPr>
      </w:pPr>
      <w:r w:rsidRPr="003E5FB7">
        <w:rPr>
          <w:sz w:val="28"/>
          <w:szCs w:val="28"/>
        </w:rPr>
        <w:t xml:space="preserve">The terms and conditions hereunder contained shall be the terms and conditions which shall guide your investment with our company. It is important that you read and understand these terms and conditions. Where you invest with us, it shall be deemed that you have read, understood and consented to the terms and conditions below. </w:t>
      </w:r>
    </w:p>
    <w:p w:rsidR="00A43053" w:rsidRPr="003E5FB7" w:rsidRDefault="00A43053" w:rsidP="00A43053">
      <w:pPr>
        <w:pStyle w:val="ListParagraph"/>
        <w:numPr>
          <w:ilvl w:val="0"/>
          <w:numId w:val="26"/>
        </w:numPr>
        <w:spacing w:after="0" w:line="360" w:lineRule="auto"/>
        <w:jc w:val="both"/>
        <w:rPr>
          <w:rFonts w:ascii="Times New Roman" w:eastAsia="Calibri" w:hAnsi="Times New Roman"/>
          <w:sz w:val="28"/>
          <w:szCs w:val="28"/>
        </w:rPr>
      </w:pPr>
      <w:r w:rsidRPr="003E5FB7">
        <w:rPr>
          <w:rFonts w:ascii="Times New Roman" w:eastAsia="Calibri" w:hAnsi="Times New Roman"/>
          <w:b/>
          <w:sz w:val="28"/>
          <w:szCs w:val="28"/>
        </w:rPr>
        <w:t>Interpretation/Definition</w:t>
      </w:r>
    </w:p>
    <w:p w:rsidR="00A43053" w:rsidRPr="003E5FB7" w:rsidRDefault="00A43053" w:rsidP="00A43053">
      <w:pPr>
        <w:pStyle w:val="ListParagraph"/>
        <w:spacing w:after="0" w:line="360" w:lineRule="auto"/>
        <w:ind w:left="435"/>
        <w:jc w:val="both"/>
        <w:rPr>
          <w:rFonts w:ascii="Times New Roman" w:eastAsia="Calibri" w:hAnsi="Times New Roman"/>
          <w:sz w:val="28"/>
          <w:szCs w:val="28"/>
        </w:rPr>
      </w:pPr>
      <w:r w:rsidRPr="003E5FB7">
        <w:rPr>
          <w:rFonts w:ascii="Times New Roman" w:eastAsia="Calibri" w:hAnsi="Times New Roman"/>
          <w:sz w:val="28"/>
          <w:szCs w:val="28"/>
        </w:rPr>
        <w:t>Unless the context so requires to the contrary, the words and expression in bold, where used in these terms and conditions, shall have the meaning written directly in front of them:</w:t>
      </w:r>
    </w:p>
    <w:p w:rsidR="00A43053" w:rsidRPr="003E5FB7" w:rsidRDefault="00A43053" w:rsidP="00A43053">
      <w:pPr>
        <w:pStyle w:val="ListParagraph"/>
        <w:spacing w:after="0" w:line="360" w:lineRule="auto"/>
        <w:ind w:left="435"/>
        <w:jc w:val="both"/>
        <w:rPr>
          <w:sz w:val="28"/>
          <w:szCs w:val="28"/>
        </w:rPr>
      </w:pPr>
      <w:r w:rsidRPr="003E5FB7">
        <w:rPr>
          <w:b/>
          <w:sz w:val="28"/>
          <w:szCs w:val="28"/>
        </w:rPr>
        <w:t>Affiliate</w:t>
      </w:r>
      <w:r w:rsidRPr="003E5FB7">
        <w:rPr>
          <w:sz w:val="28"/>
          <w:szCs w:val="28"/>
        </w:rPr>
        <w:t>: an entity that controls, is controlled by or is under common control with a party, where "control" means ownership of 50% or more of the shares, equity interest or other securities entitled to vote for election of directors or other managing authority.</w:t>
      </w:r>
    </w:p>
    <w:p w:rsidR="00A43053" w:rsidRPr="003E5FB7" w:rsidRDefault="00A43053" w:rsidP="00A43053">
      <w:pPr>
        <w:pStyle w:val="ListParagraph"/>
        <w:spacing w:after="0" w:line="360" w:lineRule="auto"/>
        <w:ind w:left="435"/>
        <w:jc w:val="both"/>
        <w:rPr>
          <w:rFonts w:ascii="Times New Roman" w:eastAsia="Calibri" w:hAnsi="Times New Roman"/>
          <w:sz w:val="28"/>
          <w:szCs w:val="28"/>
        </w:rPr>
      </w:pPr>
      <w:r w:rsidRPr="003E5FB7">
        <w:rPr>
          <w:rFonts w:ascii="Times New Roman" w:eastAsia="Calibri" w:hAnsi="Times New Roman"/>
          <w:b/>
          <w:sz w:val="28"/>
          <w:szCs w:val="28"/>
        </w:rPr>
        <w:t>Country</w:t>
      </w:r>
      <w:r w:rsidRPr="003E5FB7">
        <w:rPr>
          <w:rFonts w:ascii="Times New Roman" w:eastAsia="Calibri" w:hAnsi="Times New Roman"/>
          <w:sz w:val="28"/>
          <w:szCs w:val="28"/>
        </w:rPr>
        <w:t>: Nigeria</w:t>
      </w:r>
    </w:p>
    <w:p w:rsidR="00A43053" w:rsidRPr="003E5FB7" w:rsidRDefault="00A43053" w:rsidP="00A43053">
      <w:pPr>
        <w:pStyle w:val="ListParagraph"/>
        <w:spacing w:after="0" w:line="360" w:lineRule="auto"/>
        <w:ind w:left="435"/>
        <w:jc w:val="both"/>
        <w:rPr>
          <w:rFonts w:ascii="Times New Roman" w:eastAsia="Calibri" w:hAnsi="Times New Roman"/>
          <w:sz w:val="28"/>
          <w:szCs w:val="28"/>
        </w:rPr>
      </w:pPr>
      <w:r w:rsidRPr="003E5FB7">
        <w:rPr>
          <w:rFonts w:ascii="Times New Roman" w:eastAsia="Calibri" w:hAnsi="Times New Roman"/>
          <w:b/>
          <w:sz w:val="28"/>
          <w:szCs w:val="28"/>
        </w:rPr>
        <w:t xml:space="preserve">Company/Us/Our: </w:t>
      </w:r>
      <w:r w:rsidRPr="003E5FB7">
        <w:rPr>
          <w:rFonts w:ascii="Times New Roman" w:eastAsia="Calibri" w:hAnsi="Times New Roman"/>
          <w:sz w:val="28"/>
          <w:szCs w:val="28"/>
        </w:rPr>
        <w:t>GG Solutions Concept Ltd.</w:t>
      </w:r>
    </w:p>
    <w:p w:rsidR="00A43053" w:rsidRPr="003E5FB7" w:rsidRDefault="00F847A0" w:rsidP="00A43053">
      <w:pPr>
        <w:pStyle w:val="ListParagraph"/>
        <w:spacing w:after="0" w:line="360" w:lineRule="auto"/>
        <w:ind w:left="435"/>
        <w:jc w:val="both"/>
        <w:rPr>
          <w:rFonts w:ascii="Times New Roman" w:eastAsia="Calibri" w:hAnsi="Times New Roman"/>
          <w:sz w:val="28"/>
          <w:szCs w:val="28"/>
        </w:rPr>
      </w:pPr>
      <w:r w:rsidRPr="003E5FB7">
        <w:rPr>
          <w:rFonts w:ascii="Times New Roman" w:eastAsia="Calibri" w:hAnsi="Times New Roman"/>
          <w:b/>
          <w:sz w:val="28"/>
          <w:szCs w:val="28"/>
        </w:rPr>
        <w:t xml:space="preserve">Device: </w:t>
      </w:r>
      <w:r w:rsidRPr="003E5FB7">
        <w:rPr>
          <w:rFonts w:ascii="Times New Roman" w:eastAsia="Calibri" w:hAnsi="Times New Roman"/>
          <w:sz w:val="28"/>
          <w:szCs w:val="28"/>
        </w:rPr>
        <w:t>any device or gadget that can access the services of our company</w:t>
      </w:r>
    </w:p>
    <w:p w:rsidR="00F847A0" w:rsidRPr="003E5FB7" w:rsidRDefault="00F847A0" w:rsidP="00A43053">
      <w:pPr>
        <w:pStyle w:val="ListParagraph"/>
        <w:spacing w:after="0" w:line="360" w:lineRule="auto"/>
        <w:ind w:left="435"/>
        <w:jc w:val="both"/>
        <w:rPr>
          <w:sz w:val="28"/>
          <w:szCs w:val="28"/>
        </w:rPr>
      </w:pPr>
      <w:r w:rsidRPr="003E5FB7">
        <w:rPr>
          <w:rFonts w:ascii="Times New Roman" w:eastAsia="Calibri" w:hAnsi="Times New Roman"/>
          <w:b/>
          <w:sz w:val="28"/>
          <w:szCs w:val="28"/>
        </w:rPr>
        <w:t>Service:</w:t>
      </w:r>
      <w:r w:rsidRPr="003E5FB7">
        <w:rPr>
          <w:rFonts w:ascii="Times New Roman" w:eastAsia="Calibri" w:hAnsi="Times New Roman"/>
          <w:sz w:val="28"/>
          <w:szCs w:val="28"/>
        </w:rPr>
        <w:t xml:space="preserve"> the website of the company, </w:t>
      </w:r>
      <w:hyperlink r:id="rId9" w:history="1">
        <w:r w:rsidR="00986DFA" w:rsidRPr="003E5FB7">
          <w:rPr>
            <w:b/>
            <w:i/>
            <w:color w:val="0563C1"/>
            <w:w w:val="99"/>
            <w:sz w:val="28"/>
            <w:szCs w:val="28"/>
          </w:rPr>
          <w:t>https://ggconcept.org</w:t>
        </w:r>
      </w:hyperlink>
    </w:p>
    <w:p w:rsidR="00986DFA" w:rsidRPr="003E5FB7" w:rsidRDefault="00986DFA" w:rsidP="00A43053">
      <w:pPr>
        <w:pStyle w:val="ListParagraph"/>
        <w:spacing w:after="0" w:line="360" w:lineRule="auto"/>
        <w:ind w:left="435"/>
        <w:jc w:val="both"/>
        <w:rPr>
          <w:rFonts w:ascii="Times New Roman" w:eastAsia="Calibri" w:hAnsi="Times New Roman"/>
          <w:sz w:val="28"/>
          <w:szCs w:val="28"/>
        </w:rPr>
      </w:pPr>
      <w:r w:rsidRPr="003E5FB7">
        <w:rPr>
          <w:rFonts w:ascii="Times New Roman" w:eastAsia="Calibri" w:hAnsi="Times New Roman"/>
          <w:b/>
          <w:sz w:val="28"/>
          <w:szCs w:val="28"/>
        </w:rPr>
        <w:lastRenderedPageBreak/>
        <w:t xml:space="preserve">Terms and Condition/Terms: </w:t>
      </w:r>
      <w:r w:rsidRPr="003E5FB7">
        <w:rPr>
          <w:rFonts w:ascii="Times New Roman" w:eastAsia="Calibri" w:hAnsi="Times New Roman"/>
          <w:sz w:val="28"/>
          <w:szCs w:val="28"/>
        </w:rPr>
        <w:t>this terms and conditions, which is the entire agreement between you and our company.</w:t>
      </w:r>
    </w:p>
    <w:p w:rsidR="00986DFA" w:rsidRPr="003E5FB7" w:rsidRDefault="00986DFA" w:rsidP="00986DFA">
      <w:pPr>
        <w:pStyle w:val="ListParagraph"/>
        <w:numPr>
          <w:ilvl w:val="0"/>
          <w:numId w:val="26"/>
        </w:numPr>
        <w:spacing w:after="0" w:line="360" w:lineRule="auto"/>
        <w:jc w:val="both"/>
        <w:rPr>
          <w:rFonts w:ascii="Times New Roman" w:eastAsia="Calibri" w:hAnsi="Times New Roman"/>
          <w:sz w:val="28"/>
          <w:szCs w:val="28"/>
        </w:rPr>
      </w:pPr>
      <w:r w:rsidRPr="003E5FB7">
        <w:rPr>
          <w:rFonts w:ascii="Times New Roman" w:eastAsia="Calibri" w:hAnsi="Times New Roman"/>
          <w:b/>
          <w:sz w:val="28"/>
          <w:szCs w:val="28"/>
        </w:rPr>
        <w:t xml:space="preserve">Acknowledgement </w:t>
      </w:r>
    </w:p>
    <w:p w:rsidR="00986DFA" w:rsidRPr="003E5FB7" w:rsidRDefault="00986DFA" w:rsidP="00B91378">
      <w:pPr>
        <w:pStyle w:val="ListParagraph"/>
        <w:numPr>
          <w:ilvl w:val="0"/>
          <w:numId w:val="27"/>
        </w:numPr>
        <w:spacing w:line="240" w:lineRule="auto"/>
        <w:ind w:right="345" w:firstLine="0"/>
        <w:jc w:val="both"/>
        <w:rPr>
          <w:sz w:val="28"/>
          <w:szCs w:val="28"/>
        </w:rPr>
      </w:pPr>
      <w:r w:rsidRPr="003E5FB7">
        <w:rPr>
          <w:sz w:val="28"/>
          <w:szCs w:val="28"/>
        </w:rPr>
        <w:t>These are the Terms and Conditions governing the use of this Service and the agreement that operates between you and the Company. These Terms and Conditions set out the rights and obligations of all users regarding the use of the Service.</w:t>
      </w:r>
    </w:p>
    <w:p w:rsidR="00986DFA" w:rsidRPr="003E5FB7" w:rsidRDefault="00986DFA" w:rsidP="00B91378">
      <w:pPr>
        <w:pStyle w:val="ListParagraph"/>
        <w:numPr>
          <w:ilvl w:val="0"/>
          <w:numId w:val="27"/>
        </w:numPr>
        <w:spacing w:line="240" w:lineRule="auto"/>
        <w:ind w:right="345" w:firstLine="0"/>
        <w:jc w:val="both"/>
        <w:rPr>
          <w:sz w:val="28"/>
          <w:szCs w:val="28"/>
        </w:rPr>
      </w:pPr>
      <w:r w:rsidRPr="003E5FB7">
        <w:rPr>
          <w:sz w:val="28"/>
          <w:szCs w:val="28"/>
        </w:rPr>
        <w:t>Your access to and use of the Service is conditioned on your acceptance of and compliance with these Terms and Conditions. These Terms and Conditions apply to all visitors, users and others who access or use the Service.</w:t>
      </w:r>
    </w:p>
    <w:p w:rsidR="00986DFA" w:rsidRPr="003E5FB7" w:rsidRDefault="00986DFA" w:rsidP="00B91378">
      <w:pPr>
        <w:pStyle w:val="ListParagraph"/>
        <w:numPr>
          <w:ilvl w:val="0"/>
          <w:numId w:val="27"/>
        </w:numPr>
        <w:spacing w:line="240" w:lineRule="auto"/>
        <w:ind w:right="345" w:firstLine="0"/>
        <w:jc w:val="both"/>
        <w:rPr>
          <w:sz w:val="28"/>
          <w:szCs w:val="28"/>
        </w:rPr>
      </w:pPr>
      <w:r w:rsidRPr="003E5FB7">
        <w:rPr>
          <w:sz w:val="28"/>
          <w:szCs w:val="28"/>
        </w:rPr>
        <w:t>By accessing or using the Service, you agree to be bound by these Terms and Conditions. If you disagree with any part of these Terms and Conditions then you should not access the Service.</w:t>
      </w:r>
    </w:p>
    <w:p w:rsidR="00986DFA" w:rsidRPr="003E5FB7" w:rsidRDefault="00986DFA" w:rsidP="00B91378">
      <w:pPr>
        <w:pStyle w:val="ListParagraph"/>
        <w:numPr>
          <w:ilvl w:val="0"/>
          <w:numId w:val="27"/>
        </w:numPr>
        <w:spacing w:line="240" w:lineRule="auto"/>
        <w:ind w:right="345" w:firstLine="0"/>
        <w:jc w:val="both"/>
        <w:rPr>
          <w:sz w:val="28"/>
          <w:szCs w:val="28"/>
        </w:rPr>
      </w:pPr>
      <w:r w:rsidRPr="003E5FB7">
        <w:rPr>
          <w:sz w:val="28"/>
          <w:szCs w:val="28"/>
        </w:rPr>
        <w:t>You represent that you are over the age of 18. The Company does not permit those under 18 to use the Service.</w:t>
      </w:r>
    </w:p>
    <w:p w:rsidR="00986DFA" w:rsidRPr="003E5FB7" w:rsidRDefault="00986DFA" w:rsidP="00B91378">
      <w:pPr>
        <w:pStyle w:val="ListParagraph"/>
        <w:numPr>
          <w:ilvl w:val="0"/>
          <w:numId w:val="27"/>
        </w:numPr>
        <w:spacing w:line="240" w:lineRule="auto"/>
        <w:ind w:right="345" w:firstLine="0"/>
        <w:jc w:val="both"/>
        <w:rPr>
          <w:sz w:val="28"/>
          <w:szCs w:val="28"/>
        </w:rPr>
      </w:pPr>
      <w:r w:rsidRPr="003E5FB7">
        <w:rPr>
          <w:sz w:val="28"/>
          <w:szCs w:val="28"/>
        </w:rPr>
        <w:t xml:space="preserve">Your access to and use of the Service is also conditional on your acceptance of and compliance with the Privacy Policy of the Company. Our Privacy Policy describes </w:t>
      </w:r>
      <w:proofErr w:type="spellStart"/>
      <w:r w:rsidRPr="003E5FB7">
        <w:rPr>
          <w:sz w:val="28"/>
          <w:szCs w:val="28"/>
        </w:rPr>
        <w:t>ur</w:t>
      </w:r>
      <w:proofErr w:type="spellEnd"/>
      <w:r w:rsidRPr="003E5FB7">
        <w:rPr>
          <w:sz w:val="28"/>
          <w:szCs w:val="28"/>
        </w:rPr>
        <w:t xml:space="preserve">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rsidR="00986DFA" w:rsidRPr="003E5FB7" w:rsidRDefault="00986DFA" w:rsidP="00B91378">
      <w:pPr>
        <w:pStyle w:val="ListParagraph"/>
        <w:numPr>
          <w:ilvl w:val="0"/>
          <w:numId w:val="26"/>
        </w:numPr>
        <w:spacing w:line="240" w:lineRule="auto"/>
        <w:ind w:right="345" w:firstLine="0"/>
        <w:jc w:val="both"/>
        <w:rPr>
          <w:b/>
          <w:sz w:val="28"/>
          <w:szCs w:val="28"/>
        </w:rPr>
      </w:pPr>
      <w:r w:rsidRPr="003E5FB7">
        <w:rPr>
          <w:b/>
          <w:sz w:val="28"/>
          <w:szCs w:val="28"/>
        </w:rPr>
        <w:t>Link to other Websites/ Services</w:t>
      </w:r>
    </w:p>
    <w:p w:rsidR="00986DFA" w:rsidRPr="003E5FB7" w:rsidRDefault="00986DFA" w:rsidP="00B91378">
      <w:pPr>
        <w:pStyle w:val="ListParagraph"/>
        <w:spacing w:line="240" w:lineRule="auto"/>
        <w:ind w:left="435" w:right="365"/>
        <w:jc w:val="both"/>
        <w:rPr>
          <w:sz w:val="28"/>
          <w:szCs w:val="28"/>
        </w:rPr>
      </w:pPr>
      <w:r w:rsidRPr="003E5FB7">
        <w:rPr>
          <w:sz w:val="28"/>
          <w:szCs w:val="28"/>
        </w:rPr>
        <w:t>Our Service may contain links to third-party web sites or services that are not owned or controlled by the Company.</w:t>
      </w:r>
    </w:p>
    <w:p w:rsidR="00986DFA" w:rsidRPr="003E5FB7" w:rsidRDefault="00986DFA" w:rsidP="00B91378">
      <w:pPr>
        <w:pStyle w:val="ListParagraph"/>
        <w:spacing w:line="240" w:lineRule="auto"/>
        <w:ind w:left="435" w:right="365"/>
        <w:jc w:val="both"/>
        <w:rPr>
          <w:sz w:val="28"/>
          <w:szCs w:val="28"/>
        </w:rPr>
      </w:pPr>
      <w:r w:rsidRPr="003E5FB7">
        <w:rPr>
          <w:sz w:val="28"/>
          <w:szCs w:val="28"/>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986DFA" w:rsidRPr="003E5FB7" w:rsidRDefault="00986DFA" w:rsidP="00B91378">
      <w:pPr>
        <w:pStyle w:val="ListParagraph"/>
        <w:spacing w:line="240" w:lineRule="auto"/>
        <w:ind w:left="435" w:right="365"/>
        <w:jc w:val="both"/>
        <w:rPr>
          <w:sz w:val="28"/>
          <w:szCs w:val="28"/>
        </w:rPr>
      </w:pPr>
      <w:r w:rsidRPr="003E5FB7">
        <w:rPr>
          <w:sz w:val="28"/>
          <w:szCs w:val="28"/>
        </w:rPr>
        <w:t>We strongly advise you to read the terms and conditions and privacy policies of any third-party web sites or services that you visit.</w:t>
      </w:r>
    </w:p>
    <w:p w:rsidR="00986DFA" w:rsidRPr="003E5FB7" w:rsidRDefault="002F0194" w:rsidP="00B91378">
      <w:pPr>
        <w:pStyle w:val="ListParagraph"/>
        <w:numPr>
          <w:ilvl w:val="0"/>
          <w:numId w:val="26"/>
        </w:numPr>
        <w:spacing w:line="240" w:lineRule="auto"/>
        <w:ind w:right="365" w:firstLine="0"/>
        <w:jc w:val="both"/>
        <w:rPr>
          <w:b/>
          <w:sz w:val="28"/>
          <w:szCs w:val="28"/>
        </w:rPr>
      </w:pPr>
      <w:r w:rsidRPr="003E5FB7">
        <w:rPr>
          <w:b/>
          <w:sz w:val="28"/>
          <w:szCs w:val="28"/>
        </w:rPr>
        <w:t>Termination</w:t>
      </w:r>
    </w:p>
    <w:p w:rsidR="002F0194" w:rsidRPr="003E5FB7" w:rsidRDefault="002F0194" w:rsidP="00B91378">
      <w:pPr>
        <w:pStyle w:val="ListParagraph"/>
        <w:numPr>
          <w:ilvl w:val="0"/>
          <w:numId w:val="28"/>
        </w:numPr>
        <w:spacing w:line="240" w:lineRule="auto"/>
        <w:ind w:right="365" w:firstLine="0"/>
        <w:jc w:val="both"/>
        <w:rPr>
          <w:sz w:val="28"/>
          <w:szCs w:val="28"/>
        </w:rPr>
      </w:pPr>
      <w:r w:rsidRPr="003E5FB7">
        <w:rPr>
          <w:sz w:val="28"/>
          <w:szCs w:val="28"/>
        </w:rPr>
        <w:lastRenderedPageBreak/>
        <w:t>We may terminate or suspend your access immediately, without prior notice or liability, for any reason whatsoever, including without limitation if You breach these Terms and Conditions.</w:t>
      </w:r>
    </w:p>
    <w:p w:rsidR="002F0194" w:rsidRPr="003E5FB7" w:rsidRDefault="002F0194" w:rsidP="00B91378">
      <w:pPr>
        <w:pStyle w:val="ListParagraph"/>
        <w:numPr>
          <w:ilvl w:val="0"/>
          <w:numId w:val="28"/>
        </w:numPr>
        <w:spacing w:line="240" w:lineRule="auto"/>
        <w:ind w:right="365" w:firstLine="0"/>
        <w:jc w:val="both"/>
        <w:rPr>
          <w:sz w:val="28"/>
          <w:szCs w:val="28"/>
        </w:rPr>
      </w:pPr>
      <w:r w:rsidRPr="003E5FB7">
        <w:rPr>
          <w:sz w:val="28"/>
          <w:szCs w:val="28"/>
        </w:rPr>
        <w:t>Upon termination, your right to use the Service will cease immediately.</w:t>
      </w:r>
    </w:p>
    <w:p w:rsidR="002F0194" w:rsidRPr="003E5FB7" w:rsidRDefault="002F0194" w:rsidP="00B91378">
      <w:pPr>
        <w:pStyle w:val="ListParagraph"/>
        <w:numPr>
          <w:ilvl w:val="0"/>
          <w:numId w:val="26"/>
        </w:numPr>
        <w:spacing w:line="240" w:lineRule="auto"/>
        <w:ind w:right="365" w:firstLine="0"/>
        <w:rPr>
          <w:sz w:val="28"/>
          <w:szCs w:val="28"/>
        </w:rPr>
      </w:pPr>
      <w:r w:rsidRPr="003E5FB7">
        <w:rPr>
          <w:b/>
          <w:sz w:val="28"/>
          <w:szCs w:val="28"/>
        </w:rPr>
        <w:t>Limitation of Liability</w:t>
      </w:r>
    </w:p>
    <w:p w:rsidR="002F0194" w:rsidRPr="003E5FB7" w:rsidRDefault="002F0194" w:rsidP="00B91378">
      <w:pPr>
        <w:pStyle w:val="ListParagraph"/>
        <w:spacing w:line="240" w:lineRule="auto"/>
        <w:ind w:left="435" w:right="365"/>
        <w:jc w:val="both"/>
        <w:rPr>
          <w:sz w:val="28"/>
          <w:szCs w:val="28"/>
        </w:rPr>
      </w:pPr>
      <w:r w:rsidRPr="003E5FB7">
        <w:rPr>
          <w:sz w:val="28"/>
          <w:szCs w:val="28"/>
        </w:rPr>
        <w:t>Notwithstanding any damage you might incur, the entire liability of the company and any of its suppliers or representatives under any provision of these terms and conditions</w:t>
      </w:r>
      <w:r w:rsidR="002834F3" w:rsidRPr="003E5FB7">
        <w:rPr>
          <w:sz w:val="28"/>
          <w:szCs w:val="28"/>
        </w:rPr>
        <w:t xml:space="preserve"> and your exclusive remedy for all of the foregoing shall be limited to the amount actually paid by you to or through the service or Fifty Thousand Naira if you have not purchased anything from or through the service. </w:t>
      </w:r>
    </w:p>
    <w:p w:rsidR="00986DFA" w:rsidRPr="003E5FB7" w:rsidRDefault="002834F3" w:rsidP="00B91378">
      <w:pPr>
        <w:pStyle w:val="ListParagraph"/>
        <w:numPr>
          <w:ilvl w:val="0"/>
          <w:numId w:val="26"/>
        </w:numPr>
        <w:spacing w:after="0" w:line="240" w:lineRule="auto"/>
        <w:ind w:firstLine="0"/>
        <w:jc w:val="both"/>
        <w:rPr>
          <w:rFonts w:ascii="Times New Roman" w:eastAsia="Calibri" w:hAnsi="Times New Roman"/>
          <w:b/>
          <w:sz w:val="28"/>
          <w:szCs w:val="28"/>
        </w:rPr>
      </w:pPr>
      <w:r w:rsidRPr="003E5FB7">
        <w:rPr>
          <w:rFonts w:ascii="Times New Roman" w:eastAsia="Calibri" w:hAnsi="Times New Roman"/>
          <w:b/>
          <w:sz w:val="28"/>
          <w:szCs w:val="28"/>
        </w:rPr>
        <w:t>“As is” and “As Available” Disclaimer</w:t>
      </w:r>
    </w:p>
    <w:p w:rsidR="002834F3" w:rsidRPr="003E5FB7" w:rsidRDefault="002834F3" w:rsidP="00B91378">
      <w:pPr>
        <w:pStyle w:val="ListParagraph"/>
        <w:spacing w:line="240" w:lineRule="auto"/>
        <w:ind w:left="435" w:right="305"/>
        <w:jc w:val="both"/>
        <w:rPr>
          <w:sz w:val="28"/>
          <w:szCs w:val="28"/>
        </w:rPr>
      </w:pPr>
      <w:r w:rsidRPr="003E5FB7">
        <w:rPr>
          <w:sz w:val="28"/>
          <w:szCs w:val="28"/>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2834F3" w:rsidRPr="003E5FB7" w:rsidRDefault="002834F3" w:rsidP="00B91378">
      <w:pPr>
        <w:pStyle w:val="ListParagraph"/>
        <w:numPr>
          <w:ilvl w:val="0"/>
          <w:numId w:val="26"/>
        </w:numPr>
        <w:spacing w:line="240" w:lineRule="auto"/>
        <w:ind w:right="305" w:firstLine="0"/>
        <w:jc w:val="both"/>
        <w:rPr>
          <w:sz w:val="28"/>
          <w:szCs w:val="28"/>
        </w:rPr>
      </w:pPr>
      <w:r w:rsidRPr="003E5FB7">
        <w:rPr>
          <w:sz w:val="28"/>
          <w:szCs w:val="28"/>
        </w:rPr>
        <w:t xml:space="preserve"> </w:t>
      </w:r>
      <w:r w:rsidRPr="003E5FB7">
        <w:rPr>
          <w:b/>
          <w:sz w:val="28"/>
          <w:szCs w:val="28"/>
        </w:rPr>
        <w:t>Governing Laws</w:t>
      </w:r>
    </w:p>
    <w:p w:rsidR="002834F3" w:rsidRPr="003E5FB7" w:rsidRDefault="002834F3" w:rsidP="00B91378">
      <w:pPr>
        <w:pStyle w:val="ListParagraph"/>
        <w:spacing w:line="240" w:lineRule="auto"/>
        <w:ind w:left="435" w:right="305"/>
        <w:jc w:val="both"/>
        <w:rPr>
          <w:sz w:val="28"/>
          <w:szCs w:val="28"/>
        </w:rPr>
      </w:pPr>
      <w:r w:rsidRPr="003E5FB7">
        <w:rPr>
          <w:sz w:val="28"/>
          <w:szCs w:val="28"/>
        </w:rPr>
        <w:t xml:space="preserve">Your relationship with the Company, your investment in any or all of the Company’s service and the interpretation and application of these Terms and Conditions shall be governed by the Laws of the Federal Republic of Nigeria which are applicable as at the time that these terms and conditions take effect. </w:t>
      </w:r>
    </w:p>
    <w:p w:rsidR="00EC64BB" w:rsidRPr="003E5FB7" w:rsidRDefault="00EC64BB" w:rsidP="00B91378">
      <w:pPr>
        <w:pStyle w:val="ListParagraph"/>
        <w:numPr>
          <w:ilvl w:val="0"/>
          <w:numId w:val="26"/>
        </w:numPr>
        <w:spacing w:line="240" w:lineRule="auto"/>
        <w:ind w:right="305" w:firstLine="0"/>
        <w:jc w:val="both"/>
        <w:rPr>
          <w:sz w:val="28"/>
          <w:szCs w:val="28"/>
        </w:rPr>
      </w:pPr>
      <w:r w:rsidRPr="003E5FB7">
        <w:rPr>
          <w:b/>
          <w:sz w:val="28"/>
          <w:szCs w:val="28"/>
        </w:rPr>
        <w:t>Dispute Resolution</w:t>
      </w:r>
    </w:p>
    <w:p w:rsidR="00EC64BB" w:rsidRPr="003E5FB7" w:rsidRDefault="00EC64BB" w:rsidP="00B91378">
      <w:pPr>
        <w:pStyle w:val="ListParagraph"/>
        <w:spacing w:line="240" w:lineRule="auto"/>
        <w:ind w:left="435" w:right="305"/>
        <w:jc w:val="both"/>
        <w:rPr>
          <w:sz w:val="28"/>
          <w:szCs w:val="28"/>
        </w:rPr>
      </w:pPr>
      <w:r w:rsidRPr="003E5FB7">
        <w:rPr>
          <w:sz w:val="28"/>
          <w:szCs w:val="28"/>
        </w:rPr>
        <w:t xml:space="preserve">Where any dispute arises in connection with the company or the interpretation, application or use of these terms and conditions, such </w:t>
      </w:r>
      <w:r w:rsidRPr="003E5FB7">
        <w:rPr>
          <w:sz w:val="28"/>
          <w:szCs w:val="28"/>
        </w:rPr>
        <w:lastRenderedPageBreak/>
        <w:t xml:space="preserve">dispute shall first be resolved informally between you and the company. Where such dispute cannot be resolved at this stage, recourse shall be given to other forms of dispute resolution. </w:t>
      </w:r>
    </w:p>
    <w:p w:rsidR="00EC64BB" w:rsidRPr="003E5FB7" w:rsidRDefault="00EC64BB" w:rsidP="00B91378">
      <w:pPr>
        <w:pStyle w:val="ListParagraph"/>
        <w:numPr>
          <w:ilvl w:val="0"/>
          <w:numId w:val="26"/>
        </w:numPr>
        <w:spacing w:line="240" w:lineRule="auto"/>
        <w:ind w:right="305" w:firstLine="0"/>
        <w:jc w:val="both"/>
        <w:rPr>
          <w:sz w:val="28"/>
          <w:szCs w:val="28"/>
        </w:rPr>
      </w:pPr>
      <w:r w:rsidRPr="003E5FB7">
        <w:rPr>
          <w:b/>
          <w:sz w:val="28"/>
          <w:szCs w:val="28"/>
        </w:rPr>
        <w:t>Severability</w:t>
      </w:r>
    </w:p>
    <w:p w:rsidR="00C841E5" w:rsidRPr="003E5FB7" w:rsidRDefault="00EC64BB" w:rsidP="00B91378">
      <w:pPr>
        <w:pStyle w:val="ListParagraph"/>
        <w:spacing w:line="240" w:lineRule="auto"/>
        <w:ind w:left="435" w:right="305"/>
        <w:jc w:val="both"/>
        <w:rPr>
          <w:sz w:val="28"/>
          <w:szCs w:val="28"/>
        </w:rPr>
      </w:pPr>
      <w:r w:rsidRPr="003E5FB7">
        <w:rPr>
          <w:sz w:val="28"/>
          <w:szCs w:val="28"/>
        </w:rPr>
        <w:t>If</w:t>
      </w:r>
      <w:r w:rsidR="00C841E5" w:rsidRPr="003E5FB7">
        <w:rPr>
          <w:sz w:val="28"/>
          <w:szCs w:val="28"/>
        </w:rPr>
        <w:t xml:space="preserve"> </w:t>
      </w:r>
      <w:r w:rsidRPr="003E5FB7">
        <w:rPr>
          <w:sz w:val="28"/>
          <w:szCs w:val="28"/>
        </w:rPr>
        <w:t>any provision</w:t>
      </w:r>
      <w:r w:rsidR="00C841E5" w:rsidRPr="003E5FB7">
        <w:rPr>
          <w:sz w:val="28"/>
          <w:szCs w:val="28"/>
        </w:rPr>
        <w:t xml:space="preserve"> of </w:t>
      </w:r>
      <w:r w:rsidRPr="003E5FB7">
        <w:rPr>
          <w:sz w:val="28"/>
          <w:szCs w:val="28"/>
        </w:rPr>
        <w:t>these terms and conditions is held unenforceable or invalid, such provision will be changed and interpreted to accomplish the objective of such provision to the greatest extent possible under applicable laws and the remaining provisions will continue to have full force and effect.</w:t>
      </w:r>
    </w:p>
    <w:p w:rsidR="005068C5" w:rsidRPr="003E5FB7" w:rsidRDefault="005068C5" w:rsidP="00B91378">
      <w:pPr>
        <w:pStyle w:val="ListParagraph"/>
        <w:spacing w:line="240" w:lineRule="auto"/>
        <w:ind w:left="435" w:right="305"/>
        <w:jc w:val="both"/>
        <w:rPr>
          <w:sz w:val="28"/>
          <w:szCs w:val="28"/>
        </w:rPr>
      </w:pPr>
    </w:p>
    <w:p w:rsidR="00713341" w:rsidRPr="003E5FB7" w:rsidRDefault="006829BC" w:rsidP="0073788A">
      <w:pPr>
        <w:pStyle w:val="ListParagraph"/>
        <w:spacing w:line="240" w:lineRule="auto"/>
        <w:ind w:left="435" w:right="305"/>
        <w:jc w:val="both"/>
        <w:rPr>
          <w:b/>
          <w:bCs/>
          <w:sz w:val="28"/>
          <w:szCs w:val="28"/>
        </w:rPr>
      </w:pPr>
      <w:r>
        <w:rPr>
          <w:b/>
          <w:bCs/>
          <w:sz w:val="28"/>
          <w:szCs w:val="28"/>
        </w:rPr>
        <w:t>J</w:t>
      </w:r>
      <w:r>
        <w:rPr>
          <w:sz w:val="28"/>
          <w:szCs w:val="28"/>
        </w:rPr>
        <w:t>.</w:t>
      </w:r>
      <w:r w:rsidR="0073788A">
        <w:rPr>
          <w:b/>
          <w:bCs/>
          <w:sz w:val="28"/>
          <w:szCs w:val="28"/>
        </w:rPr>
        <w:t xml:space="preserve"> </w:t>
      </w:r>
      <w:r w:rsidR="0073788A" w:rsidRPr="006829BC">
        <w:rPr>
          <w:b/>
          <w:bCs/>
          <w:sz w:val="28"/>
          <w:szCs w:val="28"/>
        </w:rPr>
        <w:t>C</w:t>
      </w:r>
      <w:r w:rsidR="00713341" w:rsidRPr="006829BC">
        <w:rPr>
          <w:b/>
          <w:bCs/>
          <w:sz w:val="28"/>
          <w:szCs w:val="28"/>
        </w:rPr>
        <w:t>hanges</w:t>
      </w:r>
      <w:r w:rsidR="00713341" w:rsidRPr="003E5FB7">
        <w:rPr>
          <w:b/>
          <w:bCs/>
          <w:sz w:val="28"/>
          <w:szCs w:val="28"/>
        </w:rPr>
        <w:t xml:space="preserve"> to These Terms and Conditions</w:t>
      </w:r>
    </w:p>
    <w:p w:rsidR="00713341" w:rsidRPr="003E5FB7" w:rsidRDefault="00713341" w:rsidP="00B91378">
      <w:pPr>
        <w:pStyle w:val="ListParagraph"/>
        <w:spacing w:line="240" w:lineRule="auto"/>
        <w:ind w:left="435" w:right="305"/>
        <w:jc w:val="both"/>
        <w:rPr>
          <w:sz w:val="28"/>
          <w:szCs w:val="28"/>
        </w:rPr>
      </w:pPr>
      <w:r w:rsidRPr="003E5FB7">
        <w:rPr>
          <w:sz w:val="28"/>
          <w:szCs w:val="28"/>
        </w:rPr>
        <w:t>We reserve the right, at Our sole discretion, to modify or replace these</w:t>
      </w:r>
      <w:r w:rsidR="00F80D16" w:rsidRPr="003E5FB7">
        <w:rPr>
          <w:sz w:val="28"/>
          <w:szCs w:val="28"/>
        </w:rPr>
        <w:t xml:space="preserve"> te</w:t>
      </w:r>
      <w:r w:rsidRPr="003E5FB7">
        <w:rPr>
          <w:sz w:val="28"/>
          <w:szCs w:val="28"/>
        </w:rPr>
        <w:t>rms at any time. If a revision is material We will make reasonable efforts to provide at least 30 days' notice prior to an</w:t>
      </w:r>
      <w:r w:rsidR="00F80D16" w:rsidRPr="003E5FB7">
        <w:rPr>
          <w:sz w:val="28"/>
          <w:szCs w:val="28"/>
        </w:rPr>
        <w:t xml:space="preserve">y </w:t>
      </w:r>
      <w:r w:rsidRPr="003E5FB7">
        <w:rPr>
          <w:sz w:val="28"/>
          <w:szCs w:val="28"/>
        </w:rPr>
        <w:t>new terms taking effect. What constitutes a material change will be determined at Our sole discretion.</w:t>
      </w:r>
      <w:r w:rsidR="00AB5641" w:rsidRPr="003E5FB7">
        <w:rPr>
          <w:sz w:val="28"/>
          <w:szCs w:val="28"/>
        </w:rPr>
        <w:t xml:space="preserve"> </w:t>
      </w:r>
      <w:r w:rsidRPr="003E5FB7">
        <w:rPr>
          <w:sz w:val="28"/>
          <w:szCs w:val="28"/>
        </w:rPr>
        <w:t>By continuing to access or use Our Service after those revisions become effective, You agree</w:t>
      </w:r>
      <w:r w:rsidR="00AB5641" w:rsidRPr="003E5FB7">
        <w:rPr>
          <w:sz w:val="28"/>
          <w:szCs w:val="28"/>
        </w:rPr>
        <w:t xml:space="preserve"> </w:t>
      </w:r>
      <w:r w:rsidRPr="003E5FB7">
        <w:rPr>
          <w:sz w:val="28"/>
          <w:szCs w:val="28"/>
        </w:rPr>
        <w:t>to be bound by the revised terms. If You do not agree to the new terms, in whole or in part, please stop using the website and the Service.</w:t>
      </w:r>
    </w:p>
    <w:p w:rsidR="00C841E5" w:rsidRPr="003E5FB7" w:rsidRDefault="00CB7A90" w:rsidP="003E5FB7">
      <w:pPr>
        <w:spacing w:line="451" w:lineRule="auto"/>
        <w:ind w:right="305"/>
        <w:jc w:val="both"/>
        <w:rPr>
          <w:rFonts w:ascii="Brush Script MT" w:hAnsi="Brush Script MT" w:cs="Aharoni"/>
          <w:b/>
          <w:bCs/>
          <w:i/>
          <w:iCs/>
          <w:color w:val="4F81BD" w:themeColor="accent1"/>
          <w:sz w:val="28"/>
          <w:szCs w:val="28"/>
        </w:rPr>
      </w:pPr>
      <w:r w:rsidRPr="003E5FB7">
        <w:rPr>
          <w:rFonts w:ascii="Brush Script MT" w:hAnsi="Brush Script MT" w:cs="Aharoni"/>
          <w:b/>
          <w:bCs/>
          <w:i/>
          <w:iCs/>
          <w:color w:val="4F81BD" w:themeColor="accent1"/>
          <w:sz w:val="28"/>
          <w:szCs w:val="28"/>
        </w:rPr>
        <w:t xml:space="preserve">            </w:t>
      </w:r>
      <w:r w:rsidR="003E5FB7">
        <w:rPr>
          <w:rFonts w:ascii="Brush Script MT" w:hAnsi="Brush Script MT" w:cs="Aharoni"/>
          <w:b/>
          <w:bCs/>
          <w:i/>
          <w:iCs/>
          <w:color w:val="4F81BD" w:themeColor="accent1"/>
          <w:sz w:val="28"/>
          <w:szCs w:val="28"/>
        </w:rPr>
        <w:t xml:space="preserve">                            </w:t>
      </w:r>
      <w:r w:rsidRPr="003E5FB7">
        <w:rPr>
          <w:rFonts w:ascii="Brush Script MT" w:hAnsi="Brush Script MT" w:cs="Aharoni"/>
          <w:b/>
          <w:bCs/>
          <w:i/>
          <w:iCs/>
          <w:color w:val="4F81BD" w:themeColor="accent1"/>
          <w:sz w:val="28"/>
          <w:szCs w:val="28"/>
        </w:rPr>
        <w:t xml:space="preserve">   </w:t>
      </w:r>
      <w:r w:rsidR="00A14CBA" w:rsidRPr="003E5FB7">
        <w:rPr>
          <w:rFonts w:ascii="Brush Script MT" w:hAnsi="Brush Script MT" w:cs="Aharoni"/>
          <w:b/>
          <w:bCs/>
          <w:i/>
          <w:iCs/>
          <w:color w:val="4F81BD" w:themeColor="accent1"/>
          <w:sz w:val="28"/>
          <w:szCs w:val="28"/>
        </w:rPr>
        <w:t>Restoring Wealth…</w:t>
      </w:r>
    </w:p>
    <w:p w:rsidR="002834F3" w:rsidRPr="003E5FB7" w:rsidRDefault="002834F3" w:rsidP="002834F3">
      <w:pPr>
        <w:pStyle w:val="ListParagraph"/>
        <w:spacing w:after="0" w:line="360" w:lineRule="auto"/>
        <w:ind w:left="435"/>
        <w:jc w:val="both"/>
        <w:rPr>
          <w:rFonts w:ascii="Times New Roman" w:eastAsia="Calibri" w:hAnsi="Times New Roman"/>
          <w:sz w:val="28"/>
          <w:szCs w:val="28"/>
        </w:rPr>
      </w:pPr>
    </w:p>
    <w:sectPr w:rsidR="002834F3" w:rsidRPr="003E5FB7" w:rsidSect="009F6C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2F26" w:rsidRDefault="00C42F26" w:rsidP="00816A48">
      <w:pPr>
        <w:spacing w:after="0" w:line="240" w:lineRule="auto"/>
      </w:pPr>
      <w:r>
        <w:separator/>
      </w:r>
    </w:p>
  </w:endnote>
  <w:endnote w:type="continuationSeparator" w:id="0">
    <w:p w:rsidR="00C42F26" w:rsidRDefault="00C42F26" w:rsidP="0081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2F26" w:rsidRDefault="00C42F26" w:rsidP="00816A48">
      <w:pPr>
        <w:spacing w:after="0" w:line="240" w:lineRule="auto"/>
      </w:pPr>
      <w:r>
        <w:separator/>
      </w:r>
    </w:p>
  </w:footnote>
  <w:footnote w:type="continuationSeparator" w:id="0">
    <w:p w:rsidR="00C42F26" w:rsidRDefault="00C42F26" w:rsidP="00816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F8B"/>
    <w:multiLevelType w:val="hybridMultilevel"/>
    <w:tmpl w:val="F8FEF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901B0"/>
    <w:multiLevelType w:val="hybridMultilevel"/>
    <w:tmpl w:val="F2F89DE2"/>
    <w:lvl w:ilvl="0" w:tplc="832804F8">
      <w:start w:val="1"/>
      <w:numFmt w:val="upperLetter"/>
      <w:lvlText w:val="%1."/>
      <w:lvlJc w:val="left"/>
      <w:pPr>
        <w:ind w:left="435" w:hanging="360"/>
      </w:pPr>
      <w:rPr>
        <w:rFonts w:asciiTheme="minorHAnsi" w:eastAsiaTheme="minorHAnsi" w:hAnsiTheme="minorHAnsi" w:hint="default"/>
        <w:sz w:val="3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A24BBE"/>
    <w:multiLevelType w:val="hybridMultilevel"/>
    <w:tmpl w:val="7A2C7FB0"/>
    <w:lvl w:ilvl="0" w:tplc="1E0282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17E94"/>
    <w:multiLevelType w:val="hybridMultilevel"/>
    <w:tmpl w:val="DE8C3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762F6"/>
    <w:multiLevelType w:val="hybridMultilevel"/>
    <w:tmpl w:val="E514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E1569"/>
    <w:multiLevelType w:val="hybridMultilevel"/>
    <w:tmpl w:val="371C8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E2FCC"/>
    <w:multiLevelType w:val="hybridMultilevel"/>
    <w:tmpl w:val="7D743014"/>
    <w:lvl w:ilvl="0" w:tplc="76DC76C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1F855C23"/>
    <w:multiLevelType w:val="hybridMultilevel"/>
    <w:tmpl w:val="D4B0F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BE0177"/>
    <w:multiLevelType w:val="hybridMultilevel"/>
    <w:tmpl w:val="DA76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B506E"/>
    <w:multiLevelType w:val="hybridMultilevel"/>
    <w:tmpl w:val="654CA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14F46"/>
    <w:multiLevelType w:val="hybridMultilevel"/>
    <w:tmpl w:val="E536E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919BA"/>
    <w:multiLevelType w:val="hybridMultilevel"/>
    <w:tmpl w:val="10EEDB60"/>
    <w:lvl w:ilvl="0" w:tplc="D0501362">
      <w:start w:val="1"/>
      <w:numFmt w:val="decimal"/>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900C1"/>
    <w:multiLevelType w:val="hybridMultilevel"/>
    <w:tmpl w:val="559CC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F5C05"/>
    <w:multiLevelType w:val="multilevel"/>
    <w:tmpl w:val="FDF66D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A312FC5"/>
    <w:multiLevelType w:val="hybridMultilevel"/>
    <w:tmpl w:val="CDD29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C41DD8"/>
    <w:multiLevelType w:val="hybridMultilevel"/>
    <w:tmpl w:val="D64E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A0E60"/>
    <w:multiLevelType w:val="hybridMultilevel"/>
    <w:tmpl w:val="4F82C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DF5558"/>
    <w:multiLevelType w:val="hybridMultilevel"/>
    <w:tmpl w:val="A0464B02"/>
    <w:lvl w:ilvl="0" w:tplc="573C25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B6769"/>
    <w:multiLevelType w:val="hybridMultilevel"/>
    <w:tmpl w:val="10EEDB60"/>
    <w:lvl w:ilvl="0" w:tplc="D0501362">
      <w:start w:val="1"/>
      <w:numFmt w:val="decimal"/>
      <w:lvlText w:val="%1."/>
      <w:lvlJc w:val="left"/>
      <w:pPr>
        <w:ind w:left="720" w:hanging="36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617EB0"/>
    <w:multiLevelType w:val="hybridMultilevel"/>
    <w:tmpl w:val="5456B8B8"/>
    <w:lvl w:ilvl="0" w:tplc="284077D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15:restartNumberingAfterBreak="0">
    <w:nsid w:val="4B9B406D"/>
    <w:multiLevelType w:val="hybridMultilevel"/>
    <w:tmpl w:val="9B12A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CF0A14"/>
    <w:multiLevelType w:val="hybridMultilevel"/>
    <w:tmpl w:val="06D6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258D5"/>
    <w:multiLevelType w:val="hybridMultilevel"/>
    <w:tmpl w:val="4C025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6D3DD4"/>
    <w:multiLevelType w:val="multilevel"/>
    <w:tmpl w:val="DE8C31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7C4EE0"/>
    <w:multiLevelType w:val="hybridMultilevel"/>
    <w:tmpl w:val="73D05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3322E6"/>
    <w:multiLevelType w:val="hybridMultilevel"/>
    <w:tmpl w:val="18CC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76543"/>
    <w:multiLevelType w:val="multilevel"/>
    <w:tmpl w:val="E3920A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D70316D"/>
    <w:multiLevelType w:val="hybridMultilevel"/>
    <w:tmpl w:val="169E13C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11"/>
  </w:num>
  <w:num w:numId="4">
    <w:abstractNumId w:val="3"/>
  </w:num>
  <w:num w:numId="5">
    <w:abstractNumId w:val="23"/>
  </w:num>
  <w:num w:numId="6">
    <w:abstractNumId w:val="18"/>
  </w:num>
  <w:num w:numId="7">
    <w:abstractNumId w:val="26"/>
  </w:num>
  <w:num w:numId="8">
    <w:abstractNumId w:val="13"/>
  </w:num>
  <w:num w:numId="9">
    <w:abstractNumId w:val="2"/>
  </w:num>
  <w:num w:numId="10">
    <w:abstractNumId w:val="9"/>
  </w:num>
  <w:num w:numId="11">
    <w:abstractNumId w:val="25"/>
  </w:num>
  <w:num w:numId="12">
    <w:abstractNumId w:val="4"/>
  </w:num>
  <w:num w:numId="13">
    <w:abstractNumId w:val="0"/>
  </w:num>
  <w:num w:numId="14">
    <w:abstractNumId w:val="15"/>
  </w:num>
  <w:num w:numId="15">
    <w:abstractNumId w:val="17"/>
  </w:num>
  <w:num w:numId="16">
    <w:abstractNumId w:val="14"/>
  </w:num>
  <w:num w:numId="17">
    <w:abstractNumId w:val="16"/>
  </w:num>
  <w:num w:numId="18">
    <w:abstractNumId w:val="5"/>
  </w:num>
  <w:num w:numId="19">
    <w:abstractNumId w:val="7"/>
  </w:num>
  <w:num w:numId="20">
    <w:abstractNumId w:val="22"/>
  </w:num>
  <w:num w:numId="21">
    <w:abstractNumId w:val="10"/>
  </w:num>
  <w:num w:numId="22">
    <w:abstractNumId w:val="8"/>
  </w:num>
  <w:num w:numId="23">
    <w:abstractNumId w:val="20"/>
  </w:num>
  <w:num w:numId="24">
    <w:abstractNumId w:val="24"/>
  </w:num>
  <w:num w:numId="25">
    <w:abstractNumId w:val="21"/>
  </w:num>
  <w:num w:numId="26">
    <w:abstractNumId w:val="1"/>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E"/>
    <w:rsid w:val="00030B91"/>
    <w:rsid w:val="00046C81"/>
    <w:rsid w:val="0006495A"/>
    <w:rsid w:val="00097992"/>
    <w:rsid w:val="000A6B26"/>
    <w:rsid w:val="000C4325"/>
    <w:rsid w:val="000C6A4D"/>
    <w:rsid w:val="000F4ED9"/>
    <w:rsid w:val="00101112"/>
    <w:rsid w:val="00111E15"/>
    <w:rsid w:val="0012025F"/>
    <w:rsid w:val="00123C3D"/>
    <w:rsid w:val="0012544D"/>
    <w:rsid w:val="00130D06"/>
    <w:rsid w:val="00136B78"/>
    <w:rsid w:val="00144F02"/>
    <w:rsid w:val="00145E74"/>
    <w:rsid w:val="001556B0"/>
    <w:rsid w:val="00160EC9"/>
    <w:rsid w:val="001628D8"/>
    <w:rsid w:val="001644FB"/>
    <w:rsid w:val="0016693F"/>
    <w:rsid w:val="0017026E"/>
    <w:rsid w:val="001815BF"/>
    <w:rsid w:val="00184D0B"/>
    <w:rsid w:val="00187F7D"/>
    <w:rsid w:val="001919F7"/>
    <w:rsid w:val="001B317D"/>
    <w:rsid w:val="001C58D1"/>
    <w:rsid w:val="001D17F6"/>
    <w:rsid w:val="001D4E22"/>
    <w:rsid w:val="001E1D7E"/>
    <w:rsid w:val="001E7EE0"/>
    <w:rsid w:val="00200F6B"/>
    <w:rsid w:val="00202CC7"/>
    <w:rsid w:val="00211037"/>
    <w:rsid w:val="00221B60"/>
    <w:rsid w:val="00224BF3"/>
    <w:rsid w:val="002374C0"/>
    <w:rsid w:val="0024067E"/>
    <w:rsid w:val="002430C9"/>
    <w:rsid w:val="00246834"/>
    <w:rsid w:val="00247515"/>
    <w:rsid w:val="00256F9C"/>
    <w:rsid w:val="00261D1A"/>
    <w:rsid w:val="0026347D"/>
    <w:rsid w:val="00267949"/>
    <w:rsid w:val="002834F3"/>
    <w:rsid w:val="00284090"/>
    <w:rsid w:val="00286BE3"/>
    <w:rsid w:val="002944C7"/>
    <w:rsid w:val="0029565D"/>
    <w:rsid w:val="002B0525"/>
    <w:rsid w:val="002B6916"/>
    <w:rsid w:val="002C3E03"/>
    <w:rsid w:val="002F0194"/>
    <w:rsid w:val="002F30E4"/>
    <w:rsid w:val="002F7C8B"/>
    <w:rsid w:val="00306188"/>
    <w:rsid w:val="003240B6"/>
    <w:rsid w:val="003279A7"/>
    <w:rsid w:val="00350E99"/>
    <w:rsid w:val="003B2D22"/>
    <w:rsid w:val="003D3B60"/>
    <w:rsid w:val="003D58B1"/>
    <w:rsid w:val="003E3064"/>
    <w:rsid w:val="003E5FB7"/>
    <w:rsid w:val="00400472"/>
    <w:rsid w:val="00400C87"/>
    <w:rsid w:val="004020C8"/>
    <w:rsid w:val="00410051"/>
    <w:rsid w:val="0041442E"/>
    <w:rsid w:val="00424B0D"/>
    <w:rsid w:val="004634B5"/>
    <w:rsid w:val="00476652"/>
    <w:rsid w:val="00484246"/>
    <w:rsid w:val="00486609"/>
    <w:rsid w:val="00491AA0"/>
    <w:rsid w:val="004928A6"/>
    <w:rsid w:val="004A733F"/>
    <w:rsid w:val="004C3C38"/>
    <w:rsid w:val="004C45C6"/>
    <w:rsid w:val="004F02CE"/>
    <w:rsid w:val="004F04EF"/>
    <w:rsid w:val="004F7E89"/>
    <w:rsid w:val="00502083"/>
    <w:rsid w:val="005068C5"/>
    <w:rsid w:val="00510DA7"/>
    <w:rsid w:val="00511DCE"/>
    <w:rsid w:val="00514A89"/>
    <w:rsid w:val="0051714F"/>
    <w:rsid w:val="00530BA2"/>
    <w:rsid w:val="00534BB1"/>
    <w:rsid w:val="00542C09"/>
    <w:rsid w:val="00563587"/>
    <w:rsid w:val="00574607"/>
    <w:rsid w:val="0059238F"/>
    <w:rsid w:val="005B380C"/>
    <w:rsid w:val="005D5B68"/>
    <w:rsid w:val="005E2549"/>
    <w:rsid w:val="005F39EF"/>
    <w:rsid w:val="005F5365"/>
    <w:rsid w:val="006026F5"/>
    <w:rsid w:val="006031F9"/>
    <w:rsid w:val="00604CF9"/>
    <w:rsid w:val="00620D15"/>
    <w:rsid w:val="00623F3C"/>
    <w:rsid w:val="0065216D"/>
    <w:rsid w:val="0065420D"/>
    <w:rsid w:val="0065786F"/>
    <w:rsid w:val="006651FE"/>
    <w:rsid w:val="006671BF"/>
    <w:rsid w:val="006803DD"/>
    <w:rsid w:val="00681127"/>
    <w:rsid w:val="006829BC"/>
    <w:rsid w:val="006B6E79"/>
    <w:rsid w:val="006D39F6"/>
    <w:rsid w:val="006D3CF4"/>
    <w:rsid w:val="006D5EEA"/>
    <w:rsid w:val="006E265D"/>
    <w:rsid w:val="006F7693"/>
    <w:rsid w:val="007079CB"/>
    <w:rsid w:val="00713341"/>
    <w:rsid w:val="00720CF7"/>
    <w:rsid w:val="0072415C"/>
    <w:rsid w:val="0072658C"/>
    <w:rsid w:val="0073788A"/>
    <w:rsid w:val="00761D94"/>
    <w:rsid w:val="007643A0"/>
    <w:rsid w:val="00770ED7"/>
    <w:rsid w:val="00781F28"/>
    <w:rsid w:val="00786622"/>
    <w:rsid w:val="007B7E1B"/>
    <w:rsid w:val="007C014C"/>
    <w:rsid w:val="007C28A2"/>
    <w:rsid w:val="007C723E"/>
    <w:rsid w:val="007D43E5"/>
    <w:rsid w:val="007E1489"/>
    <w:rsid w:val="00802503"/>
    <w:rsid w:val="008042D3"/>
    <w:rsid w:val="0081365E"/>
    <w:rsid w:val="00816036"/>
    <w:rsid w:val="00816A48"/>
    <w:rsid w:val="008553E0"/>
    <w:rsid w:val="0086402D"/>
    <w:rsid w:val="00884701"/>
    <w:rsid w:val="008906F8"/>
    <w:rsid w:val="008907AB"/>
    <w:rsid w:val="00891A73"/>
    <w:rsid w:val="00897F5F"/>
    <w:rsid w:val="008A53FC"/>
    <w:rsid w:val="008A7358"/>
    <w:rsid w:val="008B0361"/>
    <w:rsid w:val="008B1D5F"/>
    <w:rsid w:val="008B2D89"/>
    <w:rsid w:val="008B4693"/>
    <w:rsid w:val="008B474D"/>
    <w:rsid w:val="008C0D36"/>
    <w:rsid w:val="008C27EB"/>
    <w:rsid w:val="008D1F62"/>
    <w:rsid w:val="008E0EC3"/>
    <w:rsid w:val="008E3E07"/>
    <w:rsid w:val="008E4EF2"/>
    <w:rsid w:val="008F6A5F"/>
    <w:rsid w:val="00901FD7"/>
    <w:rsid w:val="0091080F"/>
    <w:rsid w:val="00914E09"/>
    <w:rsid w:val="00920F15"/>
    <w:rsid w:val="009214CB"/>
    <w:rsid w:val="009218AD"/>
    <w:rsid w:val="00923441"/>
    <w:rsid w:val="00923C25"/>
    <w:rsid w:val="009265E8"/>
    <w:rsid w:val="00951884"/>
    <w:rsid w:val="00967D9C"/>
    <w:rsid w:val="00977D2E"/>
    <w:rsid w:val="009824F4"/>
    <w:rsid w:val="00986DFA"/>
    <w:rsid w:val="00992A01"/>
    <w:rsid w:val="009A0905"/>
    <w:rsid w:val="009B778A"/>
    <w:rsid w:val="009D3563"/>
    <w:rsid w:val="009E3EEC"/>
    <w:rsid w:val="009E75B7"/>
    <w:rsid w:val="009E7FB4"/>
    <w:rsid w:val="009F6B56"/>
    <w:rsid w:val="009F6C55"/>
    <w:rsid w:val="009F7D25"/>
    <w:rsid w:val="00A058C2"/>
    <w:rsid w:val="00A14CBA"/>
    <w:rsid w:val="00A26545"/>
    <w:rsid w:val="00A43053"/>
    <w:rsid w:val="00A45BEB"/>
    <w:rsid w:val="00A50A3F"/>
    <w:rsid w:val="00A630A7"/>
    <w:rsid w:val="00A63CA8"/>
    <w:rsid w:val="00A84932"/>
    <w:rsid w:val="00A91FC8"/>
    <w:rsid w:val="00A938C2"/>
    <w:rsid w:val="00AA1EA5"/>
    <w:rsid w:val="00AA5AF8"/>
    <w:rsid w:val="00AB5641"/>
    <w:rsid w:val="00AC0FE4"/>
    <w:rsid w:val="00AC6183"/>
    <w:rsid w:val="00AD19D4"/>
    <w:rsid w:val="00AD2DB4"/>
    <w:rsid w:val="00AE645D"/>
    <w:rsid w:val="00AE76BE"/>
    <w:rsid w:val="00AF2E4E"/>
    <w:rsid w:val="00B00EB8"/>
    <w:rsid w:val="00B051B3"/>
    <w:rsid w:val="00B07B35"/>
    <w:rsid w:val="00B22223"/>
    <w:rsid w:val="00B323F8"/>
    <w:rsid w:val="00B4108A"/>
    <w:rsid w:val="00B42A57"/>
    <w:rsid w:val="00B455CF"/>
    <w:rsid w:val="00B558DE"/>
    <w:rsid w:val="00B559F8"/>
    <w:rsid w:val="00B57B28"/>
    <w:rsid w:val="00B60CDB"/>
    <w:rsid w:val="00B87E9B"/>
    <w:rsid w:val="00B91378"/>
    <w:rsid w:val="00BB4B84"/>
    <w:rsid w:val="00BC022F"/>
    <w:rsid w:val="00BC1A13"/>
    <w:rsid w:val="00BC5D97"/>
    <w:rsid w:val="00BD2DE5"/>
    <w:rsid w:val="00BD50A5"/>
    <w:rsid w:val="00BD64ED"/>
    <w:rsid w:val="00BD735D"/>
    <w:rsid w:val="00BF0231"/>
    <w:rsid w:val="00C04846"/>
    <w:rsid w:val="00C14852"/>
    <w:rsid w:val="00C42F26"/>
    <w:rsid w:val="00C43FF2"/>
    <w:rsid w:val="00C55E83"/>
    <w:rsid w:val="00C669DE"/>
    <w:rsid w:val="00C841E5"/>
    <w:rsid w:val="00C9555E"/>
    <w:rsid w:val="00CB3726"/>
    <w:rsid w:val="00CB7A90"/>
    <w:rsid w:val="00CD124E"/>
    <w:rsid w:val="00CE15DA"/>
    <w:rsid w:val="00CE657E"/>
    <w:rsid w:val="00D026F3"/>
    <w:rsid w:val="00D374E7"/>
    <w:rsid w:val="00D43500"/>
    <w:rsid w:val="00D52760"/>
    <w:rsid w:val="00D727ED"/>
    <w:rsid w:val="00D75A0A"/>
    <w:rsid w:val="00D847A1"/>
    <w:rsid w:val="00DA781D"/>
    <w:rsid w:val="00DC0201"/>
    <w:rsid w:val="00DC4CEB"/>
    <w:rsid w:val="00DD2BEB"/>
    <w:rsid w:val="00DE1BAE"/>
    <w:rsid w:val="00DE1C4B"/>
    <w:rsid w:val="00DF6F0F"/>
    <w:rsid w:val="00E34A3D"/>
    <w:rsid w:val="00E35485"/>
    <w:rsid w:val="00E432DE"/>
    <w:rsid w:val="00E47BD9"/>
    <w:rsid w:val="00E515B4"/>
    <w:rsid w:val="00E517EC"/>
    <w:rsid w:val="00E525E2"/>
    <w:rsid w:val="00E57C82"/>
    <w:rsid w:val="00E629BD"/>
    <w:rsid w:val="00E65EA9"/>
    <w:rsid w:val="00E75770"/>
    <w:rsid w:val="00E76C96"/>
    <w:rsid w:val="00EB4CCF"/>
    <w:rsid w:val="00EC233C"/>
    <w:rsid w:val="00EC5C2E"/>
    <w:rsid w:val="00EC64BB"/>
    <w:rsid w:val="00ED0312"/>
    <w:rsid w:val="00ED31E7"/>
    <w:rsid w:val="00EE413C"/>
    <w:rsid w:val="00EE737E"/>
    <w:rsid w:val="00EF58B9"/>
    <w:rsid w:val="00F05B51"/>
    <w:rsid w:val="00F205B5"/>
    <w:rsid w:val="00F42C99"/>
    <w:rsid w:val="00F44C22"/>
    <w:rsid w:val="00F61785"/>
    <w:rsid w:val="00F62D53"/>
    <w:rsid w:val="00F80D16"/>
    <w:rsid w:val="00F847A0"/>
    <w:rsid w:val="00F85A8C"/>
    <w:rsid w:val="00F87168"/>
    <w:rsid w:val="00F94498"/>
    <w:rsid w:val="00F94ABE"/>
    <w:rsid w:val="00FB25F3"/>
    <w:rsid w:val="00FC7C63"/>
    <w:rsid w:val="00FD308C"/>
    <w:rsid w:val="00FD79B6"/>
    <w:rsid w:val="00FE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B9505-B421-CD46-805E-36C98512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6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A48"/>
    <w:rPr>
      <w:sz w:val="20"/>
      <w:szCs w:val="20"/>
    </w:rPr>
  </w:style>
  <w:style w:type="character" w:styleId="FootnoteReference">
    <w:name w:val="footnote reference"/>
    <w:basedOn w:val="DefaultParagraphFont"/>
    <w:uiPriority w:val="99"/>
    <w:semiHidden/>
    <w:unhideWhenUsed/>
    <w:rsid w:val="00816A48"/>
    <w:rPr>
      <w:vertAlign w:val="superscript"/>
    </w:rPr>
  </w:style>
  <w:style w:type="paragraph" w:styleId="ListParagraph">
    <w:name w:val="List Paragraph"/>
    <w:basedOn w:val="Normal"/>
    <w:uiPriority w:val="34"/>
    <w:qFormat/>
    <w:rsid w:val="009E75B7"/>
    <w:pPr>
      <w:ind w:left="720"/>
      <w:contextualSpacing/>
    </w:pPr>
  </w:style>
  <w:style w:type="paragraph" w:styleId="BalloonText">
    <w:name w:val="Balloon Text"/>
    <w:basedOn w:val="Normal"/>
    <w:link w:val="BalloonTextChar"/>
    <w:uiPriority w:val="99"/>
    <w:semiHidden/>
    <w:unhideWhenUsed/>
    <w:rsid w:val="00A2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45"/>
    <w:rPr>
      <w:rFonts w:ascii="Tahoma" w:hAnsi="Tahoma" w:cs="Tahoma"/>
      <w:sz w:val="16"/>
      <w:szCs w:val="16"/>
    </w:rPr>
  </w:style>
  <w:style w:type="character" w:styleId="Hyperlink">
    <w:name w:val="Hyperlink"/>
    <w:basedOn w:val="DefaultParagraphFont"/>
    <w:uiPriority w:val="99"/>
    <w:unhideWhenUsed/>
    <w:rsid w:val="009E3EEC"/>
    <w:rPr>
      <w:color w:val="0000FF" w:themeColor="hyperlink"/>
      <w:u w:val="single"/>
    </w:rPr>
  </w:style>
  <w:style w:type="paragraph" w:styleId="Header">
    <w:name w:val="header"/>
    <w:basedOn w:val="Normal"/>
    <w:link w:val="HeaderChar"/>
    <w:uiPriority w:val="99"/>
    <w:semiHidden/>
    <w:unhideWhenUsed/>
    <w:rsid w:val="00424B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4B0D"/>
  </w:style>
  <w:style w:type="paragraph" w:styleId="Footer">
    <w:name w:val="footer"/>
    <w:basedOn w:val="Normal"/>
    <w:link w:val="FooterChar"/>
    <w:uiPriority w:val="99"/>
    <w:semiHidden/>
    <w:unhideWhenUsed/>
    <w:rsid w:val="00424B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522">
      <w:bodyDiv w:val="1"/>
      <w:marLeft w:val="0"/>
      <w:marRight w:val="0"/>
      <w:marTop w:val="0"/>
      <w:marBottom w:val="0"/>
      <w:divBdr>
        <w:top w:val="none" w:sz="0" w:space="0" w:color="auto"/>
        <w:left w:val="none" w:sz="0" w:space="0" w:color="auto"/>
        <w:bottom w:val="none" w:sz="0" w:space="0" w:color="auto"/>
        <w:right w:val="none" w:sz="0" w:space="0" w:color="auto"/>
      </w:divBdr>
    </w:div>
    <w:div w:id="1695154986">
      <w:bodyDiv w:val="1"/>
      <w:marLeft w:val="0"/>
      <w:marRight w:val="0"/>
      <w:marTop w:val="0"/>
      <w:marBottom w:val="0"/>
      <w:divBdr>
        <w:top w:val="none" w:sz="0" w:space="0" w:color="auto"/>
        <w:left w:val="none" w:sz="0" w:space="0" w:color="auto"/>
        <w:bottom w:val="none" w:sz="0" w:space="0" w:color="auto"/>
        <w:right w:val="none" w:sz="0" w:space="0" w:color="auto"/>
      </w:divBdr>
    </w:div>
    <w:div w:id="1699745024">
      <w:bodyDiv w:val="1"/>
      <w:marLeft w:val="0"/>
      <w:marRight w:val="0"/>
      <w:marTop w:val="0"/>
      <w:marBottom w:val="0"/>
      <w:divBdr>
        <w:top w:val="none" w:sz="0" w:space="0" w:color="auto"/>
        <w:left w:val="none" w:sz="0" w:space="0" w:color="auto"/>
        <w:bottom w:val="none" w:sz="0" w:space="0" w:color="auto"/>
        <w:right w:val="none" w:sz="0" w:space="0" w:color="auto"/>
      </w:divBdr>
    </w:div>
    <w:div w:id="20373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ggconcep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51C56-EFF9-4008-A06E-6DED6ECA57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Ogunleye Taiwo Esq</dc:creator>
  <cp:lastModifiedBy>Guest User</cp:lastModifiedBy>
  <cp:revision>2</cp:revision>
  <dcterms:created xsi:type="dcterms:W3CDTF">2022-04-12T18:25:00Z</dcterms:created>
  <dcterms:modified xsi:type="dcterms:W3CDTF">2022-04-12T18:25:00Z</dcterms:modified>
</cp:coreProperties>
</file>