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4BEB9">
      <w:pPr>
        <w:tabs>
          <w:tab w:val="left" w:pos="3982"/>
        </w:tabs>
      </w:pPr>
    </w:p>
    <w:p w14:paraId="5025A436">
      <w:pPr>
        <w:tabs>
          <w:tab w:val="left" w:pos="3982"/>
        </w:tabs>
      </w:pPr>
    </w:p>
    <w:p w14:paraId="4F197FC3">
      <w:pPr>
        <w:jc w:val="center"/>
        <w:rPr>
          <w:rFonts w:eastAsia="黑体"/>
          <w:sz w:val="72"/>
        </w:rPr>
      </w:pPr>
      <w:r>
        <w:rPr>
          <w:rFonts w:eastAsia="黑体"/>
          <w:sz w:val="72"/>
        </w:rPr>
        <w:drawing>
          <wp:inline distT="0" distB="0" distL="0" distR="0">
            <wp:extent cx="4374515" cy="1013460"/>
            <wp:effectExtent l="0" t="0" r="0" b="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374515" cy="1013460"/>
                    </a:xfrm>
                    <a:prstGeom prst="rect">
                      <a:avLst/>
                    </a:prstGeom>
                    <a:noFill/>
                    <a:ln>
                      <a:noFill/>
                    </a:ln>
                  </pic:spPr>
                </pic:pic>
              </a:graphicData>
            </a:graphic>
          </wp:inline>
        </w:drawing>
      </w:r>
    </w:p>
    <w:p w14:paraId="20473502">
      <w:pPr>
        <w:jc w:val="center"/>
        <w:rPr>
          <w:rFonts w:hint="eastAsia" w:ascii="华文细黑" w:hAnsi="华文细黑" w:eastAsia="华文细黑"/>
          <w:b/>
          <w:sz w:val="72"/>
          <w:szCs w:val="72"/>
        </w:rPr>
      </w:pPr>
      <w:r>
        <w:rPr>
          <w:rFonts w:hint="eastAsia" w:ascii="华文细黑" w:hAnsi="华文细黑" w:eastAsia="华文细黑"/>
          <w:b/>
          <w:sz w:val="72"/>
          <w:szCs w:val="72"/>
        </w:rPr>
        <w:t>本科毕业设计（论文）</w:t>
      </w:r>
    </w:p>
    <w:p w14:paraId="66C9470B"/>
    <w:p w14:paraId="52B76F79">
      <w:pPr>
        <w:jc w:val="center"/>
        <w:rPr>
          <w:rFonts w:hint="eastAsia" w:ascii="黑体" w:hAnsi="黑体" w:eastAsia="黑体"/>
          <w:b/>
          <w:sz w:val="44"/>
          <w:szCs w:val="44"/>
        </w:rPr>
      </w:pPr>
      <w:r>
        <w:rPr>
          <w:rFonts w:hint="eastAsia" w:ascii="华文细黑" w:hAnsi="华文细黑" w:eastAsia="华文细黑"/>
          <w:b/>
          <w:sz w:val="44"/>
          <w:szCs w:val="44"/>
          <w:lang w:bidi="en-US"/>
        </w:rPr>
        <w:t>题目：</w:t>
      </w:r>
      <w:r>
        <w:rPr>
          <w:rFonts w:hint="eastAsia"/>
          <w:sz w:val="30"/>
          <w:szCs w:val="30"/>
          <w:u w:val="single"/>
        </w:rPr>
        <w:t xml:space="preserve"> </w:t>
      </w:r>
      <w:r>
        <w:rPr>
          <w:rFonts w:hint="eastAsia"/>
          <w:color w:val="000000"/>
          <w:sz w:val="30"/>
          <w:szCs w:val="30"/>
          <w:u w:val="single"/>
        </w:rPr>
        <w:t>基于STM32的</w:t>
      </w:r>
      <w:r>
        <w:rPr>
          <w:rFonts w:hint="eastAsia"/>
          <w:color w:val="000000"/>
          <w:sz w:val="30"/>
          <w:szCs w:val="30"/>
          <w:u w:val="single"/>
          <w:lang w:val="en-US" w:eastAsia="zh-CN"/>
        </w:rPr>
        <w:t>音频信号采集与可视化</w:t>
      </w:r>
      <w:r>
        <w:rPr>
          <w:rFonts w:hint="eastAsia"/>
          <w:color w:val="000000"/>
          <w:sz w:val="30"/>
          <w:szCs w:val="30"/>
          <w:u w:val="single"/>
        </w:rPr>
        <w:t xml:space="preserve">系统的设计与实现  </w:t>
      </w:r>
    </w:p>
    <w:p w14:paraId="623C662C">
      <w:r>
        <w:rPr>
          <w:rFonts w:hint="eastAsia"/>
        </w:rPr>
        <w:t xml:space="preserve">  </w:t>
      </w:r>
    </w:p>
    <w:p w14:paraId="4228916F">
      <w:pPr>
        <w:spacing w:line="240" w:lineRule="auto"/>
        <w:rPr>
          <w:sz w:val="30"/>
          <w:szCs w:val="30"/>
          <w:u w:val="single"/>
        </w:rPr>
      </w:pPr>
      <w:r>
        <w:rPr>
          <w:rFonts w:hint="eastAsia"/>
        </w:rPr>
        <w:t xml:space="preserve">     </w:t>
      </w:r>
    </w:p>
    <w:p w14:paraId="296014EF"/>
    <w:p w14:paraId="660FE4D8"/>
    <w:p w14:paraId="0ACB3260"/>
    <w:p w14:paraId="305842AD"/>
    <w:p w14:paraId="4502AA5C">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学       院：</w:t>
      </w:r>
      <w:r>
        <w:rPr>
          <w:rFonts w:hint="eastAsia"/>
          <w:sz w:val="30"/>
          <w:szCs w:val="30"/>
          <w:u w:val="single"/>
        </w:rPr>
        <w:t xml:space="preserve">   </w:t>
      </w:r>
      <w:r>
        <w:rPr>
          <w:rFonts w:hint="eastAsia"/>
          <w:sz w:val="30"/>
          <w:szCs w:val="30"/>
          <w:u w:val="single"/>
        </w:rPr>
        <w:tab/>
      </w:r>
      <w:r>
        <w:rPr>
          <w:rFonts w:hint="eastAsia"/>
          <w:sz w:val="30"/>
          <w:szCs w:val="30"/>
          <w:u w:val="single"/>
        </w:rPr>
        <w:t xml:space="preserve"> 信息科学与工程学院      </w:t>
      </w:r>
    </w:p>
    <w:p w14:paraId="124E5827">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专       业：</w:t>
      </w:r>
      <w:r>
        <w:rPr>
          <w:rFonts w:hint="eastAsia"/>
          <w:sz w:val="30"/>
          <w:szCs w:val="30"/>
          <w:u w:val="single"/>
        </w:rPr>
        <w:t xml:space="preserve">        </w:t>
      </w:r>
      <w:r>
        <w:rPr>
          <w:rFonts w:hint="eastAsia"/>
          <w:sz w:val="30"/>
          <w:szCs w:val="30"/>
          <w:u w:val="single"/>
        </w:rPr>
        <w:tab/>
      </w:r>
      <w:r>
        <w:rPr>
          <w:rFonts w:hint="eastAsia"/>
          <w:sz w:val="30"/>
          <w:szCs w:val="30"/>
          <w:u w:val="single"/>
        </w:rPr>
        <w:t xml:space="preserve"> 通信工程           </w:t>
      </w:r>
    </w:p>
    <w:p w14:paraId="629883A4">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学 生 姓 名：</w:t>
      </w:r>
      <w:r>
        <w:rPr>
          <w:rFonts w:hint="eastAsia"/>
          <w:sz w:val="30"/>
          <w:szCs w:val="30"/>
          <w:u w:val="single"/>
        </w:rPr>
        <w:t xml:space="preserve">         </w:t>
      </w:r>
      <w:r>
        <w:rPr>
          <w:rFonts w:hint="eastAsia"/>
          <w:sz w:val="30"/>
          <w:szCs w:val="30"/>
          <w:u w:val="single"/>
        </w:rPr>
        <w:tab/>
      </w:r>
      <w:r>
        <w:rPr>
          <w:rFonts w:hint="eastAsia"/>
          <w:sz w:val="30"/>
          <w:szCs w:val="30"/>
          <w:u w:val="single"/>
        </w:rPr>
        <w:t xml:space="preserve"> </w:t>
      </w:r>
      <w:r>
        <w:rPr>
          <w:rFonts w:hint="eastAsia"/>
          <w:sz w:val="30"/>
          <w:szCs w:val="30"/>
          <w:u w:val="single"/>
          <w:lang w:val="en-US" w:eastAsia="zh-CN"/>
        </w:rPr>
        <w:t>蔡畅</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14:paraId="0FFF229E">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学       号：</w:t>
      </w:r>
      <w:r>
        <w:rPr>
          <w:rFonts w:hint="eastAsia"/>
          <w:sz w:val="30"/>
          <w:szCs w:val="30"/>
          <w:u w:val="single"/>
        </w:rPr>
        <w:t xml:space="preserve">       </w:t>
      </w:r>
      <w:r>
        <w:rPr>
          <w:rFonts w:hint="eastAsia"/>
          <w:sz w:val="30"/>
          <w:szCs w:val="30"/>
          <w:u w:val="single"/>
          <w:lang w:val="en-US" w:eastAsia="zh-CN"/>
        </w:rPr>
        <w:t>632208040314</w:t>
      </w:r>
      <w:r>
        <w:rPr>
          <w:rFonts w:hint="eastAsia"/>
          <w:sz w:val="30"/>
          <w:szCs w:val="30"/>
          <w:u w:val="single"/>
        </w:rPr>
        <w:t xml:space="preserve">         </w:t>
      </w:r>
    </w:p>
    <w:p w14:paraId="49DFBA6D">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指 导 教 师：</w:t>
      </w:r>
      <w:r>
        <w:rPr>
          <w:rFonts w:hint="eastAsia"/>
          <w:sz w:val="30"/>
          <w:szCs w:val="30"/>
          <w:u w:val="single"/>
        </w:rPr>
        <w:t xml:space="preserve">           金悦             </w:t>
      </w:r>
    </w:p>
    <w:p w14:paraId="26FFB5D3">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评 阅 教 师：</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14:paraId="3AEF2B68">
      <w:pPr>
        <w:tabs>
          <w:tab w:val="left" w:pos="3780"/>
          <w:tab w:val="center" w:pos="5670"/>
          <w:tab w:val="left" w:pos="7560"/>
          <w:tab w:val="clear" w:pos="377"/>
        </w:tabs>
        <w:spacing w:line="360" w:lineRule="auto"/>
        <w:ind w:firstLine="2100" w:firstLineChars="700"/>
        <w:rPr>
          <w:sz w:val="30"/>
          <w:szCs w:val="30"/>
          <w:u w:val="single"/>
        </w:rPr>
      </w:pPr>
      <w:r>
        <w:rPr>
          <w:rFonts w:hint="eastAsia"/>
          <w:sz w:val="30"/>
          <w:szCs w:val="30"/>
        </w:rPr>
        <w:t>完 成 时 间：</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14:paraId="046100C3">
      <w:pPr>
        <w:tabs>
          <w:tab w:val="left" w:pos="3780"/>
          <w:tab w:val="center" w:pos="5670"/>
          <w:tab w:val="left" w:pos="7350"/>
          <w:tab w:val="left" w:pos="7560"/>
        </w:tabs>
        <w:ind w:firstLine="3240" w:firstLineChars="900"/>
        <w:rPr>
          <w:rFonts w:ascii="华文行楷" w:eastAsia="华文行楷"/>
          <w:sz w:val="36"/>
          <w:szCs w:val="36"/>
        </w:rPr>
      </w:pPr>
    </w:p>
    <w:p w14:paraId="1866F35D">
      <w:pPr>
        <w:ind w:firstLine="3420" w:firstLineChars="950"/>
        <w:rPr>
          <w:rFonts w:ascii="华文行楷" w:eastAsia="华文行楷"/>
          <w:sz w:val="36"/>
          <w:szCs w:val="36"/>
        </w:rPr>
      </w:pPr>
      <w:r>
        <w:rPr>
          <w:rFonts w:hint="eastAsia" w:ascii="华文行楷" w:eastAsia="华文行楷"/>
          <w:sz w:val="36"/>
          <w:szCs w:val="36"/>
        </w:rPr>
        <w:t>重庆交通大学</w:t>
      </w:r>
    </w:p>
    <w:p w14:paraId="4092E4F1">
      <w:pPr>
        <w:jc w:val="center"/>
        <w:rPr>
          <w:sz w:val="21"/>
          <w:szCs w:val="21"/>
        </w:rPr>
      </w:pPr>
      <w:r>
        <w:rPr>
          <w:rFonts w:hint="eastAsia"/>
          <w:sz w:val="21"/>
          <w:szCs w:val="21"/>
        </w:rPr>
        <w:t>CHONGQING JIAOTONG UNIVERSITY</w:t>
      </w:r>
    </w:p>
    <w:p w14:paraId="5E65C731">
      <w:pPr>
        <w:spacing w:line="360" w:lineRule="auto"/>
        <w:jc w:val="center"/>
        <w:sectPr>
          <w:headerReference r:id="rId7" w:type="first"/>
          <w:footerReference r:id="rId9" w:type="first"/>
          <w:headerReference r:id="rId5" w:type="default"/>
          <w:headerReference r:id="rId6" w:type="even"/>
          <w:footerReference r:id="rId8" w:type="even"/>
          <w:pgSz w:w="11906" w:h="16838"/>
          <w:pgMar w:top="1985" w:right="1418" w:bottom="1418" w:left="1418" w:header="1418" w:footer="1134" w:gutter="0"/>
          <w:cols w:space="720" w:num="1"/>
          <w:docGrid w:linePitch="326" w:charSpace="-2048"/>
        </w:sectPr>
      </w:pPr>
    </w:p>
    <w:p w14:paraId="0197943F">
      <w:pPr>
        <w:spacing w:before="264" w:beforeLines="110" w:line="360" w:lineRule="auto"/>
        <w:jc w:val="center"/>
        <w:rPr>
          <w:rFonts w:hint="eastAsia" w:ascii="黑体" w:hAnsi="黑体" w:eastAsia="黑体"/>
          <w:b/>
          <w:sz w:val="30"/>
          <w:szCs w:val="30"/>
        </w:rPr>
      </w:pPr>
      <w:bookmarkStart w:id="0" w:name="_Toc105579304"/>
      <w:r>
        <w:rPr>
          <w:rFonts w:hint="eastAsia" w:ascii="黑体" w:hAnsi="黑体" w:eastAsia="黑体"/>
          <w:b/>
          <w:sz w:val="30"/>
          <w:szCs w:val="30"/>
        </w:rPr>
        <w:t>本科毕业设计（论文）原创性声明</w:t>
      </w:r>
    </w:p>
    <w:p w14:paraId="2F1EE884">
      <w:pPr>
        <w:spacing w:line="360" w:lineRule="auto"/>
        <w:ind w:firstLine="480" w:firstLineChars="200"/>
        <w:rPr>
          <w:rFonts w:hint="eastAsia" w:ascii="宋体" w:hAnsi="宋体"/>
        </w:rPr>
      </w:pPr>
      <w:r>
        <w:rPr>
          <w:rFonts w:hint="eastAsia" w:ascii="宋体" w:hAnsi="宋体"/>
        </w:rPr>
        <w:t>本人郑重声明：所提交的毕业设计（论文），是本人在导师指导下，独立进行研究工作所取得的成果。除文中已注明引用的内容外，本论文不包含任何其他个人或集体已经发表或撰写过的作品成果。对本文研究做出过重要贡献的个人和集体，均已在文中以明确方式标明。</w:t>
      </w:r>
    </w:p>
    <w:p w14:paraId="4FCAC933">
      <w:pPr>
        <w:spacing w:line="360" w:lineRule="auto"/>
        <w:ind w:firstLine="480" w:firstLineChars="200"/>
        <w:rPr>
          <w:rFonts w:hint="eastAsia" w:ascii="宋体" w:hAnsi="宋体"/>
        </w:rPr>
      </w:pPr>
      <w:r>
        <w:rPr>
          <w:rFonts w:hint="eastAsia" w:ascii="宋体" w:hAnsi="宋体"/>
        </w:rPr>
        <w:t>本人完全意识到本声明的法律后果由本人承担。</w:t>
      </w:r>
    </w:p>
    <w:p w14:paraId="3195862D">
      <w:pPr>
        <w:spacing w:line="360" w:lineRule="auto"/>
        <w:ind w:firstLine="560" w:firstLineChars="200"/>
        <w:rPr>
          <w:rFonts w:ascii="楷体_GB2312" w:eastAsia="楷体_GB2312"/>
          <w:sz w:val="28"/>
          <w:szCs w:val="28"/>
        </w:rPr>
      </w:pPr>
      <w:r>
        <w:rPr>
          <w:rFonts w:hint="eastAsia" w:ascii="楷体_GB2312" w:eastAsia="楷体_GB2312"/>
          <w:sz w:val="28"/>
          <w:szCs w:val="28"/>
        </w:rPr>
        <w:t>作者签名（亲笔）：         202</w:t>
      </w:r>
      <w:r>
        <w:rPr>
          <w:rFonts w:hint="eastAsia" w:ascii="楷体_GB2312" w:eastAsia="楷体_GB2312"/>
          <w:sz w:val="28"/>
          <w:szCs w:val="28"/>
          <w:lang w:val="en-US" w:eastAsia="zh-CN"/>
        </w:rPr>
        <w:t>6</w:t>
      </w:r>
      <w:r>
        <w:rPr>
          <w:rFonts w:hint="eastAsia" w:ascii="楷体_GB2312" w:eastAsia="楷体_GB2312"/>
          <w:sz w:val="28"/>
          <w:szCs w:val="28"/>
        </w:rPr>
        <w:t>年 5 月 日</w:t>
      </w:r>
    </w:p>
    <w:p w14:paraId="50494A02">
      <w:pPr>
        <w:rPr>
          <w:sz w:val="28"/>
        </w:rPr>
      </w:pPr>
      <w:r>
        <w:rPr>
          <w:rFonts w:hint="eastAsia"/>
          <w:sz w:val="28"/>
        </w:rPr>
        <w:t>------------------------------------------------------------------------------------------------</w:t>
      </w:r>
    </w:p>
    <w:p w14:paraId="26A90A84">
      <w:pPr>
        <w:spacing w:before="264" w:beforeLines="110" w:line="360" w:lineRule="auto"/>
        <w:jc w:val="center"/>
        <w:rPr>
          <w:rFonts w:hint="eastAsia" w:ascii="黑体" w:hAnsi="黑体" w:eastAsia="黑体"/>
          <w:b/>
          <w:sz w:val="30"/>
          <w:szCs w:val="30"/>
        </w:rPr>
      </w:pPr>
      <w:r>
        <w:rPr>
          <w:rFonts w:hint="eastAsia" w:ascii="黑体" w:hAnsi="黑体" w:eastAsia="黑体"/>
          <w:b/>
          <w:sz w:val="30"/>
          <w:szCs w:val="30"/>
        </w:rPr>
        <w:t>本科毕业设计（论文）版权使用授权书</w:t>
      </w:r>
    </w:p>
    <w:p w14:paraId="3E0530FC">
      <w:pPr>
        <w:spacing w:line="360" w:lineRule="auto"/>
        <w:ind w:firstLine="480" w:firstLineChars="200"/>
        <w:rPr>
          <w:rFonts w:hint="eastAsia" w:ascii="宋体" w:hAnsi="宋体"/>
        </w:rPr>
      </w:pPr>
      <w:r>
        <w:rPr>
          <w:rFonts w:hint="eastAsia" w:ascii="宋体" w:hAnsi="宋体"/>
        </w:rPr>
        <w:t>本毕业设计（论文）作者完全了解学校有关保留、使用学位论文的规定，本科生在校攻读期间毕业设计（论文）工作的知识产权单位属重庆交通大学，同意学校保留并向国家有关部门或机构送交论文的复印件和电子版，允许论文被查阅和借阅；本人授权重庆交通大学可以将毕业设计（论文）的全部或部分内容编入有关数据库进行检索，可以采用影印、缩印或扫描等复制手段保存、汇编毕业设计（论文）。</w:t>
      </w:r>
    </w:p>
    <w:p w14:paraId="683514E0">
      <w:pPr>
        <w:spacing w:line="360" w:lineRule="auto"/>
        <w:rPr>
          <w:rFonts w:ascii="楷体_GB2312" w:eastAsia="楷体_GB2312"/>
          <w:sz w:val="28"/>
          <w:szCs w:val="28"/>
        </w:rPr>
      </w:pPr>
      <w:r>
        <w:rPr>
          <w:rFonts w:hint="eastAsia" w:ascii="楷体_GB2312" w:eastAsia="楷体_GB2312"/>
          <w:sz w:val="28"/>
          <w:szCs w:val="28"/>
        </w:rPr>
        <w:t xml:space="preserve">    作者签名（亲笔）：        </w:t>
      </w:r>
      <w:r>
        <w:rPr>
          <w:rFonts w:hint="eastAsia" w:ascii="楷体_GB2312" w:eastAsia="楷体_GB2312"/>
          <w:sz w:val="28"/>
          <w:szCs w:val="28"/>
          <w:lang w:val="en-US" w:eastAsia="zh-CN"/>
        </w:rPr>
        <w:t xml:space="preserve">           </w:t>
      </w:r>
      <w:r>
        <w:rPr>
          <w:rFonts w:hint="eastAsia" w:ascii="楷体_GB2312" w:eastAsia="楷体_GB2312"/>
          <w:sz w:val="28"/>
          <w:szCs w:val="28"/>
        </w:rPr>
        <w:t xml:space="preserve"> 202</w:t>
      </w:r>
      <w:r>
        <w:rPr>
          <w:rFonts w:hint="eastAsia" w:ascii="楷体_GB2312" w:eastAsia="楷体_GB2312"/>
          <w:sz w:val="28"/>
          <w:szCs w:val="28"/>
          <w:lang w:val="en-US" w:eastAsia="zh-CN"/>
        </w:rPr>
        <w:t>6</w:t>
      </w:r>
      <w:r>
        <w:rPr>
          <w:rFonts w:hint="eastAsia" w:ascii="楷体_GB2312" w:eastAsia="楷体_GB2312"/>
          <w:sz w:val="28"/>
          <w:szCs w:val="28"/>
        </w:rPr>
        <w:t>年 5 月 11 日</w:t>
      </w:r>
    </w:p>
    <w:p w14:paraId="576ED3B4">
      <w:pPr>
        <w:spacing w:line="360" w:lineRule="auto"/>
        <w:ind w:firstLine="560" w:firstLineChars="200"/>
        <w:rPr>
          <w:rFonts w:ascii="楷体_GB2312" w:eastAsia="楷体_GB2312"/>
          <w:sz w:val="28"/>
          <w:szCs w:val="28"/>
        </w:rPr>
      </w:pPr>
      <w:r>
        <w:rPr>
          <w:rFonts w:hint="eastAsia" w:ascii="楷体_GB2312" w:eastAsia="楷体_GB2312"/>
          <w:sz w:val="28"/>
          <w:szCs w:val="28"/>
        </w:rPr>
        <w:t>导师签名（亲笔）：</w:t>
      </w:r>
      <w:r>
        <w:rPr>
          <w:rFonts w:ascii="楷体_GB2312" w:eastAsia="楷体_GB2312"/>
          <w:sz w:val="28"/>
          <w:szCs w:val="28"/>
        </w:rPr>
        <w:drawing>
          <wp:inline distT="0" distB="0" distL="0" distR="0">
            <wp:extent cx="1066800" cy="438785"/>
            <wp:effectExtent l="0" t="0" r="0" b="0"/>
            <wp:docPr id="2172870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7062"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066800" cy="438785"/>
                    </a:xfrm>
                    <a:prstGeom prst="rect">
                      <a:avLst/>
                    </a:prstGeom>
                    <a:noFill/>
                  </pic:spPr>
                </pic:pic>
              </a:graphicData>
            </a:graphic>
          </wp:inline>
        </w:drawing>
      </w:r>
      <w:r>
        <w:rPr>
          <w:rFonts w:hint="eastAsia" w:ascii="楷体_GB2312" w:eastAsia="楷体_GB2312"/>
          <w:sz w:val="28"/>
          <w:szCs w:val="28"/>
        </w:rPr>
        <w:t xml:space="preserve">        202</w:t>
      </w:r>
      <w:r>
        <w:rPr>
          <w:rFonts w:hint="eastAsia" w:ascii="楷体_GB2312" w:eastAsia="楷体_GB2312"/>
          <w:sz w:val="28"/>
          <w:szCs w:val="28"/>
          <w:lang w:val="en-US" w:eastAsia="zh-CN"/>
        </w:rPr>
        <w:t>6</w:t>
      </w:r>
      <w:r>
        <w:rPr>
          <w:rFonts w:hint="eastAsia" w:ascii="楷体_GB2312" w:eastAsia="楷体_GB2312"/>
          <w:sz w:val="28"/>
          <w:szCs w:val="28"/>
        </w:rPr>
        <w:t>年 5 月 11 日</w:t>
      </w:r>
    </w:p>
    <w:p w14:paraId="51BC83AB"/>
    <w:p w14:paraId="48142ACF"/>
    <w:p w14:paraId="48BB326C"/>
    <w:p w14:paraId="508A304D"/>
    <w:p w14:paraId="606BD65C"/>
    <w:p w14:paraId="240B5FD7"/>
    <w:p w14:paraId="63687B78">
      <w:pPr>
        <w:pStyle w:val="2"/>
      </w:pPr>
      <w:bookmarkStart w:id="1" w:name="_Toc198563238"/>
      <w:bookmarkStart w:id="2" w:name="_Toc19853"/>
      <w:bookmarkStart w:id="3" w:name="_Toc468117563"/>
      <w:r>
        <w:rPr>
          <w:rFonts w:hint="eastAsia"/>
        </w:rPr>
        <w:t>摘    要</w:t>
      </w:r>
      <w:bookmarkEnd w:id="0"/>
      <w:bookmarkEnd w:id="1"/>
      <w:bookmarkEnd w:id="2"/>
      <w:bookmarkEnd w:id="3"/>
    </w:p>
    <w:p w14:paraId="3A55858F">
      <w:pPr>
        <w:spacing w:line="440" w:lineRule="exact"/>
        <w:ind w:firstLine="480" w:firstLineChars="200"/>
        <w:rPr>
          <w:bCs/>
        </w:rPr>
      </w:pPr>
      <w:r>
        <w:rPr>
          <w:rFonts w:hint="eastAsia"/>
          <w:bCs/>
        </w:rPr>
        <w:t>垃圾分类在我们的日常生活中随处可见，已经成为城市发展不可或缺的一部分。正确的垃圾分类可以为我们的生活保驾护航。但随着城市化进程的加快，生活垃圾总量呈现逐年增长的趋势，并且传统的人工分类效率低、错误率高的问题日益突出，因此垃圾的分类与处理的问题亟待解决。自</w:t>
      </w:r>
      <w:r>
        <w:rPr>
          <w:bCs/>
        </w:rPr>
        <w:t>2019</w:t>
      </w:r>
      <w:r>
        <w:rPr>
          <w:rFonts w:hint="eastAsia"/>
          <w:bCs/>
        </w:rPr>
        <w:t>年起，我国推行了一系列垃圾分类的制度，但居民分类意识薄弱与操作复杂性仍是主要瓶颈。</w:t>
      </w:r>
      <w:r>
        <w:rPr>
          <w:bCs/>
        </w:rPr>
        <w:t>STM32</w:t>
      </w:r>
      <w:r>
        <w:rPr>
          <w:rFonts w:hint="eastAsia"/>
          <w:bCs/>
        </w:rPr>
        <w:t>系列作为常用的嵌入式处理器，具有丰富的工作方式与稳定的性能，是用于处理垃圾分类的一个不错的选择对象。</w:t>
      </w:r>
    </w:p>
    <w:p w14:paraId="7DF1860D">
      <w:pPr>
        <w:spacing w:line="440" w:lineRule="exact"/>
        <w:ind w:firstLine="480" w:firstLineChars="200"/>
        <w:rPr>
          <w:bCs/>
        </w:rPr>
      </w:pPr>
      <w:r>
        <w:rPr>
          <w:rFonts w:hint="eastAsia"/>
          <w:bCs/>
        </w:rPr>
        <w:t>本项目设计了一种基于</w:t>
      </w:r>
      <w:r>
        <w:rPr>
          <w:bCs/>
        </w:rPr>
        <w:t>STM32</w:t>
      </w:r>
      <w:r>
        <w:rPr>
          <w:rFonts w:hint="eastAsia"/>
          <w:bCs/>
        </w:rPr>
        <w:t>的嵌入式智能语音识别垃圾分类系统，将</w:t>
      </w:r>
      <w:r>
        <w:rPr>
          <w:bCs/>
        </w:rPr>
        <w:t>STM32</w:t>
      </w:r>
      <w:r>
        <w:rPr>
          <w:rFonts w:hint="eastAsia"/>
          <w:bCs/>
        </w:rPr>
        <w:t>作为核心控制器，主要从系统硬件设计和软件设计两个内容来对智能语音识别垃圾分类系统进行设计及实现。系统硬件部分包括：</w:t>
      </w:r>
      <w:r>
        <w:rPr>
          <w:bCs/>
        </w:rPr>
        <w:t>STM32</w:t>
      </w:r>
      <w:r>
        <w:rPr>
          <w:rFonts w:hint="eastAsia"/>
          <w:bCs/>
        </w:rPr>
        <w:t>模块、ASR语音识别模块、蜂鸣器、舵机、红外传感器、</w:t>
      </w:r>
      <w:r>
        <w:rPr>
          <w:bCs/>
        </w:rPr>
        <w:t>WIFI</w:t>
      </w:r>
      <w:r>
        <w:rPr>
          <w:rFonts w:hint="eastAsia"/>
          <w:bCs/>
        </w:rPr>
        <w:t>模块等；系统软件部分包括</w:t>
      </w:r>
      <w:r>
        <w:rPr>
          <w:bCs/>
        </w:rPr>
        <w:t>OneNET</w:t>
      </w:r>
      <w:r>
        <w:rPr>
          <w:rFonts w:hint="eastAsia"/>
          <w:bCs/>
        </w:rPr>
        <w:t>物联网云平台、手机APP可视化等。用于解决传统的垃圾分类方式，摆脱人工分类的复杂性，通过语音指令自动控制垃圾桶分类投放，解决传统分类设备依赖视觉识别成本高的因素和手动操作繁琐的问题，提升垃圾分类的准确性与用户体验，符合“智慧城市”与“双碳”政策需求。</w:t>
      </w:r>
    </w:p>
    <w:p w14:paraId="35B0AF63">
      <w:pPr>
        <w:spacing w:line="240" w:lineRule="auto"/>
        <w:rPr>
          <w:rStyle w:val="37"/>
        </w:rPr>
      </w:pPr>
    </w:p>
    <w:p w14:paraId="56453CCF">
      <w:pPr>
        <w:spacing w:line="240" w:lineRule="auto"/>
      </w:pPr>
      <w:r>
        <w:rPr>
          <w:rStyle w:val="37"/>
          <w:rFonts w:hint="eastAsia"/>
        </w:rPr>
        <w:t>关键词</w:t>
      </w:r>
      <w:r>
        <w:rPr>
          <w:rStyle w:val="37"/>
          <w:rFonts w:hint="eastAsia"/>
          <w:b/>
        </w:rPr>
        <w:t>：</w:t>
      </w:r>
      <w:r>
        <w:rPr>
          <w:rStyle w:val="34"/>
          <w:rFonts w:hint="eastAsia"/>
        </w:rPr>
        <w:t>垃圾分类；</w:t>
      </w:r>
      <w:r>
        <w:rPr>
          <w:rStyle w:val="34"/>
          <w:rFonts w:ascii="Times New Roman"/>
        </w:rPr>
        <w:t>STM32</w:t>
      </w:r>
      <w:r>
        <w:rPr>
          <w:rStyle w:val="34"/>
          <w:rFonts w:hint="eastAsia"/>
        </w:rPr>
        <w:t>；智能语音；物联网云平台</w:t>
      </w:r>
    </w:p>
    <w:p w14:paraId="393AB4DB">
      <w:pPr>
        <w:jc w:val="center"/>
        <w:sectPr>
          <w:headerReference r:id="rId12" w:type="first"/>
          <w:footerReference r:id="rId15" w:type="first"/>
          <w:headerReference r:id="rId10" w:type="default"/>
          <w:footerReference r:id="rId13" w:type="default"/>
          <w:headerReference r:id="rId11" w:type="even"/>
          <w:footerReference r:id="rId14" w:type="even"/>
          <w:pgSz w:w="11906" w:h="16838"/>
          <w:pgMar w:top="1418" w:right="1191" w:bottom="1191" w:left="1191" w:header="1418" w:footer="1134" w:gutter="567"/>
          <w:pgNumType w:fmt="upperRoman" w:start="1"/>
          <w:cols w:space="720" w:num="1"/>
          <w:docGrid w:linePitch="326" w:charSpace="-2048"/>
        </w:sectPr>
      </w:pPr>
    </w:p>
    <w:p w14:paraId="1C38FF5E">
      <w:pPr>
        <w:tabs>
          <w:tab w:val="clear" w:pos="377"/>
        </w:tabs>
        <w:spacing w:line="240" w:lineRule="auto"/>
        <w:jc w:val="center"/>
        <w:rPr>
          <w:b/>
          <w:color w:val="000000"/>
          <w:sz w:val="30"/>
          <w:szCs w:val="30"/>
        </w:rPr>
      </w:pPr>
      <w:r>
        <w:rPr>
          <w:b/>
          <w:color w:val="000000"/>
          <w:sz w:val="30"/>
          <w:szCs w:val="30"/>
        </w:rPr>
        <w:t>The Subject of Undergraduate Graduation Project (Thesis) of DUT</w:t>
      </w:r>
    </w:p>
    <w:p w14:paraId="51A96967">
      <w:pPr>
        <w:jc w:val="center"/>
        <w:rPr>
          <w:rFonts w:ascii="黑体" w:eastAsia="黑体"/>
          <w:sz w:val="30"/>
          <w:szCs w:val="30"/>
        </w:rPr>
      </w:pPr>
    </w:p>
    <w:p w14:paraId="6B3D6D5B">
      <w:pPr>
        <w:pStyle w:val="2"/>
        <w:rPr>
          <w:rFonts w:ascii="Times New Roman"/>
        </w:rPr>
      </w:pPr>
      <w:bookmarkStart w:id="4" w:name="_Toc198563239"/>
      <w:bookmarkStart w:id="5" w:name="_Toc14990"/>
      <w:bookmarkStart w:id="6" w:name="_Toc468117564"/>
      <w:r>
        <w:rPr>
          <w:rFonts w:ascii="Times New Roman"/>
        </w:rPr>
        <w:t>Abstract</w:t>
      </w:r>
      <w:bookmarkEnd w:id="4"/>
      <w:bookmarkEnd w:id="5"/>
      <w:bookmarkEnd w:id="6"/>
      <w:r>
        <w:rPr>
          <w:rFonts w:ascii="Times New Roman"/>
        </w:rPr>
        <w:t xml:space="preserve"> </w:t>
      </w:r>
    </w:p>
    <w:p w14:paraId="2E992D34">
      <w:pPr>
        <w:spacing w:line="440" w:lineRule="exact"/>
        <w:ind w:firstLine="480" w:firstLineChars="200"/>
      </w:pPr>
      <w:r>
        <w:t>Waste sorting is pervasive in modern society and serves as a vital component of sustainable urban growth. Effective categorization of refuse helps preserve our ecological surroundings. Nonetheless, amid rapid urbanization, household waste quantities exhibit consistent yearly increases, whereas conventional manual sorting techniques increasingly expose limitations like inefficiency and elevated mistake frequencies. These issues necessitate immediate attention for improved waste management and disposal solutions. Since 2019, China has enforced multiple waste segregation regulations, yet insufficient citizen participation and intricate implementation procedures persist as primary obstacles.</w:t>
      </w:r>
    </w:p>
    <w:p w14:paraId="4567E228">
      <w:pPr>
        <w:spacing w:line="440" w:lineRule="exact"/>
        <w:ind w:firstLine="480" w:firstLineChars="200"/>
      </w:pPr>
      <w:r>
        <w:t>The STM32 microcontroller series, renowned for its reliability in embedded applications, provides versatile operational modes and consistent functionality, positioning it as a suitable candidate for tackling waste classification difficulties. This initiative develops an embedded smart voice-activated waste segregation system centered on the STM32 controller, covering both physical architecture and programming aspects: Hardware components comprise STM32 units, automatic speech recognition (ASR) modules, audio indicators, servo mechanisms, infrared detectors, and wireless connectivity units; Software integration features the OneNET cloud IoT framework and smartphone application interfaces.</w:t>
      </w:r>
      <w:r>
        <w:rPr>
          <w:rFonts w:hint="eastAsia"/>
        </w:rPr>
        <w:t xml:space="preserve"> </w:t>
      </w:r>
      <w:r>
        <w:t>The proposed framework seeks to transform conventional waste management practices by replacing labor-intensive processes with voice-directed automated bin distribution. It mitigates the expensive reliance on image-based identification in traditional systems and streamlines tedious manual interventions, consequently improving categorization precision and human-device interaction. This innovation corresponds with the objectives of intelligent urban development strategies and carbon neutrality initiatives.</w:t>
      </w:r>
    </w:p>
    <w:p w14:paraId="3D5BF033">
      <w:pPr>
        <w:rPr>
          <w:b/>
        </w:rPr>
      </w:pPr>
    </w:p>
    <w:p w14:paraId="0B1A9BF0">
      <w:pPr>
        <w:rPr>
          <w:rStyle w:val="38"/>
        </w:rPr>
      </w:pPr>
      <w:r>
        <w:rPr>
          <w:b/>
        </w:rPr>
        <w:t>K</w:t>
      </w:r>
      <w:r>
        <w:rPr>
          <w:rFonts w:hint="eastAsia"/>
          <w:b/>
        </w:rPr>
        <w:t>ey Words：</w:t>
      </w:r>
      <w:r>
        <w:rPr>
          <w:bCs/>
        </w:rPr>
        <w:t>Garbage Classification</w:t>
      </w:r>
      <w:r>
        <w:rPr>
          <w:rFonts w:hint="eastAsia"/>
        </w:rPr>
        <w:t>；STM32；</w:t>
      </w:r>
      <w:r>
        <w:t>Intelligent Speech</w:t>
      </w:r>
      <w:r>
        <w:rPr>
          <w:rFonts w:hint="eastAsia"/>
        </w:rPr>
        <w:t>；</w:t>
      </w:r>
      <w:r>
        <w:t>Iot Cloud Platform</w:t>
      </w:r>
    </w:p>
    <w:p w14:paraId="16DCFDA3">
      <w:pPr>
        <w:spacing w:line="440" w:lineRule="exact"/>
      </w:pPr>
    </w:p>
    <w:p w14:paraId="36FB1994">
      <w:pPr>
        <w:sectPr>
          <w:headerReference r:id="rId16" w:type="default"/>
          <w:footerReference r:id="rId17" w:type="default"/>
          <w:pgSz w:w="11906" w:h="16838"/>
          <w:pgMar w:top="1418" w:right="1191" w:bottom="1191" w:left="1191" w:header="1418" w:footer="1134" w:gutter="567"/>
          <w:pgNumType w:fmt="upperRoman"/>
          <w:cols w:space="720" w:num="1"/>
          <w:docGrid w:linePitch="326" w:charSpace="-2048"/>
        </w:sectPr>
      </w:pPr>
    </w:p>
    <w:p w14:paraId="5A11018E">
      <w:pPr>
        <w:jc w:val="center"/>
        <w:rPr>
          <w:rFonts w:ascii="黑体" w:eastAsia="黑体"/>
          <w:sz w:val="30"/>
          <w:szCs w:val="30"/>
        </w:rPr>
      </w:pPr>
      <w:r>
        <w:rPr>
          <w:rFonts w:hint="eastAsia" w:ascii="黑体" w:eastAsia="黑体"/>
          <w:sz w:val="30"/>
          <w:szCs w:val="30"/>
        </w:rPr>
        <w:t>目    录</w:t>
      </w:r>
    </w:p>
    <w:p w14:paraId="61CBEA73">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"_Toc198563238" </w:instrText>
      </w:r>
      <w:r>
        <w:fldChar w:fldCharType="separate"/>
      </w:r>
      <w:r>
        <w:rPr>
          <w:rStyle w:val="24"/>
          <w:rFonts w:hint="eastAsia"/>
        </w:rPr>
        <w:t>摘    要</w:t>
      </w:r>
      <w:r>
        <w:rPr>
          <w:rFonts w:hint="eastAsia"/>
        </w:rPr>
        <w:tab/>
      </w:r>
      <w:r>
        <w:rPr>
          <w:rFonts w:hint="eastAsia"/>
        </w:rPr>
        <w:fldChar w:fldCharType="begin"/>
      </w:r>
      <w:r>
        <w:rPr>
          <w:rFonts w:hint="eastAsia"/>
        </w:rPr>
        <w:instrText xml:space="preserve"> </w:instrText>
      </w:r>
      <w:r>
        <w:instrText xml:space="preserve">PAGEREF _Toc198563238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66EE1C09">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"_Toc198563239" </w:instrText>
      </w:r>
      <w:r>
        <w:fldChar w:fldCharType="separate"/>
      </w:r>
      <w:r>
        <w:rPr>
          <w:rStyle w:val="24"/>
          <w:rFonts w:hint="eastAsia"/>
        </w:rPr>
        <w:t>Abstract</w:t>
      </w:r>
      <w:r>
        <w:rPr>
          <w:rFonts w:hint="eastAsia"/>
        </w:rPr>
        <w:tab/>
      </w:r>
      <w:r>
        <w:rPr>
          <w:rFonts w:hint="eastAsia"/>
        </w:rPr>
        <w:fldChar w:fldCharType="begin"/>
      </w:r>
      <w:r>
        <w:rPr>
          <w:rFonts w:hint="eastAsia"/>
        </w:rPr>
        <w:instrText xml:space="preserve"> </w:instrText>
      </w:r>
      <w:r>
        <w:instrText xml:space="preserve">PAGEREF _Toc198563239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57B67270">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"_Toc198563240" </w:instrText>
      </w:r>
      <w:r>
        <w:fldChar w:fldCharType="separate"/>
      </w:r>
      <w:r>
        <w:rPr>
          <w:rStyle w:val="24"/>
          <w:rFonts w:hint="eastAsia"/>
        </w:rPr>
        <w:t>第1章  绪论</w:t>
      </w:r>
      <w:r>
        <w:rPr>
          <w:rFonts w:hint="eastAsia"/>
        </w:rPr>
        <w:tab/>
      </w:r>
      <w:r>
        <w:rPr>
          <w:rFonts w:hint="eastAsia"/>
        </w:rPr>
        <w:fldChar w:fldCharType="begin"/>
      </w:r>
      <w:r>
        <w:rPr>
          <w:rFonts w:hint="eastAsia"/>
        </w:rPr>
        <w:instrText xml:space="preserve"> </w:instrText>
      </w:r>
      <w:r>
        <w:instrText xml:space="preserve">PAGEREF _Toc198563240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D51257B">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"_Toc198563241" </w:instrText>
      </w:r>
      <w:r>
        <w:fldChar w:fldCharType="separate"/>
      </w:r>
      <w:r>
        <w:rPr>
          <w:rStyle w:val="24"/>
          <w:rFonts w:hint="eastAsia"/>
        </w:rPr>
        <w:t>1.1研究背景与意义</w:t>
      </w:r>
      <w:r>
        <w:rPr>
          <w:rFonts w:hint="eastAsia"/>
        </w:rPr>
        <w:tab/>
      </w:r>
      <w:r>
        <w:rPr>
          <w:rFonts w:hint="eastAsia"/>
        </w:rPr>
        <w:fldChar w:fldCharType="begin"/>
      </w:r>
      <w:r>
        <w:rPr>
          <w:rFonts w:hint="eastAsia"/>
        </w:rPr>
        <w:instrText xml:space="preserve"> </w:instrText>
      </w:r>
      <w:r>
        <w:instrText xml:space="preserve">PAGEREF _Toc198563241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D179DA5">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"_Toc198563242" </w:instrText>
      </w:r>
      <w:r>
        <w:fldChar w:fldCharType="separate"/>
      </w:r>
      <w:r>
        <w:rPr>
          <w:rStyle w:val="24"/>
          <w:rFonts w:hint="eastAsia"/>
        </w:rPr>
        <w:t>1.1.1垃圾分类的社会需求</w:t>
      </w:r>
      <w:r>
        <w:rPr>
          <w:rFonts w:hint="eastAsia"/>
        </w:rPr>
        <w:tab/>
      </w:r>
      <w:r>
        <w:rPr>
          <w:rFonts w:hint="eastAsia"/>
        </w:rPr>
        <w:fldChar w:fldCharType="begin"/>
      </w:r>
      <w:r>
        <w:rPr>
          <w:rFonts w:hint="eastAsia"/>
        </w:rPr>
        <w:instrText xml:space="preserve"> </w:instrText>
      </w:r>
      <w:r>
        <w:instrText xml:space="preserve">PAGEREF _Toc198563242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E07CB77">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"_Toc198563243" </w:instrText>
      </w:r>
      <w:r>
        <w:fldChar w:fldCharType="separate"/>
      </w:r>
      <w:r>
        <w:rPr>
          <w:rStyle w:val="24"/>
          <w:rFonts w:hint="eastAsia"/>
        </w:rPr>
        <w:t>1.1.2 语音识别技术的应用价值</w:t>
      </w:r>
      <w:r>
        <w:rPr>
          <w:rFonts w:hint="eastAsia"/>
        </w:rPr>
        <w:tab/>
      </w:r>
      <w:r>
        <w:rPr>
          <w:rFonts w:hint="eastAsia"/>
        </w:rPr>
        <w:fldChar w:fldCharType="begin"/>
      </w:r>
      <w:r>
        <w:rPr>
          <w:rFonts w:hint="eastAsia"/>
        </w:rPr>
        <w:instrText xml:space="preserve"> </w:instrText>
      </w:r>
      <w:r>
        <w:instrText xml:space="preserve">PAGEREF _Toc198563243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C1545E8">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"_Toc198563244" </w:instrText>
      </w:r>
      <w:r>
        <w:fldChar w:fldCharType="separate"/>
      </w:r>
      <w:r>
        <w:rPr>
          <w:rStyle w:val="24"/>
          <w:rFonts w:hint="eastAsia"/>
        </w:rPr>
        <w:t>1.1.3 STM32在嵌入式系统开发中的优势</w:t>
      </w:r>
      <w:r>
        <w:rPr>
          <w:rFonts w:hint="eastAsia"/>
        </w:rPr>
        <w:tab/>
      </w:r>
      <w:r>
        <w:rPr>
          <w:rFonts w:hint="eastAsia"/>
        </w:rPr>
        <w:fldChar w:fldCharType="begin"/>
      </w:r>
      <w:r>
        <w:rPr>
          <w:rFonts w:hint="eastAsia"/>
        </w:rPr>
        <w:instrText xml:space="preserve"> </w:instrText>
      </w:r>
      <w:r>
        <w:instrText xml:space="preserve">PAGEREF _Toc198563244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27BF88">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"_Toc198563245" </w:instrText>
      </w:r>
      <w:r>
        <w:fldChar w:fldCharType="separate"/>
      </w:r>
      <w:r>
        <w:rPr>
          <w:rStyle w:val="24"/>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_Toc198563245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AEB8D9D">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"_Toc198563246" </w:instrText>
      </w:r>
      <w:r>
        <w:fldChar w:fldCharType="separate"/>
      </w:r>
      <w:r>
        <w:rPr>
          <w:rStyle w:val="24"/>
          <w:rFonts w:hint="eastAsia"/>
        </w:rPr>
        <w:t>1.2.1 国内研究现状以及发展趋势</w:t>
      </w:r>
      <w:r>
        <w:rPr>
          <w:rFonts w:hint="eastAsia"/>
        </w:rPr>
        <w:tab/>
      </w:r>
      <w:r>
        <w:rPr>
          <w:rFonts w:hint="eastAsia"/>
        </w:rPr>
        <w:fldChar w:fldCharType="begin"/>
      </w:r>
      <w:r>
        <w:rPr>
          <w:rFonts w:hint="eastAsia"/>
        </w:rPr>
        <w:instrText xml:space="preserve"> </w:instrText>
      </w:r>
      <w:r>
        <w:instrText xml:space="preserve">PAGEREF _Toc198563246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9A48546">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"_Toc198563247" </w:instrText>
      </w:r>
      <w:r>
        <w:fldChar w:fldCharType="separate"/>
      </w:r>
      <w:r>
        <w:rPr>
          <w:rStyle w:val="24"/>
          <w:rFonts w:hint="eastAsia"/>
        </w:rPr>
        <w:t>1.2.2 国外研究现状以及发展趋势</w:t>
      </w:r>
      <w:r>
        <w:rPr>
          <w:rFonts w:hint="eastAsia"/>
        </w:rPr>
        <w:tab/>
      </w:r>
      <w:r>
        <w:rPr>
          <w:rFonts w:hint="eastAsia"/>
        </w:rPr>
        <w:fldChar w:fldCharType="begin"/>
      </w:r>
      <w:r>
        <w:rPr>
          <w:rFonts w:hint="eastAsia"/>
        </w:rPr>
        <w:instrText xml:space="preserve"> </w:instrText>
      </w:r>
      <w:r>
        <w:instrText xml:space="preserve">PAGEREF _Toc198563247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7997B9D">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"_Toc198563248" </w:instrText>
      </w:r>
      <w:r>
        <w:fldChar w:fldCharType="separate"/>
      </w:r>
      <w:r>
        <w:rPr>
          <w:rStyle w:val="24"/>
          <w:rFonts w:hint="eastAsia"/>
        </w:rPr>
        <w:t>1.3 研究目标与论文内容安排</w:t>
      </w:r>
      <w:r>
        <w:rPr>
          <w:rFonts w:hint="eastAsia"/>
        </w:rPr>
        <w:tab/>
      </w:r>
      <w:r>
        <w:rPr>
          <w:rFonts w:hint="eastAsia"/>
        </w:rPr>
        <w:fldChar w:fldCharType="begin"/>
      </w:r>
      <w:r>
        <w:rPr>
          <w:rFonts w:hint="eastAsia"/>
        </w:rPr>
        <w:instrText xml:space="preserve"> </w:instrText>
      </w:r>
      <w:r>
        <w:instrText xml:space="preserve">PAGEREF _Toc198563248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627FDD2">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"_Toc198563249" </w:instrText>
      </w:r>
      <w:r>
        <w:fldChar w:fldCharType="separate"/>
      </w:r>
      <w:r>
        <w:rPr>
          <w:rStyle w:val="24"/>
          <w:rFonts w:hint="eastAsia"/>
        </w:rPr>
        <w:t>第2章  需求分析</w:t>
      </w:r>
      <w:r>
        <w:rPr>
          <w:rFonts w:hint="eastAsia"/>
        </w:rPr>
        <w:tab/>
      </w:r>
      <w:r>
        <w:rPr>
          <w:rFonts w:hint="eastAsia"/>
        </w:rPr>
        <w:fldChar w:fldCharType="begin"/>
      </w:r>
      <w:r>
        <w:rPr>
          <w:rFonts w:hint="eastAsia"/>
        </w:rPr>
        <w:instrText xml:space="preserve"> </w:instrText>
      </w:r>
      <w:r>
        <w:instrText xml:space="preserve">PAGEREF _Toc198563249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7411536">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"_Toc198563250" </w:instrText>
      </w:r>
      <w:r>
        <w:fldChar w:fldCharType="separate"/>
      </w:r>
      <w:r>
        <w:rPr>
          <w:rStyle w:val="24"/>
          <w:rFonts w:hint="eastAsia"/>
        </w:rPr>
        <w:t>2.1 市场需求分析</w:t>
      </w:r>
      <w:r>
        <w:rPr>
          <w:rFonts w:hint="eastAsia"/>
        </w:rPr>
        <w:tab/>
      </w:r>
      <w:r>
        <w:rPr>
          <w:rFonts w:hint="eastAsia"/>
        </w:rPr>
        <w:fldChar w:fldCharType="begin"/>
      </w:r>
      <w:r>
        <w:rPr>
          <w:rFonts w:hint="eastAsia"/>
        </w:rPr>
        <w:instrText xml:space="preserve"> </w:instrText>
      </w:r>
      <w:r>
        <w:instrText xml:space="preserve">PAGEREF _Toc198563250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6D7B419">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"_Toc198563251" </w:instrText>
      </w:r>
      <w:r>
        <w:fldChar w:fldCharType="separate"/>
      </w:r>
      <w:r>
        <w:rPr>
          <w:rStyle w:val="24"/>
          <w:rFonts w:hint="eastAsia"/>
        </w:rPr>
        <w:t>2.2 功能需求分析</w:t>
      </w:r>
      <w:r>
        <w:rPr>
          <w:rFonts w:hint="eastAsia"/>
        </w:rPr>
        <w:tab/>
      </w:r>
      <w:r>
        <w:rPr>
          <w:rFonts w:hint="eastAsia"/>
        </w:rPr>
        <w:fldChar w:fldCharType="begin"/>
      </w:r>
      <w:r>
        <w:rPr>
          <w:rFonts w:hint="eastAsia"/>
        </w:rPr>
        <w:instrText xml:space="preserve"> </w:instrText>
      </w:r>
      <w:r>
        <w:instrText xml:space="preserve">PAGEREF _Toc198563251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C250A1B">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"_Toc198563252" </w:instrText>
      </w:r>
      <w:r>
        <w:fldChar w:fldCharType="separate"/>
      </w:r>
      <w:r>
        <w:rPr>
          <w:rStyle w:val="24"/>
          <w:rFonts w:hint="eastAsia"/>
        </w:rPr>
        <w:t>第3章  系统总体方案设计</w:t>
      </w:r>
      <w:r>
        <w:rPr>
          <w:rFonts w:hint="eastAsia"/>
        </w:rPr>
        <w:tab/>
      </w:r>
      <w:r>
        <w:rPr>
          <w:rFonts w:hint="eastAsia"/>
        </w:rPr>
        <w:fldChar w:fldCharType="begin"/>
      </w:r>
      <w:r>
        <w:rPr>
          <w:rFonts w:hint="eastAsia"/>
        </w:rPr>
        <w:instrText xml:space="preserve"> </w:instrText>
      </w:r>
      <w:r>
        <w:instrText xml:space="preserve">PAGEREF _Toc198563252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401A4A6">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"_Toc198563253" </w:instrText>
      </w:r>
      <w:r>
        <w:fldChar w:fldCharType="separate"/>
      </w:r>
      <w:r>
        <w:rPr>
          <w:rStyle w:val="24"/>
          <w:rFonts w:hint="eastAsia"/>
        </w:rPr>
        <w:t>3.1 系统总体架构</w:t>
      </w:r>
      <w:r>
        <w:rPr>
          <w:rFonts w:hint="eastAsia"/>
        </w:rPr>
        <w:tab/>
      </w:r>
      <w:r>
        <w:rPr>
          <w:rFonts w:hint="eastAsia"/>
        </w:rPr>
        <w:fldChar w:fldCharType="begin"/>
      </w:r>
      <w:r>
        <w:rPr>
          <w:rFonts w:hint="eastAsia"/>
        </w:rPr>
        <w:instrText xml:space="preserve"> </w:instrText>
      </w:r>
      <w:r>
        <w:instrText xml:space="preserve">PAGEREF _Toc198563253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E162AEE">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"_Toc198563254" </w:instrText>
      </w:r>
      <w:r>
        <w:fldChar w:fldCharType="separate"/>
      </w:r>
      <w:r>
        <w:rPr>
          <w:rStyle w:val="24"/>
          <w:rFonts w:hint="eastAsia"/>
        </w:rPr>
        <w:t>3.1.1 硬件总体架构</w:t>
      </w:r>
      <w:r>
        <w:rPr>
          <w:rFonts w:hint="eastAsia"/>
        </w:rPr>
        <w:tab/>
      </w:r>
      <w:r>
        <w:rPr>
          <w:rFonts w:hint="eastAsia"/>
        </w:rPr>
        <w:fldChar w:fldCharType="begin"/>
      </w:r>
      <w:r>
        <w:rPr>
          <w:rFonts w:hint="eastAsia"/>
        </w:rPr>
        <w:instrText xml:space="preserve"> </w:instrText>
      </w:r>
      <w:r>
        <w:instrText xml:space="preserve">PAGEREF _Toc198563254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379AFE5">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"_Toc198563255" </w:instrText>
      </w:r>
      <w:r>
        <w:fldChar w:fldCharType="separate"/>
      </w:r>
      <w:r>
        <w:rPr>
          <w:rStyle w:val="24"/>
          <w:rFonts w:hint="eastAsia"/>
        </w:rPr>
        <w:t>3.1.2 软件总体架构</w:t>
      </w:r>
      <w:r>
        <w:rPr>
          <w:rFonts w:hint="eastAsia"/>
        </w:rPr>
        <w:tab/>
      </w:r>
      <w:r>
        <w:rPr>
          <w:rFonts w:hint="eastAsia"/>
        </w:rPr>
        <w:fldChar w:fldCharType="begin"/>
      </w:r>
      <w:r>
        <w:rPr>
          <w:rFonts w:hint="eastAsia"/>
        </w:rPr>
        <w:instrText xml:space="preserve"> </w:instrText>
      </w:r>
      <w:r>
        <w:instrText xml:space="preserve">PAGEREF _Toc198563255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E5DD04F">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"_Toc198563256" </w:instrText>
      </w:r>
      <w:r>
        <w:fldChar w:fldCharType="separate"/>
      </w:r>
      <w:r>
        <w:rPr>
          <w:rStyle w:val="24"/>
          <w:rFonts w:hint="eastAsia"/>
        </w:rPr>
        <w:t>3.2 设备选型</w:t>
      </w:r>
      <w:r>
        <w:rPr>
          <w:rFonts w:hint="eastAsia"/>
        </w:rPr>
        <w:tab/>
      </w:r>
      <w:r>
        <w:rPr>
          <w:rFonts w:hint="eastAsia"/>
        </w:rPr>
        <w:fldChar w:fldCharType="begin"/>
      </w:r>
      <w:r>
        <w:rPr>
          <w:rFonts w:hint="eastAsia"/>
        </w:rPr>
        <w:instrText xml:space="preserve"> </w:instrText>
      </w:r>
      <w:r>
        <w:instrText xml:space="preserve">PAGEREF _Toc198563256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00D6B05">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"_Toc198563257" </w:instrText>
      </w:r>
      <w:r>
        <w:fldChar w:fldCharType="separate"/>
      </w:r>
      <w:r>
        <w:rPr>
          <w:rStyle w:val="24"/>
          <w:rFonts w:hint="eastAsia"/>
        </w:rPr>
        <w:t>3.3 开发环境搭建</w:t>
      </w:r>
      <w:r>
        <w:rPr>
          <w:rFonts w:hint="eastAsia"/>
        </w:rPr>
        <w:tab/>
      </w:r>
      <w:r>
        <w:rPr>
          <w:rFonts w:hint="eastAsia"/>
        </w:rPr>
        <w:fldChar w:fldCharType="begin"/>
      </w:r>
      <w:r>
        <w:rPr>
          <w:rFonts w:hint="eastAsia"/>
        </w:rPr>
        <w:instrText xml:space="preserve"> </w:instrText>
      </w:r>
      <w:r>
        <w:instrText xml:space="preserve">PAGEREF _Toc198563257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DCF96A0">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"_Toc198563258" </w:instrText>
      </w:r>
      <w:r>
        <w:fldChar w:fldCharType="separate"/>
      </w:r>
      <w:r>
        <w:rPr>
          <w:rStyle w:val="24"/>
          <w:rFonts w:hint="eastAsia"/>
        </w:rPr>
        <w:t>3.4 可行性分析</w:t>
      </w:r>
      <w:r>
        <w:rPr>
          <w:rFonts w:hint="eastAsia"/>
        </w:rPr>
        <w:tab/>
      </w:r>
      <w:r>
        <w:rPr>
          <w:rFonts w:hint="eastAsia"/>
        </w:rPr>
        <w:fldChar w:fldCharType="begin"/>
      </w:r>
      <w:r>
        <w:rPr>
          <w:rFonts w:hint="eastAsia"/>
        </w:rPr>
        <w:instrText xml:space="preserve"> </w:instrText>
      </w:r>
      <w:r>
        <w:instrText xml:space="preserve">PAGEREF _Toc198563258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FD2630D">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"_Toc198563259" </w:instrText>
      </w:r>
      <w:r>
        <w:fldChar w:fldCharType="separate"/>
      </w:r>
      <w:r>
        <w:rPr>
          <w:rStyle w:val="24"/>
          <w:rFonts w:hint="eastAsia"/>
        </w:rPr>
        <w:t>3.4.1 系统可行性分析</w:t>
      </w:r>
      <w:r>
        <w:rPr>
          <w:rFonts w:hint="eastAsia"/>
        </w:rPr>
        <w:tab/>
      </w:r>
      <w:r>
        <w:rPr>
          <w:rFonts w:hint="eastAsia"/>
        </w:rPr>
        <w:fldChar w:fldCharType="begin"/>
      </w:r>
      <w:r>
        <w:rPr>
          <w:rFonts w:hint="eastAsia"/>
        </w:rPr>
        <w:instrText xml:space="preserve"> </w:instrText>
      </w:r>
      <w:r>
        <w:instrText xml:space="preserve">PAGEREF _Toc198563259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52EA4EB">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"_Toc198563260" </w:instrText>
      </w:r>
      <w:r>
        <w:fldChar w:fldCharType="separate"/>
      </w:r>
      <w:r>
        <w:rPr>
          <w:rStyle w:val="24"/>
          <w:rFonts w:hint="eastAsia"/>
        </w:rPr>
        <w:t>3.4.2 经济可行性分析</w:t>
      </w:r>
      <w:r>
        <w:rPr>
          <w:rFonts w:hint="eastAsia"/>
        </w:rPr>
        <w:tab/>
      </w:r>
      <w:r>
        <w:rPr>
          <w:rFonts w:hint="eastAsia"/>
        </w:rPr>
        <w:fldChar w:fldCharType="begin"/>
      </w:r>
      <w:r>
        <w:rPr>
          <w:rFonts w:hint="eastAsia"/>
        </w:rPr>
        <w:instrText xml:space="preserve"> </w:instrText>
      </w:r>
      <w:r>
        <w:instrText xml:space="preserve">PAGEREF _Toc198563260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97991E1">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"_Toc198563261" </w:instrText>
      </w:r>
      <w:r>
        <w:fldChar w:fldCharType="separate"/>
      </w:r>
      <w:r>
        <w:rPr>
          <w:rStyle w:val="24"/>
          <w:rFonts w:hint="eastAsia"/>
        </w:rPr>
        <w:t>3.5 本章小结</w:t>
      </w:r>
      <w:r>
        <w:rPr>
          <w:rFonts w:hint="eastAsia"/>
        </w:rPr>
        <w:tab/>
      </w:r>
      <w:r>
        <w:rPr>
          <w:rFonts w:hint="eastAsia"/>
        </w:rPr>
        <w:fldChar w:fldCharType="begin"/>
      </w:r>
      <w:r>
        <w:rPr>
          <w:rFonts w:hint="eastAsia"/>
        </w:rPr>
        <w:instrText xml:space="preserve"> </w:instrText>
      </w:r>
      <w:r>
        <w:instrText xml:space="preserve">PAGEREF _Toc198563261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7DE3BA8">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"_Toc198563262" </w:instrText>
      </w:r>
      <w:r>
        <w:fldChar w:fldCharType="separate"/>
      </w:r>
      <w:r>
        <w:rPr>
          <w:rStyle w:val="24"/>
          <w:rFonts w:hint="eastAsia"/>
        </w:rPr>
        <w:t>第4章  系统硬件方案设计</w:t>
      </w:r>
      <w:r>
        <w:rPr>
          <w:rFonts w:hint="eastAsia"/>
        </w:rPr>
        <w:tab/>
      </w:r>
      <w:r>
        <w:rPr>
          <w:rFonts w:hint="eastAsia"/>
        </w:rPr>
        <w:fldChar w:fldCharType="begin"/>
      </w:r>
      <w:r>
        <w:rPr>
          <w:rFonts w:hint="eastAsia"/>
        </w:rPr>
        <w:instrText xml:space="preserve"> </w:instrText>
      </w:r>
      <w:r>
        <w:instrText xml:space="preserve">PAGEREF _Toc198563262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3A36A7C">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"_Toc198563263" </w:instrText>
      </w:r>
      <w:r>
        <w:fldChar w:fldCharType="separate"/>
      </w:r>
      <w:r>
        <w:rPr>
          <w:rStyle w:val="24"/>
          <w:rFonts w:hint="eastAsia"/>
        </w:rPr>
        <w:t>4.1 STM32主控模块</w:t>
      </w:r>
      <w:r>
        <w:rPr>
          <w:rFonts w:hint="eastAsia"/>
        </w:rPr>
        <w:tab/>
      </w:r>
      <w:r>
        <w:rPr>
          <w:rFonts w:hint="eastAsia"/>
        </w:rPr>
        <w:fldChar w:fldCharType="begin"/>
      </w:r>
      <w:r>
        <w:rPr>
          <w:rFonts w:hint="eastAsia"/>
        </w:rPr>
        <w:instrText xml:space="preserve"> </w:instrText>
      </w:r>
      <w:r>
        <w:instrText xml:space="preserve">PAGEREF _Toc198563263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F38D156">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"_Toc198563264" </w:instrText>
      </w:r>
      <w:r>
        <w:fldChar w:fldCharType="separate"/>
      </w:r>
      <w:r>
        <w:rPr>
          <w:rStyle w:val="24"/>
          <w:rFonts w:hint="eastAsia"/>
        </w:rPr>
        <w:t>4.2 语音识别模块</w:t>
      </w:r>
      <w:r>
        <w:rPr>
          <w:rFonts w:hint="eastAsia"/>
        </w:rPr>
        <w:tab/>
      </w:r>
      <w:r>
        <w:rPr>
          <w:rFonts w:hint="eastAsia"/>
        </w:rPr>
        <w:fldChar w:fldCharType="begin"/>
      </w:r>
      <w:r>
        <w:rPr>
          <w:rFonts w:hint="eastAsia"/>
        </w:rPr>
        <w:instrText xml:space="preserve"> </w:instrText>
      </w:r>
      <w:r>
        <w:instrText xml:space="preserve">PAGEREF _Toc198563264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1C3DC95">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"_Toc198563265" </w:instrText>
      </w:r>
      <w:r>
        <w:fldChar w:fldCharType="separate"/>
      </w:r>
      <w:r>
        <w:rPr>
          <w:rStyle w:val="24"/>
          <w:rFonts w:hint="eastAsia"/>
        </w:rPr>
        <w:t>4.3 舵机驱动模块</w:t>
      </w:r>
      <w:r>
        <w:rPr>
          <w:rFonts w:hint="eastAsia"/>
        </w:rPr>
        <w:tab/>
      </w:r>
      <w:r>
        <w:rPr>
          <w:rFonts w:hint="eastAsia"/>
        </w:rPr>
        <w:fldChar w:fldCharType="begin"/>
      </w:r>
      <w:r>
        <w:rPr>
          <w:rFonts w:hint="eastAsia"/>
        </w:rPr>
        <w:instrText xml:space="preserve"> </w:instrText>
      </w:r>
      <w:r>
        <w:instrText xml:space="preserve">PAGEREF _Toc198563265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1F22237">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"_Toc198563266" </w:instrText>
      </w:r>
      <w:r>
        <w:fldChar w:fldCharType="separate"/>
      </w:r>
      <w:r>
        <w:rPr>
          <w:rStyle w:val="24"/>
          <w:rFonts w:hint="eastAsia"/>
        </w:rPr>
        <w:t>4.4 按键模块</w:t>
      </w:r>
      <w:r>
        <w:rPr>
          <w:rFonts w:hint="eastAsia"/>
        </w:rPr>
        <w:tab/>
      </w:r>
      <w:r>
        <w:rPr>
          <w:rFonts w:hint="eastAsia"/>
        </w:rPr>
        <w:fldChar w:fldCharType="begin"/>
      </w:r>
      <w:r>
        <w:rPr>
          <w:rFonts w:hint="eastAsia"/>
        </w:rPr>
        <w:instrText xml:space="preserve"> </w:instrText>
      </w:r>
      <w:r>
        <w:instrText xml:space="preserve">PAGEREF _Toc198563266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117428B">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"_Toc198563267" </w:instrText>
      </w:r>
      <w:r>
        <w:fldChar w:fldCharType="separate"/>
      </w:r>
      <w:r>
        <w:rPr>
          <w:rStyle w:val="24"/>
          <w:rFonts w:hint="eastAsia"/>
        </w:rPr>
        <w:t>4.5 红外传感器检测模块</w:t>
      </w:r>
      <w:r>
        <w:rPr>
          <w:rFonts w:hint="eastAsia"/>
        </w:rPr>
        <w:tab/>
      </w:r>
      <w:r>
        <w:rPr>
          <w:rFonts w:hint="eastAsia"/>
        </w:rPr>
        <w:fldChar w:fldCharType="begin"/>
      </w:r>
      <w:r>
        <w:rPr>
          <w:rFonts w:hint="eastAsia"/>
        </w:rPr>
        <w:instrText xml:space="preserve"> </w:instrText>
      </w:r>
      <w:r>
        <w:instrText xml:space="preserve">PAGEREF _Toc198563267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4608891">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"_Toc198563268" </w:instrText>
      </w:r>
      <w:r>
        <w:fldChar w:fldCharType="separate"/>
      </w:r>
      <w:r>
        <w:rPr>
          <w:rStyle w:val="24"/>
          <w:rFonts w:hint="eastAsia"/>
        </w:rPr>
        <w:t>4.6 蜂鸣器报警模块</w:t>
      </w:r>
      <w:r>
        <w:rPr>
          <w:rFonts w:hint="eastAsia"/>
        </w:rPr>
        <w:tab/>
      </w:r>
      <w:r>
        <w:rPr>
          <w:rFonts w:hint="eastAsia"/>
        </w:rPr>
        <w:fldChar w:fldCharType="begin"/>
      </w:r>
      <w:r>
        <w:rPr>
          <w:rFonts w:hint="eastAsia"/>
        </w:rPr>
        <w:instrText xml:space="preserve"> </w:instrText>
      </w:r>
      <w:r>
        <w:instrText xml:space="preserve">PAGEREF _Toc198563268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663F3C0">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"_Toc198563269" </w:instrText>
      </w:r>
      <w:r>
        <w:fldChar w:fldCharType="separate"/>
      </w:r>
      <w:r>
        <w:rPr>
          <w:rStyle w:val="24"/>
          <w:rFonts w:hint="eastAsia"/>
        </w:rPr>
        <w:t>4.7 无线传输模块</w:t>
      </w:r>
      <w:r>
        <w:rPr>
          <w:rFonts w:hint="eastAsia"/>
        </w:rPr>
        <w:tab/>
      </w:r>
      <w:r>
        <w:rPr>
          <w:rFonts w:hint="eastAsia"/>
        </w:rPr>
        <w:fldChar w:fldCharType="begin"/>
      </w:r>
      <w:r>
        <w:rPr>
          <w:rFonts w:hint="eastAsia"/>
        </w:rPr>
        <w:instrText xml:space="preserve"> </w:instrText>
      </w:r>
      <w:r>
        <w:instrText xml:space="preserve">PAGEREF _Toc198563269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8AD4C3">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"_Toc198563270" </w:instrText>
      </w:r>
      <w:r>
        <w:fldChar w:fldCharType="separate"/>
      </w:r>
      <w:r>
        <w:rPr>
          <w:rStyle w:val="24"/>
          <w:rFonts w:hint="eastAsia"/>
        </w:rPr>
        <w:t>4.8 本章小结</w:t>
      </w:r>
      <w:r>
        <w:rPr>
          <w:rFonts w:hint="eastAsia"/>
        </w:rPr>
        <w:tab/>
      </w:r>
      <w:r>
        <w:rPr>
          <w:rFonts w:hint="eastAsia"/>
        </w:rPr>
        <w:fldChar w:fldCharType="begin"/>
      </w:r>
      <w:r>
        <w:rPr>
          <w:rFonts w:hint="eastAsia"/>
        </w:rPr>
        <w:instrText xml:space="preserve"> </w:instrText>
      </w:r>
      <w:r>
        <w:instrText xml:space="preserve">PAGEREF _Toc198563270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010DF50">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"_Toc198563271" </w:instrText>
      </w:r>
      <w:r>
        <w:fldChar w:fldCharType="separate"/>
      </w:r>
      <w:r>
        <w:rPr>
          <w:rStyle w:val="24"/>
          <w:rFonts w:hint="eastAsia"/>
        </w:rPr>
        <w:t>第5章  系统软件设计方案</w:t>
      </w:r>
      <w:r>
        <w:rPr>
          <w:rFonts w:hint="eastAsia"/>
        </w:rPr>
        <w:tab/>
      </w:r>
      <w:r>
        <w:rPr>
          <w:rFonts w:hint="eastAsia"/>
        </w:rPr>
        <w:fldChar w:fldCharType="begin"/>
      </w:r>
      <w:r>
        <w:rPr>
          <w:rFonts w:hint="eastAsia"/>
        </w:rPr>
        <w:instrText xml:space="preserve"> </w:instrText>
      </w:r>
      <w:r>
        <w:instrText xml:space="preserve">PAGEREF _Toc198563271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253A275">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"_Toc198563272" </w:instrText>
      </w:r>
      <w:r>
        <w:fldChar w:fldCharType="separate"/>
      </w:r>
      <w:r>
        <w:rPr>
          <w:rStyle w:val="24"/>
          <w:rFonts w:hint="eastAsia"/>
        </w:rPr>
        <w:t>5.1 STM32主控模块</w:t>
      </w:r>
      <w:r>
        <w:rPr>
          <w:rFonts w:hint="eastAsia"/>
        </w:rPr>
        <w:tab/>
      </w:r>
      <w:r>
        <w:rPr>
          <w:rFonts w:hint="eastAsia"/>
        </w:rPr>
        <w:fldChar w:fldCharType="begin"/>
      </w:r>
      <w:r>
        <w:rPr>
          <w:rFonts w:hint="eastAsia"/>
        </w:rPr>
        <w:instrText xml:space="preserve"> </w:instrText>
      </w:r>
      <w:r>
        <w:instrText xml:space="preserve">PAGEREF _Toc198563272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D8C244A">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"_Toc198563273" </w:instrText>
      </w:r>
      <w:r>
        <w:fldChar w:fldCharType="separate"/>
      </w:r>
      <w:r>
        <w:rPr>
          <w:rStyle w:val="24"/>
          <w:rFonts w:hint="eastAsia"/>
        </w:rPr>
        <w:t>5.2 语音识别模块</w:t>
      </w:r>
      <w:r>
        <w:rPr>
          <w:rFonts w:hint="eastAsia"/>
        </w:rPr>
        <w:tab/>
      </w:r>
      <w:r>
        <w:rPr>
          <w:rFonts w:hint="eastAsia"/>
        </w:rPr>
        <w:fldChar w:fldCharType="begin"/>
      </w:r>
      <w:r>
        <w:rPr>
          <w:rFonts w:hint="eastAsia"/>
        </w:rPr>
        <w:instrText xml:space="preserve"> </w:instrText>
      </w:r>
      <w:r>
        <w:instrText xml:space="preserve">PAGEREF _Toc198563273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45924CC">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"_Toc198563274" </w:instrText>
      </w:r>
      <w:r>
        <w:fldChar w:fldCharType="separate"/>
      </w:r>
      <w:r>
        <w:rPr>
          <w:rStyle w:val="24"/>
          <w:rFonts w:hint="eastAsia"/>
        </w:rPr>
        <w:t>5.2.1 关键词提取</w:t>
      </w:r>
      <w:r>
        <w:rPr>
          <w:rFonts w:hint="eastAsia"/>
        </w:rPr>
        <w:tab/>
      </w:r>
      <w:r>
        <w:rPr>
          <w:rFonts w:hint="eastAsia"/>
        </w:rPr>
        <w:fldChar w:fldCharType="begin"/>
      </w:r>
      <w:r>
        <w:rPr>
          <w:rFonts w:hint="eastAsia"/>
        </w:rPr>
        <w:instrText xml:space="preserve"> </w:instrText>
      </w:r>
      <w:r>
        <w:instrText xml:space="preserve">PAGEREF _Toc198563274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AE5479A">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"_Toc198563275" </w:instrText>
      </w:r>
      <w:r>
        <w:fldChar w:fldCharType="separate"/>
      </w:r>
      <w:r>
        <w:rPr>
          <w:rStyle w:val="24"/>
          <w:rFonts w:hint="eastAsia"/>
        </w:rPr>
        <w:t>5.2.2 模块匹配算法</w:t>
      </w:r>
      <w:r>
        <w:rPr>
          <w:rFonts w:hint="eastAsia"/>
        </w:rPr>
        <w:tab/>
      </w:r>
      <w:r>
        <w:rPr>
          <w:rFonts w:hint="eastAsia"/>
        </w:rPr>
        <w:fldChar w:fldCharType="begin"/>
      </w:r>
      <w:r>
        <w:rPr>
          <w:rFonts w:hint="eastAsia"/>
        </w:rPr>
        <w:instrText xml:space="preserve"> </w:instrText>
      </w:r>
      <w:r>
        <w:instrText xml:space="preserve">PAGEREF _Toc198563275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8F8C033">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"_Toc198563276" </w:instrText>
      </w:r>
      <w:r>
        <w:fldChar w:fldCharType="separate"/>
      </w:r>
      <w:r>
        <w:rPr>
          <w:rStyle w:val="24"/>
          <w:rFonts w:hint="eastAsia"/>
        </w:rPr>
        <w:t>5.3 按键及舵机驱动模块</w:t>
      </w:r>
      <w:r>
        <w:rPr>
          <w:rFonts w:hint="eastAsia"/>
        </w:rPr>
        <w:tab/>
      </w:r>
      <w:r>
        <w:rPr>
          <w:rFonts w:hint="eastAsia"/>
        </w:rPr>
        <w:fldChar w:fldCharType="begin"/>
      </w:r>
      <w:r>
        <w:rPr>
          <w:rFonts w:hint="eastAsia"/>
        </w:rPr>
        <w:instrText xml:space="preserve"> </w:instrText>
      </w:r>
      <w:r>
        <w:instrText xml:space="preserve">PAGEREF _Toc198563276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79F25C09">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"_Toc198563277" </w:instrText>
      </w:r>
      <w:r>
        <w:fldChar w:fldCharType="separate"/>
      </w:r>
      <w:r>
        <w:rPr>
          <w:rStyle w:val="24"/>
          <w:rFonts w:hint="eastAsia"/>
        </w:rPr>
        <w:t>5.3.1 按键模块</w:t>
      </w:r>
      <w:r>
        <w:rPr>
          <w:rFonts w:hint="eastAsia"/>
        </w:rPr>
        <w:tab/>
      </w:r>
      <w:r>
        <w:rPr>
          <w:rFonts w:hint="eastAsia"/>
        </w:rPr>
        <w:fldChar w:fldCharType="begin"/>
      </w:r>
      <w:r>
        <w:rPr>
          <w:rFonts w:hint="eastAsia"/>
        </w:rPr>
        <w:instrText xml:space="preserve"> </w:instrText>
      </w:r>
      <w:r>
        <w:instrText xml:space="preserve">PAGEREF _Toc198563277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1C1BAAE">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"_Toc198563278" </w:instrText>
      </w:r>
      <w:r>
        <w:fldChar w:fldCharType="separate"/>
      </w:r>
      <w:r>
        <w:rPr>
          <w:rStyle w:val="24"/>
          <w:rFonts w:hint="eastAsia"/>
        </w:rPr>
        <w:t>5.3.2 按键驱动舵机模块</w:t>
      </w:r>
      <w:r>
        <w:rPr>
          <w:rFonts w:hint="eastAsia"/>
        </w:rPr>
        <w:tab/>
      </w:r>
      <w:r>
        <w:rPr>
          <w:rFonts w:hint="eastAsia"/>
        </w:rPr>
        <w:fldChar w:fldCharType="begin"/>
      </w:r>
      <w:r>
        <w:rPr>
          <w:rFonts w:hint="eastAsia"/>
        </w:rPr>
        <w:instrText xml:space="preserve"> </w:instrText>
      </w:r>
      <w:r>
        <w:instrText xml:space="preserve">PAGEREF _Toc198563278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0239753">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"_Toc198563279" </w:instrText>
      </w:r>
      <w:r>
        <w:fldChar w:fldCharType="separate"/>
      </w:r>
      <w:r>
        <w:rPr>
          <w:rStyle w:val="24"/>
          <w:rFonts w:hint="eastAsia"/>
        </w:rPr>
        <w:t>5.4 红外检测与溢满报警模块</w:t>
      </w:r>
      <w:r>
        <w:rPr>
          <w:rFonts w:hint="eastAsia"/>
        </w:rPr>
        <w:tab/>
      </w:r>
      <w:r>
        <w:rPr>
          <w:rFonts w:hint="eastAsia"/>
        </w:rPr>
        <w:fldChar w:fldCharType="begin"/>
      </w:r>
      <w:r>
        <w:rPr>
          <w:rFonts w:hint="eastAsia"/>
        </w:rPr>
        <w:instrText xml:space="preserve"> </w:instrText>
      </w:r>
      <w:r>
        <w:instrText xml:space="preserve">PAGEREF _Toc198563279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0713D7E">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"_Toc198563280" </w:instrText>
      </w:r>
      <w:r>
        <w:fldChar w:fldCharType="separate"/>
      </w:r>
      <w:r>
        <w:rPr>
          <w:rStyle w:val="24"/>
          <w:rFonts w:hint="eastAsia"/>
        </w:rPr>
        <w:t>5.5 无线传输模块</w:t>
      </w:r>
      <w:r>
        <w:rPr>
          <w:rFonts w:hint="eastAsia"/>
        </w:rPr>
        <w:tab/>
      </w:r>
      <w:r>
        <w:rPr>
          <w:rFonts w:hint="eastAsia"/>
        </w:rPr>
        <w:fldChar w:fldCharType="begin"/>
      </w:r>
      <w:r>
        <w:rPr>
          <w:rFonts w:hint="eastAsia"/>
        </w:rPr>
        <w:instrText xml:space="preserve"> </w:instrText>
      </w:r>
      <w:r>
        <w:instrText xml:space="preserve">PAGEREF _Toc198563280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2350EBA8">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"_Toc198563281" </w:instrText>
      </w:r>
      <w:r>
        <w:fldChar w:fldCharType="separate"/>
      </w:r>
      <w:r>
        <w:rPr>
          <w:rStyle w:val="24"/>
          <w:rFonts w:hint="eastAsia"/>
        </w:rPr>
        <w:t>5.5.1 云平台数据上传与接收</w:t>
      </w:r>
      <w:r>
        <w:rPr>
          <w:rFonts w:hint="eastAsia"/>
        </w:rPr>
        <w:tab/>
      </w:r>
      <w:r>
        <w:rPr>
          <w:rFonts w:hint="eastAsia"/>
        </w:rPr>
        <w:fldChar w:fldCharType="begin"/>
      </w:r>
      <w:r>
        <w:rPr>
          <w:rFonts w:hint="eastAsia"/>
        </w:rPr>
        <w:instrText xml:space="preserve"> </w:instrText>
      </w:r>
      <w:r>
        <w:instrText xml:space="preserve">PAGEREF _Toc198563281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26D608C">
      <w:pPr>
        <w:pStyle w:val="9"/>
        <w:tabs>
          <w:tab w:val="right" w:leader="dot" w:pos="8947"/>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"_Toc198563282" </w:instrText>
      </w:r>
      <w:r>
        <w:fldChar w:fldCharType="separate"/>
      </w:r>
      <w:r>
        <w:rPr>
          <w:rStyle w:val="24"/>
          <w:rFonts w:hint="eastAsia"/>
        </w:rPr>
        <w:t>5.5.2 APP数据上传与接收</w:t>
      </w:r>
      <w:r>
        <w:rPr>
          <w:rFonts w:hint="eastAsia"/>
        </w:rPr>
        <w:tab/>
      </w:r>
      <w:r>
        <w:rPr>
          <w:rFonts w:hint="eastAsia"/>
        </w:rPr>
        <w:fldChar w:fldCharType="begin"/>
      </w:r>
      <w:r>
        <w:rPr>
          <w:rFonts w:hint="eastAsia"/>
        </w:rPr>
        <w:instrText xml:space="preserve"> </w:instrText>
      </w:r>
      <w:r>
        <w:instrText xml:space="preserve">PAGEREF _Toc198563282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91DD6DD">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"_Toc198563283" </w:instrText>
      </w:r>
      <w:r>
        <w:fldChar w:fldCharType="separate"/>
      </w:r>
      <w:r>
        <w:rPr>
          <w:rStyle w:val="24"/>
          <w:rFonts w:hint="eastAsia"/>
        </w:rPr>
        <w:t>5.6 可视化界面模块</w:t>
      </w:r>
      <w:r>
        <w:rPr>
          <w:rFonts w:hint="eastAsia"/>
        </w:rPr>
        <w:tab/>
      </w:r>
      <w:r>
        <w:rPr>
          <w:rFonts w:hint="eastAsia"/>
        </w:rPr>
        <w:fldChar w:fldCharType="begin"/>
      </w:r>
      <w:r>
        <w:rPr>
          <w:rFonts w:hint="eastAsia"/>
        </w:rPr>
        <w:instrText xml:space="preserve"> </w:instrText>
      </w:r>
      <w:r>
        <w:instrText xml:space="preserve">PAGEREF _Toc198563283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38C8CDCD">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"_Toc198563284" </w:instrText>
      </w:r>
      <w:r>
        <w:fldChar w:fldCharType="separate"/>
      </w:r>
      <w:r>
        <w:rPr>
          <w:rStyle w:val="24"/>
          <w:rFonts w:hint="eastAsia"/>
        </w:rPr>
        <w:t>5.7 本章小结</w:t>
      </w:r>
      <w:r>
        <w:rPr>
          <w:rFonts w:hint="eastAsia"/>
        </w:rPr>
        <w:tab/>
      </w:r>
      <w:r>
        <w:rPr>
          <w:rFonts w:hint="eastAsia"/>
        </w:rPr>
        <w:fldChar w:fldCharType="begin"/>
      </w:r>
      <w:r>
        <w:rPr>
          <w:rFonts w:hint="eastAsia"/>
        </w:rPr>
        <w:instrText xml:space="preserve"> </w:instrText>
      </w:r>
      <w:r>
        <w:instrText xml:space="preserve">PAGEREF _Toc198563284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0A8C126F">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"_Toc198563285" </w:instrText>
      </w:r>
      <w:r>
        <w:fldChar w:fldCharType="separate"/>
      </w:r>
      <w:r>
        <w:rPr>
          <w:rStyle w:val="24"/>
          <w:rFonts w:hint="eastAsia"/>
        </w:rPr>
        <w:t>第六章  系统测试</w:t>
      </w:r>
      <w:r>
        <w:rPr>
          <w:rFonts w:hint="eastAsia"/>
        </w:rPr>
        <w:tab/>
      </w:r>
      <w:r>
        <w:rPr>
          <w:rFonts w:hint="eastAsia"/>
        </w:rPr>
        <w:fldChar w:fldCharType="begin"/>
      </w:r>
      <w:r>
        <w:rPr>
          <w:rFonts w:hint="eastAsia"/>
        </w:rPr>
        <w:instrText xml:space="preserve"> </w:instrText>
      </w:r>
      <w:r>
        <w:instrText xml:space="preserve">PAGEREF _Toc198563285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AABE173">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"_Toc198563286" </w:instrText>
      </w:r>
      <w:r>
        <w:fldChar w:fldCharType="separate"/>
      </w:r>
      <w:r>
        <w:rPr>
          <w:rStyle w:val="24"/>
          <w:rFonts w:hint="eastAsia"/>
        </w:rPr>
        <w:t>6.1 程序调试和烧录</w:t>
      </w:r>
      <w:r>
        <w:rPr>
          <w:rFonts w:hint="eastAsia"/>
        </w:rPr>
        <w:tab/>
      </w:r>
      <w:r>
        <w:rPr>
          <w:rFonts w:hint="eastAsia"/>
        </w:rPr>
        <w:fldChar w:fldCharType="begin"/>
      </w:r>
      <w:r>
        <w:rPr>
          <w:rFonts w:hint="eastAsia"/>
        </w:rPr>
        <w:instrText xml:space="preserve"> </w:instrText>
      </w:r>
      <w:r>
        <w:instrText xml:space="preserve">PAGEREF _Toc198563286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6EF4CA4C">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"_Toc198563287" </w:instrText>
      </w:r>
      <w:r>
        <w:fldChar w:fldCharType="separate"/>
      </w:r>
      <w:r>
        <w:rPr>
          <w:rStyle w:val="24"/>
          <w:rFonts w:hint="eastAsia"/>
        </w:rPr>
        <w:t>6.2 语音识别功能测试</w:t>
      </w:r>
      <w:r>
        <w:rPr>
          <w:rFonts w:hint="eastAsia"/>
        </w:rPr>
        <w:tab/>
      </w:r>
      <w:r>
        <w:rPr>
          <w:rFonts w:hint="eastAsia"/>
        </w:rPr>
        <w:fldChar w:fldCharType="begin"/>
      </w:r>
      <w:r>
        <w:rPr>
          <w:rFonts w:hint="eastAsia"/>
        </w:rPr>
        <w:instrText xml:space="preserve"> </w:instrText>
      </w:r>
      <w:r>
        <w:instrText xml:space="preserve">PAGEREF _Toc198563287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001B76D">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"_Toc198563288" </w:instrText>
      </w:r>
      <w:r>
        <w:fldChar w:fldCharType="separate"/>
      </w:r>
      <w:r>
        <w:rPr>
          <w:rStyle w:val="24"/>
          <w:rFonts w:hint="eastAsia"/>
        </w:rPr>
        <w:t>6.3 按键控制功能测试</w:t>
      </w:r>
      <w:r>
        <w:rPr>
          <w:rFonts w:hint="eastAsia"/>
        </w:rPr>
        <w:tab/>
      </w:r>
      <w:r>
        <w:rPr>
          <w:rFonts w:hint="eastAsia"/>
        </w:rPr>
        <w:fldChar w:fldCharType="begin"/>
      </w:r>
      <w:r>
        <w:rPr>
          <w:rFonts w:hint="eastAsia"/>
        </w:rPr>
        <w:instrText xml:space="preserve"> </w:instrText>
      </w:r>
      <w:r>
        <w:instrText xml:space="preserve">PAGEREF _Toc198563288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1CE6A724">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"_Toc198563289" </w:instrText>
      </w:r>
      <w:r>
        <w:fldChar w:fldCharType="separate"/>
      </w:r>
      <w:r>
        <w:rPr>
          <w:rStyle w:val="24"/>
          <w:rFonts w:hint="eastAsia"/>
        </w:rPr>
        <w:t>6.4 红外报警功能测试</w:t>
      </w:r>
      <w:r>
        <w:rPr>
          <w:rFonts w:hint="eastAsia"/>
        </w:rPr>
        <w:tab/>
      </w:r>
      <w:r>
        <w:rPr>
          <w:rFonts w:hint="eastAsia"/>
        </w:rPr>
        <w:fldChar w:fldCharType="begin"/>
      </w:r>
      <w:r>
        <w:rPr>
          <w:rFonts w:hint="eastAsia"/>
        </w:rPr>
        <w:instrText xml:space="preserve"> </w:instrText>
      </w:r>
      <w:r>
        <w:instrText xml:space="preserve">PAGEREF _Toc198563289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57A6E20C">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"_Toc198563290" </w:instrText>
      </w:r>
      <w:r>
        <w:fldChar w:fldCharType="separate"/>
      </w:r>
      <w:r>
        <w:rPr>
          <w:rStyle w:val="24"/>
          <w:rFonts w:hint="eastAsia"/>
        </w:rPr>
        <w:t>6.5 无线传输及云平台功能测试</w:t>
      </w:r>
      <w:r>
        <w:rPr>
          <w:rFonts w:hint="eastAsia"/>
        </w:rPr>
        <w:tab/>
      </w:r>
      <w:r>
        <w:rPr>
          <w:rFonts w:hint="eastAsia"/>
        </w:rPr>
        <w:fldChar w:fldCharType="begin"/>
      </w:r>
      <w:r>
        <w:rPr>
          <w:rFonts w:hint="eastAsia"/>
        </w:rPr>
        <w:instrText xml:space="preserve"> </w:instrText>
      </w:r>
      <w:r>
        <w:instrText xml:space="preserve">PAGEREF _Toc198563290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383ADB9F">
      <w:pPr>
        <w:pStyle w:val="16"/>
        <w:tabs>
          <w:tab w:val="right" w:leader="dot" w:pos="8947"/>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"_Toc198563291" </w:instrText>
      </w:r>
      <w:r>
        <w:fldChar w:fldCharType="separate"/>
      </w:r>
      <w:r>
        <w:rPr>
          <w:rStyle w:val="24"/>
          <w:rFonts w:hint="eastAsia"/>
        </w:rPr>
        <w:t>6.6 APP可视化功能测试</w:t>
      </w:r>
      <w:r>
        <w:rPr>
          <w:rFonts w:hint="eastAsia"/>
        </w:rPr>
        <w:tab/>
      </w:r>
      <w:r>
        <w:rPr>
          <w:rFonts w:hint="eastAsia"/>
        </w:rPr>
        <w:fldChar w:fldCharType="begin"/>
      </w:r>
      <w:r>
        <w:rPr>
          <w:rFonts w:hint="eastAsia"/>
        </w:rPr>
        <w:instrText xml:space="preserve"> </w:instrText>
      </w:r>
      <w:r>
        <w:instrText xml:space="preserve">PAGEREF _Toc198563291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450846DE">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"_Toc198563292" </w:instrText>
      </w:r>
      <w:r>
        <w:fldChar w:fldCharType="separate"/>
      </w:r>
      <w:r>
        <w:rPr>
          <w:rStyle w:val="24"/>
          <w:rFonts w:hint="eastAsia"/>
        </w:rPr>
        <w:t>第7章  总结</w:t>
      </w:r>
      <w:r>
        <w:rPr>
          <w:rFonts w:hint="eastAsia"/>
        </w:rPr>
        <w:tab/>
      </w:r>
      <w:r>
        <w:rPr>
          <w:rFonts w:hint="eastAsia"/>
        </w:rPr>
        <w:fldChar w:fldCharType="begin"/>
      </w:r>
      <w:r>
        <w:rPr>
          <w:rFonts w:hint="eastAsia"/>
        </w:rPr>
        <w:instrText xml:space="preserve"> </w:instrText>
      </w:r>
      <w:r>
        <w:instrText xml:space="preserve">PAGEREF _Toc198563292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69937FE6">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"_Toc198563293" </w:instrText>
      </w:r>
      <w:r>
        <w:fldChar w:fldCharType="separate"/>
      </w:r>
      <w:r>
        <w:rPr>
          <w:rStyle w:val="24"/>
          <w:rFonts w:hint="eastAsia"/>
        </w:rPr>
        <w:t>致    谢</w:t>
      </w:r>
      <w:r>
        <w:rPr>
          <w:rFonts w:hint="eastAsia"/>
        </w:rPr>
        <w:tab/>
      </w:r>
      <w:r>
        <w:rPr>
          <w:rFonts w:hint="eastAsia"/>
        </w:rPr>
        <w:fldChar w:fldCharType="begin"/>
      </w:r>
      <w:r>
        <w:rPr>
          <w:rFonts w:hint="eastAsia"/>
        </w:rPr>
        <w:instrText xml:space="preserve"> </w:instrText>
      </w:r>
      <w:r>
        <w:instrText xml:space="preserve">PAGEREF _Toc198563293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5A9E7ECF">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"_Toc198563294" </w:instrText>
      </w:r>
      <w:r>
        <w:fldChar w:fldCharType="separate"/>
      </w:r>
      <w:r>
        <w:rPr>
          <w:rStyle w:val="24"/>
          <w:rFonts w:hint="eastAsia"/>
          <w:lang w:bidi="en-US"/>
        </w:rPr>
        <w:t>参 考 文 献</w:t>
      </w:r>
      <w:r>
        <w:rPr>
          <w:rFonts w:hint="eastAsia"/>
        </w:rPr>
        <w:tab/>
      </w:r>
      <w:r>
        <w:rPr>
          <w:rFonts w:hint="eastAsia"/>
        </w:rPr>
        <w:fldChar w:fldCharType="begin"/>
      </w:r>
      <w:r>
        <w:rPr>
          <w:rFonts w:hint="eastAsia"/>
        </w:rPr>
        <w:instrText xml:space="preserve"> </w:instrText>
      </w:r>
      <w:r>
        <w:instrText xml:space="preserve">PAGEREF _Toc198563294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D73A664">
      <w:pPr>
        <w:pStyle w:val="14"/>
        <w:tabs>
          <w:tab w:val="right" w:leader="dot" w:pos="8947"/>
        </w:tabs>
        <w:rPr>
          <w:rFonts w:hint="eastAsia" w:asciiTheme="minorHAnsi" w:hAnsiTheme="minorHAnsi" w:eastAsiaTheme="minorEastAsia" w:cstheme="minorBidi"/>
          <w:kern w:val="2"/>
          <w:sz w:val="22"/>
          <w14:ligatures w14:val="standardContextual"/>
        </w:rPr>
      </w:pPr>
      <w:r>
        <w:fldChar w:fldCharType="begin"/>
      </w:r>
      <w:r>
        <w:instrText xml:space="preserve"> HYPERLINK \l "_Toc198563295" </w:instrText>
      </w:r>
      <w:r>
        <w:fldChar w:fldCharType="separate"/>
      </w:r>
      <w:r>
        <w:rPr>
          <w:rStyle w:val="24"/>
          <w:rFonts w:hint="eastAsia" w:ascii="Cambria" w:hAnsi="Cambria" w:cs="宋体"/>
          <w:kern w:val="32"/>
          <w:lang w:bidi="en-US"/>
        </w:rPr>
        <w:t>附录A  系统实现实物图</w:t>
      </w:r>
      <w:r>
        <w:rPr>
          <w:rFonts w:hint="eastAsia"/>
        </w:rPr>
        <w:tab/>
      </w:r>
      <w:r>
        <w:rPr>
          <w:rFonts w:hint="eastAsia"/>
        </w:rPr>
        <w:fldChar w:fldCharType="begin"/>
      </w:r>
      <w:r>
        <w:rPr>
          <w:rFonts w:hint="eastAsia"/>
        </w:rPr>
        <w:instrText xml:space="preserve"> </w:instrText>
      </w:r>
      <w:r>
        <w:instrText xml:space="preserve">PAGEREF _Toc198563295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724DF740">
      <w:pPr>
        <w:pStyle w:val="14"/>
        <w:tabs>
          <w:tab w:val="right" w:leader="dot" w:pos="9060"/>
        </w:tabs>
        <w:sectPr>
          <w:pgSz w:w="11906" w:h="16838"/>
          <w:pgMar w:top="1418" w:right="1191" w:bottom="1191" w:left="1191" w:header="1418" w:footer="1134" w:gutter="567"/>
          <w:pgNumType w:fmt="upperRoman"/>
          <w:cols w:space="720" w:num="1"/>
          <w:docGrid w:linePitch="326" w:charSpace="-2048"/>
        </w:sectPr>
      </w:pPr>
      <w:r>
        <w:fldChar w:fldCharType="end"/>
      </w:r>
    </w:p>
    <w:p w14:paraId="341333CF">
      <w:pPr>
        <w:pStyle w:val="2"/>
      </w:pPr>
      <w:bookmarkStart w:id="7" w:name="_Toc15880"/>
      <w:bookmarkStart w:id="8" w:name="_Toc468117565"/>
      <w:bookmarkStart w:id="9" w:name="_Toc198563240"/>
      <w:r>
        <w:rPr>
          <w:rFonts w:hint="eastAsia"/>
        </w:rPr>
        <w:t xml:space="preserve">第1章  </w:t>
      </w:r>
      <w:bookmarkEnd w:id="7"/>
      <w:bookmarkEnd w:id="8"/>
      <w:r>
        <w:rPr>
          <w:rFonts w:hint="eastAsia"/>
        </w:rPr>
        <w:t>绪论</w:t>
      </w:r>
      <w:bookmarkEnd w:id="9"/>
    </w:p>
    <w:p w14:paraId="5FB752DB">
      <w:pPr>
        <w:pStyle w:val="3"/>
        <w:spacing w:before="120"/>
      </w:pPr>
      <w:bookmarkStart w:id="10" w:name="_Toc198563241"/>
      <w:r>
        <w:rPr>
          <w:rFonts w:hint="eastAsia"/>
        </w:rPr>
        <w:t>1.1研究背景与意义</w:t>
      </w:r>
      <w:bookmarkEnd w:id="10"/>
    </w:p>
    <w:p w14:paraId="16F2806A">
      <w:pPr>
        <w:pStyle w:val="4"/>
        <w:spacing w:before="120"/>
      </w:pPr>
      <w:bookmarkStart w:id="11" w:name="_Toc198563242"/>
      <w:r>
        <w:rPr>
          <w:rFonts w:hint="eastAsia"/>
        </w:rPr>
        <w:t>1.1.1音频信号可视化的社会需求</w:t>
      </w:r>
      <w:bookmarkEnd w:id="11"/>
    </w:p>
    <w:p w14:paraId="064C1D26">
      <w:pPr>
        <w:spacing w:line="440" w:lineRule="exact"/>
        <w:ind w:firstLine="480" w:firstLineChars="200"/>
        <w:rPr>
          <w:rFonts w:hint="eastAsia"/>
        </w:rPr>
      </w:pPr>
      <w:r>
        <w:rPr>
          <w:rFonts w:hint="eastAsia"/>
        </w:rPr>
        <w:t>随着智能终端、物联网设备和移动互联技术的普及，声音信息在课堂教学、设备巡检、环境监测和人机交互中的作用日益突出。音频信号具有连续性强、变化快、难以直接观察的特点，若仅依赖人耳判断或串口数据输出，往往难以准确掌握其幅值变化和频率分布。传统示波器、频谱仪虽然能够完成较专业的分析，但设备成本较高、体积较大、使用门槛也相对较高，不适合作为一般课程实验和嵌入式作品展示的常规配置。因此，开发一种低成本、小型化、可独立运行的音频信号可视化系统，既符合当前轻量化智能设备的发展方向，也具有较强的现实应用需求。</w:t>
      </w:r>
    </w:p>
    <w:p w14:paraId="4267D5E3">
      <w:pPr>
        <w:pStyle w:val="4"/>
        <w:spacing w:before="120"/>
      </w:pPr>
      <w:bookmarkStart w:id="12" w:name="_Toc198563243"/>
      <w:r>
        <w:rPr>
          <w:rFonts w:hint="eastAsia"/>
        </w:rPr>
        <w:t>1.1.2 音频信号可视化技术的应用价值</w:t>
      </w:r>
      <w:bookmarkEnd w:id="12"/>
    </w:p>
    <w:p w14:paraId="24854467">
      <w:pPr>
        <w:spacing w:line="440" w:lineRule="exact"/>
        <w:ind w:firstLine="480" w:firstLineChars="200"/>
        <w:rPr>
          <w:rFonts w:hint="eastAsia" w:eastAsia="宋体"/>
          <w:lang w:eastAsia="zh-CN"/>
        </w:rPr>
      </w:pPr>
      <w:r>
        <w:rPr>
          <w:rFonts w:hint="eastAsia"/>
        </w:rPr>
        <w:t>音频信号可视化技术的意义并不只是将声音</w:t>
      </w:r>
      <w:r>
        <w:rPr>
          <w:rFonts w:hint="eastAsia"/>
          <w:lang w:eastAsia="zh-CN"/>
        </w:rPr>
        <w:t>“</w:t>
      </w:r>
      <w:r>
        <w:rPr>
          <w:rFonts w:hint="eastAsia"/>
        </w:rPr>
        <w:t>显示出来</w:t>
      </w:r>
      <w:r>
        <w:rPr>
          <w:rFonts w:hint="eastAsia"/>
          <w:lang w:eastAsia="zh-CN"/>
        </w:rPr>
        <w:t>”</w:t>
      </w:r>
      <w:r>
        <w:rPr>
          <w:rFonts w:hint="eastAsia"/>
        </w:rPr>
        <w:t>，更重要的是把原本抽象的采样数据转化为便于观察和比较的图形信息。通过时域波形可以直观看到信号随时间的变化，通过频域频谱可以分析不同频率成分的分布情况，瀑布图能够进一步体现频率成分随时间的连续变化，VU 电平则适合快速判断整体能量强弱。在教学实验中，这种方式有助于理解采样、滤波、加窗和傅里叶变换等概念；在系统调试中，也能更快发现底噪抖动、主峰偏移和刷新异常等问题。因此，音频信号可视化在教学演示、设备调试和低成本监测等方面都具有较高的应用价值</w:t>
      </w:r>
      <w:r>
        <w:rPr>
          <w:rFonts w:hint="eastAsia"/>
          <w:lang w:eastAsia="zh-CN"/>
        </w:rPr>
        <w:t>。</w:t>
      </w:r>
    </w:p>
    <w:p w14:paraId="279DDC37">
      <w:pPr>
        <w:pStyle w:val="4"/>
        <w:spacing w:before="120"/>
      </w:pPr>
      <w:bookmarkStart w:id="13" w:name="_Toc198563244"/>
      <w:r>
        <w:rPr>
          <w:rFonts w:hint="eastAsia"/>
        </w:rPr>
        <w:t xml:space="preserve">1.1.3 </w:t>
      </w:r>
      <w:r>
        <w:rPr>
          <w:rFonts w:ascii="Times New Roman"/>
        </w:rPr>
        <w:t>STM32</w:t>
      </w:r>
      <w:r>
        <w:rPr>
          <w:rFonts w:hint="eastAsia"/>
        </w:rPr>
        <w:t>在嵌入式系统开发中的优势</w:t>
      </w:r>
      <w:bookmarkEnd w:id="13"/>
    </w:p>
    <w:p w14:paraId="6E15F7AE">
      <w:pPr>
        <w:spacing w:line="440" w:lineRule="exact"/>
        <w:ind w:firstLine="480" w:firstLineChars="200"/>
      </w:pPr>
      <w:r>
        <w:rPr>
          <w:rFonts w:hint="eastAsia"/>
        </w:rPr>
        <w:t>在嵌入式系统开发中，主控平台的性能和外设资源直接影响系统实现效果。STM32 系列微控制器因其运算能力较强、外设资源丰富、开发生态成熟和成本适中，在教学实践和工程项目中得到了广泛应用。本文采用的 STM32F103</w:t>
      </w:r>
      <w:r>
        <w:rPr>
          <w:rFonts w:hint="eastAsia"/>
          <w:lang w:val="en-US" w:eastAsia="zh-CN"/>
        </w:rPr>
        <w:t>C8T6</w:t>
      </w:r>
      <w:r>
        <w:rPr>
          <w:rFonts w:hint="eastAsia"/>
        </w:rPr>
        <w:t>基于ARM Cortex-M3内核，内部集成ADC、DMA、定时器、SPI 和USART等常用外设，能够满足音频采样、图形显示和蓝牙通信等多模块协同工作的需求。与传统单片机相比STM32更适合承担实时音频处理任务；与更高性能的平台相比，其开发难度和系统成本又更适合毕业设计实施。因此，选择STM32作为本课题核心平台，既具有较好的可行性，也能够体现嵌入式系统综合设计的实践价值。</w:t>
      </w:r>
    </w:p>
    <w:p w14:paraId="5BCBB5E9">
      <w:pPr>
        <w:pStyle w:val="3"/>
        <w:spacing w:before="120"/>
      </w:pPr>
      <w:bookmarkStart w:id="14" w:name="_Toc198563245"/>
      <w:r>
        <w:rPr>
          <w:rFonts w:hint="eastAsia"/>
        </w:rPr>
        <w:t>1.2 国内外研究现状</w:t>
      </w:r>
      <w:bookmarkEnd w:id="14"/>
    </w:p>
    <w:p w14:paraId="310E9478">
      <w:pPr>
        <w:spacing w:line="440" w:lineRule="exact"/>
        <w:ind w:firstLine="480" w:firstLineChars="200"/>
      </w:pPr>
      <w:r>
        <w:rPr>
          <w:rFonts w:hint="eastAsia"/>
        </w:rPr>
        <w:t>本项目基于STM32的音频信号采集与可视化系统设计与实现，国内外相关研究主要从音频信息感知、时频特征提取、嵌入式实时处理以及移动端交互等方向展开，具体涵盖音频采样与预处理、关键词频段分析、FFT频谱计算、窗函数优化、噪声抑制、多模式图形显示和无线参数控制等内容。在工程实现层面，研究重点还包括低功耗MCU控制、ADC与DMA协同采样、TFT屏幕刷新、蓝牙通信链路、阈值报警以及多模块协同调度等关键技术。总体来看，相关研究已从单一波形或灯光显示，逐步发展到兼顾实时性、交互性和系统完整性的综合设计方向。</w:t>
      </w:r>
    </w:p>
    <w:p w14:paraId="17629DDB">
      <w:pPr>
        <w:pStyle w:val="4"/>
        <w:spacing w:before="120"/>
      </w:pPr>
      <w:bookmarkStart w:id="15" w:name="_Toc198563246"/>
      <w:r>
        <w:rPr>
          <w:rFonts w:hint="eastAsia"/>
        </w:rPr>
        <w:t>1.2.1 国内研究现状以及发展趋势</w:t>
      </w:r>
      <w:bookmarkEnd w:id="15"/>
    </w:p>
    <w:p w14:paraId="3D4EA15E">
      <w:pPr>
        <w:spacing w:line="440" w:lineRule="exact"/>
        <w:ind w:firstLine="480" w:firstLineChars="200"/>
      </w:pPr>
      <w:r>
        <w:rPr>
          <w:rFonts w:hint="eastAsia"/>
        </w:rPr>
        <w:t>国内关于音频信号可视化的研究主要集中在音乐频谱显示、声音特征提取、嵌入式显示终端以及灯光联动装置等方向。一部分研究更重视声音与图形、色彩、灯光之间的映射关系，强调展示效果和交互体验；另一部分研究则更加关注音频采样、FFT分析、屏幕显示和低成本硬件实现，偏向工程落地。从现有成果来看，基于STM32的频谱灯、音频显示装置和移动端联动系统已经具备一定基础，但部分方案仍存在显示模式单一、参数调节能力不足、噪声处理不够完善等问题。总体来看，国内相关研究正逐步从“能显示”向“显示更稳定、更直观、更易交互”的方向发展，这也为本文课题提供了明确的研究切入点。</w:t>
      </w:r>
    </w:p>
    <w:p w14:paraId="0C915F94">
      <w:pPr>
        <w:pStyle w:val="4"/>
        <w:spacing w:before="120"/>
      </w:pPr>
      <w:bookmarkStart w:id="16" w:name="_Toc198563247"/>
      <w:r>
        <w:rPr>
          <w:rFonts w:hint="eastAsia"/>
        </w:rPr>
        <w:t>1.2.2 国外研究现状以及发展趋势</w:t>
      </w:r>
      <w:bookmarkEnd w:id="16"/>
    </w:p>
    <w:p w14:paraId="3800DE17">
      <w:pPr>
        <w:spacing w:line="440" w:lineRule="exact"/>
        <w:ind w:firstLine="480" w:firstLineChars="200"/>
      </w:pPr>
      <w:r>
        <w:rPr>
          <w:rFonts w:hint="eastAsia"/>
        </w:rPr>
        <w:t>国外在音频分析与可视化领域起步较早，相关研究已从基础波形和频谱显示逐步扩展到短时频谱、时频联合分析、多模态交互和实时动态渲染等方向。在实现平台上，国外较多方案依托 DSP、高性能MCU、单板计算机或图形处理平台，因此在显示效果、算法复杂度和系统联动能力方面往往更为丰富。同时，随着边缘计算和移动互联的发展，越来越多研究开始强调终端侧实时处理、低功耗运行和多终端协同控制。不过，这类方案通常对硬件性能和开发环境要求较高，成本与实现复杂度也相对较大。由此可见，如何在资源有限的微控制器平台上兼顾成本、实时性和交互性，仍然是一个具有实际意义的研究问题。</w:t>
      </w:r>
    </w:p>
    <w:p w14:paraId="1454F040">
      <w:pPr>
        <w:pStyle w:val="3"/>
        <w:spacing w:before="120"/>
      </w:pPr>
      <w:bookmarkStart w:id="17" w:name="_Toc198563248"/>
      <w:r>
        <w:rPr>
          <w:rFonts w:hint="eastAsia"/>
        </w:rPr>
        <w:t>1.3 研究目标与论文内容安排</w:t>
      </w:r>
      <w:bookmarkEnd w:id="17"/>
    </w:p>
    <w:p w14:paraId="1A6F6B95">
      <w:pPr>
        <w:spacing w:line="440" w:lineRule="exact"/>
        <w:ind w:firstLine="480" w:firstLineChars="200"/>
        <w:rPr>
          <w:rFonts w:hint="eastAsia"/>
        </w:rPr>
      </w:pPr>
      <w:r>
        <w:rPr>
          <w:rFonts w:hint="eastAsia"/>
        </w:rPr>
        <w:t>本项目聚焦于设计与实现一种基于STM32的音频信号采集与可视化系统，目标是在较低硬件成本和有限资源条件下，实现音频信号的稳定采集、实时分析、直观显示和便捷交互。系统以STM32F103</w:t>
      </w:r>
      <w:r>
        <w:rPr>
          <w:rFonts w:hint="eastAsia"/>
          <w:lang w:val="en-US" w:eastAsia="zh-CN"/>
        </w:rPr>
        <w:t>C8T6</w:t>
      </w:r>
      <w:r>
        <w:rPr>
          <w:rFonts w:hint="eastAsia"/>
        </w:rPr>
        <w:t>为核心控制器，围绕音频输入、信号预处理、FFT 频谱分析和图形化显示展开设计，要求能够完成时域波形、频域频谱、瀑布图和 VU 电平等多种可视化模式的显示，同时支持 FFT 点数切换、窗函数选择、阈值设置和增强降噪等功能。除板端本地显示外，系统还引入蓝牙通信与 Android 移动端辅助控制机制，用于实现状态同步、参数下发和远程查看，从而提高系统在调试和展示过程中的实用性。具体功能验证和运行效果将在第6章系统测试中进行详细说明。</w:t>
      </w:r>
    </w:p>
    <w:p w14:paraId="4BAFA613">
      <w:pPr>
        <w:spacing w:line="440" w:lineRule="exact"/>
        <w:ind w:firstLine="480" w:firstLineChars="200"/>
        <w:rPr>
          <w:rFonts w:hint="eastAsia"/>
        </w:rPr>
      </w:pPr>
      <w:r>
        <w:rPr>
          <w:rFonts w:hint="eastAsia"/>
        </w:rPr>
        <w:t>对于本项目，本文将围绕系统整体设计方案展开论述，主要包括需求分析、总体方案设计、硬件设计、软件设计以及系统测试等方面，论文内容框架安排如下：</w:t>
      </w:r>
    </w:p>
    <w:p w14:paraId="18FB2C0C">
      <w:pPr>
        <w:spacing w:line="440" w:lineRule="exact"/>
        <w:ind w:firstLine="480" w:firstLineChars="200"/>
        <w:rPr>
          <w:rFonts w:hint="eastAsia"/>
        </w:rPr>
      </w:pPr>
      <w:r>
        <w:rPr>
          <w:rFonts w:hint="eastAsia"/>
        </w:rPr>
        <w:t>第一章为绪论，主要介绍本课题的研究背景、研究意义以及国内外研究现状，并说明本文的研究目标和整体安排；</w:t>
      </w:r>
    </w:p>
    <w:p w14:paraId="1B5A4FC9">
      <w:pPr>
        <w:spacing w:line="440" w:lineRule="exact"/>
        <w:ind w:firstLine="480" w:firstLineChars="200"/>
        <w:rPr>
          <w:rFonts w:hint="eastAsia"/>
        </w:rPr>
      </w:pPr>
      <w:r>
        <w:rPr>
          <w:rFonts w:hint="eastAsia"/>
        </w:rPr>
        <w:t>第二章为需求分析，主要从应用需求、功能需求和非功能需求三个方面对系统建设目标进行梳理；</w:t>
      </w:r>
    </w:p>
    <w:p w14:paraId="629D2AEA">
      <w:pPr>
        <w:spacing w:line="440" w:lineRule="exact"/>
        <w:ind w:firstLine="480" w:firstLineChars="200"/>
        <w:rPr>
          <w:rFonts w:hint="eastAsia"/>
        </w:rPr>
      </w:pPr>
      <w:r>
        <w:rPr>
          <w:rFonts w:hint="eastAsia"/>
        </w:rPr>
        <w:t>第三章为总体方案设计，先对系统整体框架进行介绍，再从主控、显示、通信和处理等方面进行方案选型，并说明开发环境与系统可行性；</w:t>
      </w:r>
    </w:p>
    <w:p w14:paraId="564E2772">
      <w:pPr>
        <w:spacing w:line="440" w:lineRule="exact"/>
        <w:ind w:firstLine="480" w:firstLineChars="200"/>
        <w:rPr>
          <w:rFonts w:hint="eastAsia"/>
        </w:rPr>
      </w:pPr>
      <w:r>
        <w:rPr>
          <w:rFonts w:hint="eastAsia"/>
        </w:rPr>
        <w:t>第四章为系统硬件设计，本章重点介绍 STM32 主控模块、音频采样模块、TFT 显示模块、蓝牙通信模块以及报警与辅助显示模块的设计思路；</w:t>
      </w:r>
    </w:p>
    <w:p w14:paraId="1D457EFE">
      <w:pPr>
        <w:spacing w:line="440" w:lineRule="exact"/>
        <w:ind w:firstLine="480" w:firstLineChars="200"/>
        <w:rPr>
          <w:rFonts w:hint="eastAsia"/>
        </w:rPr>
      </w:pPr>
      <w:r>
        <w:rPr>
          <w:rFonts w:hint="eastAsia"/>
        </w:rPr>
        <w:t>第五章为系统软件设计，主要对音频采样与缓冲机制、信号预处理与降噪、FFT 频谱分析、板端显示逻辑和移动端通信协议进行详细说明；</w:t>
      </w:r>
    </w:p>
    <w:p w14:paraId="19514376">
      <w:pPr>
        <w:spacing w:line="440" w:lineRule="exact"/>
        <w:ind w:firstLine="480" w:firstLineChars="200"/>
        <w:rPr>
          <w:rFonts w:hint="eastAsia"/>
        </w:rPr>
      </w:pPr>
      <w:r>
        <w:rPr>
          <w:rFonts w:hint="eastAsia"/>
        </w:rPr>
        <w:t>第六章为系统测试，本章对系统各项功能进行分模块测试，并结合测试结果对系统运行效果进行分析；</w:t>
      </w:r>
    </w:p>
    <w:p w14:paraId="64590B22">
      <w:pPr>
        <w:spacing w:line="440" w:lineRule="exact"/>
        <w:ind w:firstLine="480" w:firstLineChars="200"/>
        <w:rPr>
          <w:rFonts w:hint="eastAsia"/>
        </w:rPr>
      </w:pPr>
      <w:r>
        <w:rPr>
          <w:rFonts w:hint="eastAsia"/>
        </w:rPr>
        <w:t>第七章为总结与展望，主要对本次毕业设计所完成的工作进行归纳，并针对系统当前存在的不足提出后续优化方向。</w:t>
      </w:r>
    </w:p>
    <w:p w14:paraId="5C028D7E">
      <w:pPr>
        <w:pStyle w:val="2"/>
      </w:pPr>
      <w:bookmarkStart w:id="18" w:name="_Toc198563249"/>
      <w:r>
        <w:rPr>
          <w:rFonts w:hint="eastAsia"/>
        </w:rPr>
        <w:t>第2章  需求分析</w:t>
      </w:r>
      <w:bookmarkEnd w:id="18"/>
    </w:p>
    <w:p w14:paraId="68FB022C">
      <w:pPr>
        <w:pStyle w:val="3"/>
        <w:spacing w:before="120"/>
      </w:pPr>
      <w:bookmarkStart w:id="19" w:name="_Toc198563250"/>
      <w:r>
        <w:rPr>
          <w:rFonts w:hint="eastAsia"/>
        </w:rPr>
        <w:t>2.1 市场需求分析</w:t>
      </w:r>
      <w:bookmarkEnd w:id="19"/>
    </w:p>
    <w:p w14:paraId="32CD510E">
      <w:pPr>
        <w:ind w:firstLine="480" w:firstLineChars="200"/>
        <w:rPr>
          <w:rFonts w:hint="eastAsia"/>
        </w:rPr>
      </w:pPr>
      <w:r>
        <w:rPr>
          <w:rFonts w:hint="eastAsia"/>
        </w:rPr>
        <w:t>随着嵌入式技术、移动互联技术和智能终端设备的持续发展，音频信号采集与可视化系统在教学实验、电子开发、设备调试和小型监测场景中的应用需求逐步增长。传统的音频观测方式大多依赖示波器、频谱仪或上位机软件，这类设备虽然功能较完善，但普遍存在成本较高、体积较大、便携性不足以及现场部署不够灵活等问题。对于高校实验室、毕业设计项目、电子竞赛作品以及中小型开发场景而言，更需要的是一种成本适中、结构紧凑、能够独立运行且操作相对简便的可视化系统。</w:t>
      </w:r>
    </w:p>
    <w:p w14:paraId="7E7B3016">
      <w:pPr>
        <w:ind w:firstLine="480" w:firstLineChars="200"/>
        <w:rPr>
          <w:rFonts w:hint="eastAsia"/>
        </w:rPr>
      </w:pPr>
      <w:r>
        <w:rPr>
          <w:rFonts w:hint="eastAsia"/>
        </w:rPr>
        <w:t>从产品定位来看，本项目基于 STM32 微控制器构建音频信号采集与可视化系统，能够完成音频采样、FFT 频谱分析、本地图形显示和蓝牙辅助交互等功能，具有低成本、低功耗、可扩展和易于集成等特点。与传统仪器相比，该系统更强调“够用、直观、便携”，适用于课堂演示、课程实验、毕业设计答辩、创客开发以及基础音频状态观测等场景。尤其是在实际调试过程中，用户往往更关注波形是否稳定、频谱主峰是否清晰、参数切换是否及时生效，而不是单纯获取一组抽象的原始数据，因此带有屏幕显示和移动端联动能力的小型系统更符合实际使用习惯。</w:t>
      </w:r>
    </w:p>
    <w:p w14:paraId="4136A473">
      <w:pPr>
        <w:ind w:firstLine="480" w:firstLineChars="200"/>
      </w:pPr>
      <w:r>
        <w:rPr>
          <w:rFonts w:hint="eastAsia"/>
        </w:rPr>
        <w:t>从用户需求角度分析，家庭和个人开发者更倾向于选择性价比较高、接线简单、显示直观的设备；高校和实验室用户更重视系统展示效果、教学适用性以及功能完整性；而面向小型项目验证和设备辅助监测的用户，则更加看重系统稳定性、参数可调性和现场部署便利性。综合来看，随着低成本智能硬件应用范围不断扩大，以及教学演示和嵌入式调试对直观化工具需求的增加，基于 STM32 的音频信号采集与可视化系统在实际应用中具有较明确的市场需求和一定的发展空间。</w:t>
      </w:r>
      <w:bookmarkStart w:id="20" w:name="_Toc198563251"/>
    </w:p>
    <w:p w14:paraId="787AAABA">
      <w:pPr>
        <w:pStyle w:val="3"/>
        <w:spacing w:before="120"/>
      </w:pPr>
      <w:r>
        <w:rPr>
          <w:rFonts w:hint="eastAsia"/>
        </w:rPr>
        <w:t>2.2 功能需求分析</w:t>
      </w:r>
      <w:bookmarkEnd w:id="20"/>
    </w:p>
    <w:p w14:paraId="14F48C6C">
      <w:pPr>
        <w:spacing w:line="440" w:lineRule="exact"/>
        <w:ind w:firstLine="480" w:firstLineChars="200"/>
        <w:rPr>
          <w:rFonts w:hint="eastAsia" w:eastAsia="宋体"/>
          <w:lang w:val="en-US" w:eastAsia="zh-CN"/>
        </w:rPr>
      </w:pPr>
      <w:r>
        <w:rPr>
          <w:rFonts w:hint="eastAsia"/>
        </w:rPr>
        <w:t>结合嵌入式音频处理系统的设计要求和本项目的实际目标，功能需求可从以下几个方面进行分析</w:t>
      </w:r>
      <w:r>
        <w:rPr>
          <w:rFonts w:hint="eastAsia"/>
          <w:lang w:eastAsia="zh-CN"/>
        </w:rPr>
        <w:t>。</w:t>
      </w:r>
    </w:p>
    <w:p w14:paraId="04BBBF9D">
      <w:pPr>
        <w:spacing w:line="440" w:lineRule="exact"/>
        <w:ind w:firstLine="480" w:firstLineChars="200"/>
      </w:pPr>
      <w:r>
        <w:rPr>
          <w:rFonts w:hint="eastAsia"/>
        </w:rPr>
        <w:t>1.系统核心功能定义：</w:t>
      </w:r>
    </w:p>
    <w:p w14:paraId="424361CC">
      <w:pPr>
        <w:spacing w:line="440" w:lineRule="exact"/>
        <w:ind w:firstLine="480" w:firstLineChars="200"/>
        <w:rPr>
          <w:rFonts w:hint="eastAsia"/>
          <w:lang w:eastAsia="zh-CN"/>
        </w:rPr>
      </w:pPr>
      <w:r>
        <w:rPr>
          <w:rFonts w:hint="eastAsia"/>
        </w:rPr>
        <w:t>（1）音频采样功能：系统应能够连续采集外部音频信号，并通过 ADC 获取稳定数据，为后续分析提供输入基础。为保证采样连续性，系统采用定时器触发与 DMA 搬运相结合的方式完成数据采集</w:t>
      </w:r>
      <w:r>
        <w:rPr>
          <w:rFonts w:hint="eastAsia"/>
          <w:lang w:eastAsia="zh-CN"/>
        </w:rPr>
        <w:t>；</w:t>
      </w:r>
    </w:p>
    <w:p w14:paraId="2C209E76">
      <w:pPr>
        <w:spacing w:line="440" w:lineRule="exact"/>
        <w:ind w:firstLine="480" w:firstLineChars="200"/>
      </w:pPr>
      <w:r>
        <w:rPr>
          <w:rFonts w:hint="eastAsia"/>
        </w:rPr>
        <w:t>（2）信号处理功能：系统应具备基础预处理能力，包括直流偏置抑制、电源噪声削弱和可选增强降噪，以减少底噪和异常波动对显示结果的影响；</w:t>
      </w:r>
    </w:p>
    <w:p w14:paraId="7A6BE796">
      <w:pPr>
        <w:spacing w:line="440" w:lineRule="exact"/>
        <w:ind w:firstLine="480" w:firstLineChars="200"/>
        <w:rPr>
          <w:rFonts w:hint="eastAsia" w:eastAsia="宋体"/>
          <w:lang w:eastAsia="zh-CN"/>
        </w:rPr>
      </w:pPr>
      <w:r>
        <w:rPr>
          <w:rFonts w:hint="eastAsia"/>
        </w:rPr>
        <w:t>（3）频谱分析功能：系统应能够对采样数据进行 FFT 运算，提取音频信号的频率分布特征，并支持不同 FFT 点数和窗函数切换，以适应不同分析需求</w:t>
      </w:r>
      <w:r>
        <w:rPr>
          <w:rFonts w:hint="eastAsia"/>
          <w:lang w:eastAsia="zh-CN"/>
        </w:rPr>
        <w:t>；</w:t>
      </w:r>
    </w:p>
    <w:p w14:paraId="14A8ACEB">
      <w:pPr>
        <w:spacing w:line="440" w:lineRule="exact"/>
        <w:ind w:firstLine="480" w:firstLineChars="200"/>
        <w:rPr>
          <w:rFonts w:hint="eastAsia"/>
        </w:rPr>
      </w:pPr>
      <w:r>
        <w:rPr>
          <w:rFonts w:hint="eastAsia"/>
        </w:rPr>
        <w:t>（4）图形显示功能：系统应支持时域波形、频域频谱、瀑布图和 VU 电平四种显示模式，既能反映瞬时信号状态，也能展示频率成分和整体能量变化。</w:t>
      </w:r>
    </w:p>
    <w:p w14:paraId="4584A558">
      <w:pPr>
        <w:spacing w:line="440" w:lineRule="exact"/>
        <w:ind w:firstLine="480" w:firstLineChars="200"/>
        <w:rPr>
          <w:rFonts w:hint="eastAsia"/>
        </w:rPr>
      </w:pPr>
      <w:r>
        <w:rPr>
          <w:rFonts w:hint="eastAsia"/>
        </w:rPr>
        <w:t>（5）参数调节功能：系统应支持显示模式切换、FFT 点数切换、窗函数切换、显示宽度调节、阈值设置以及增强降噪开关控制，使用户能够根据观察目的灵活调整系统状态。</w:t>
      </w:r>
    </w:p>
    <w:p w14:paraId="0A011BE8">
      <w:pPr>
        <w:spacing w:line="440" w:lineRule="exact"/>
        <w:ind w:firstLine="480" w:firstLineChars="200"/>
        <w:rPr>
          <w:rFonts w:hint="eastAsia"/>
        </w:rPr>
      </w:pPr>
      <w:r>
        <w:rPr>
          <w:rFonts w:hint="eastAsia"/>
        </w:rPr>
        <w:t>（6）无线通信功能：系统应支持蓝牙数据通信，能够与 Android 移动端建立连接，实现状态同步、参数下发和图形辅助显示，从而提高调试和演示的便利性。</w:t>
      </w:r>
    </w:p>
    <w:p w14:paraId="202A3A4A">
      <w:pPr>
        <w:spacing w:line="440" w:lineRule="exact"/>
        <w:ind w:firstLine="480" w:firstLineChars="200"/>
        <w:rPr>
          <w:rFonts w:hint="eastAsia"/>
        </w:rPr>
      </w:pPr>
      <w:r>
        <w:rPr>
          <w:rFonts w:hint="eastAsia"/>
        </w:rPr>
        <w:t>（7）报警与辅助显示功能：系统应具备阈值报警能力，当音频信号强度超过设定阈值时触发蜂鸣器提示；同时利用 LED 电平条辅助显示信号强弱，提高系统的直观性。</w:t>
      </w:r>
    </w:p>
    <w:p w14:paraId="18A053B7">
      <w:pPr>
        <w:spacing w:line="440" w:lineRule="exact"/>
        <w:ind w:firstLine="480" w:firstLineChars="200"/>
      </w:pPr>
      <w:r>
        <w:rPr>
          <w:rFonts w:hint="eastAsia"/>
        </w:rPr>
        <w:t>2.系统时序控制</w:t>
      </w:r>
      <w:r>
        <w:rPr>
          <w:rFonts w:hint="eastAsia"/>
          <w:lang w:val="en-US" w:eastAsia="zh-CN"/>
        </w:rPr>
        <w:t>要求</w:t>
      </w:r>
      <w:r>
        <w:rPr>
          <w:rFonts w:hint="eastAsia"/>
        </w:rPr>
        <w:t>：</w:t>
      </w:r>
    </w:p>
    <w:p w14:paraId="59B84E73">
      <w:pPr>
        <w:spacing w:line="440" w:lineRule="exact"/>
        <w:ind w:firstLine="480" w:firstLineChars="200"/>
      </w:pPr>
    </w:p>
    <w:p w14:paraId="0EA669BF">
      <w:pPr>
        <w:spacing w:line="440" w:lineRule="exact"/>
        <w:jc w:val="center"/>
        <w:rPr>
          <w:sz w:val="21"/>
          <w:szCs w:val="21"/>
        </w:rPr>
      </w:pPr>
      <w:r>
        <w:rPr>
          <w:rFonts w:hint="eastAsia"/>
          <w:sz w:val="21"/>
          <w:szCs w:val="21"/>
        </w:rPr>
        <w:t>表2.3  时序控制</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52"/>
        <w:gridCol w:w="4027"/>
      </w:tblGrid>
      <w:tr w14:paraId="6C46F0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tcBorders>
              <w:top w:val="single" w:color="auto" w:sz="12" w:space="0"/>
              <w:bottom w:val="single" w:color="auto" w:sz="4" w:space="0"/>
            </w:tcBorders>
            <w:shd w:val="clear" w:color="auto" w:fill="auto"/>
          </w:tcPr>
          <w:p w14:paraId="2133814E">
            <w:pPr>
              <w:widowControl w:val="0"/>
              <w:spacing w:line="440" w:lineRule="exact"/>
              <w:jc w:val="center"/>
              <w:rPr>
                <w:sz w:val="21"/>
                <w:szCs w:val="21"/>
              </w:rPr>
            </w:pPr>
            <w:r>
              <w:rPr>
                <w:rFonts w:hint="eastAsia"/>
                <w:sz w:val="21"/>
                <w:szCs w:val="21"/>
              </w:rPr>
              <w:t>工作流程时序</w:t>
            </w:r>
          </w:p>
        </w:tc>
        <w:tc>
          <w:tcPr>
            <w:tcW w:w="4027" w:type="dxa"/>
            <w:tcBorders>
              <w:top w:val="single" w:color="auto" w:sz="12" w:space="0"/>
              <w:bottom w:val="single" w:color="auto" w:sz="4" w:space="0"/>
            </w:tcBorders>
            <w:shd w:val="clear" w:color="auto" w:fill="auto"/>
          </w:tcPr>
          <w:p w14:paraId="4FF45AA9">
            <w:pPr>
              <w:widowControl w:val="0"/>
              <w:spacing w:line="440" w:lineRule="exact"/>
              <w:jc w:val="center"/>
              <w:rPr>
                <w:rFonts w:hint="default" w:eastAsia="宋体"/>
                <w:sz w:val="21"/>
                <w:szCs w:val="21"/>
                <w:lang w:val="en-US" w:eastAsia="zh-CN"/>
              </w:rPr>
            </w:pPr>
            <w:r>
              <w:rPr>
                <w:rFonts w:hint="eastAsia"/>
                <w:sz w:val="21"/>
                <w:szCs w:val="21"/>
                <w:lang w:val="en-US" w:eastAsia="zh-CN"/>
              </w:rPr>
              <w:t>指标要求</w:t>
            </w:r>
          </w:p>
        </w:tc>
      </w:tr>
      <w:tr w14:paraId="1D98E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tcBorders>
              <w:top w:val="single" w:color="auto" w:sz="4" w:space="0"/>
            </w:tcBorders>
            <w:shd w:val="clear" w:color="auto" w:fill="auto"/>
          </w:tcPr>
          <w:p w14:paraId="7889B476">
            <w:pPr>
              <w:widowControl w:val="0"/>
              <w:spacing w:line="440" w:lineRule="exact"/>
              <w:jc w:val="center"/>
              <w:rPr>
                <w:rFonts w:hint="default" w:eastAsia="宋体"/>
                <w:sz w:val="21"/>
                <w:szCs w:val="21"/>
                <w:lang w:val="en-US" w:eastAsia="zh-CN"/>
              </w:rPr>
            </w:pPr>
            <w:r>
              <w:rPr>
                <w:rFonts w:hint="eastAsia"/>
                <w:sz w:val="21"/>
                <w:szCs w:val="21"/>
                <w:lang w:val="en-US" w:eastAsia="zh-CN"/>
              </w:rPr>
              <w:t>音频采样过程</w:t>
            </w:r>
          </w:p>
        </w:tc>
        <w:tc>
          <w:tcPr>
            <w:tcW w:w="4027" w:type="dxa"/>
            <w:tcBorders>
              <w:top w:val="single" w:color="auto" w:sz="4" w:space="0"/>
            </w:tcBorders>
            <w:shd w:val="clear" w:color="auto" w:fill="auto"/>
          </w:tcPr>
          <w:p w14:paraId="55DD15C4">
            <w:pPr>
              <w:widowControl w:val="0"/>
              <w:spacing w:line="440" w:lineRule="exact"/>
              <w:jc w:val="center"/>
              <w:rPr>
                <w:rFonts w:hint="default" w:eastAsia="宋体"/>
                <w:sz w:val="21"/>
                <w:szCs w:val="21"/>
                <w:lang w:val="en-US" w:eastAsia="zh-CN"/>
              </w:rPr>
            </w:pPr>
            <w:r>
              <w:rPr>
                <w:rFonts w:hint="eastAsia"/>
                <w:sz w:val="21"/>
                <w:szCs w:val="21"/>
                <w:lang w:val="en-US" w:eastAsia="zh-CN"/>
              </w:rPr>
              <w:t>连续稳定，无明显丢帧</w:t>
            </w:r>
          </w:p>
        </w:tc>
      </w:tr>
      <w:tr w14:paraId="39A7B7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0DD493F2">
            <w:pPr>
              <w:widowControl w:val="0"/>
              <w:spacing w:line="440" w:lineRule="exact"/>
              <w:jc w:val="center"/>
              <w:rPr>
                <w:rFonts w:hint="default" w:eastAsia="宋体"/>
                <w:sz w:val="21"/>
                <w:szCs w:val="21"/>
                <w:lang w:val="en-US" w:eastAsia="zh-CN"/>
              </w:rPr>
            </w:pPr>
            <w:r>
              <w:rPr>
                <w:rFonts w:hint="eastAsia"/>
                <w:sz w:val="21"/>
                <w:szCs w:val="21"/>
                <w:lang w:val="en-US" w:eastAsia="zh-CN"/>
              </w:rPr>
              <w:t>界面模式切换响应</w:t>
            </w:r>
          </w:p>
        </w:tc>
        <w:tc>
          <w:tcPr>
            <w:tcW w:w="4027" w:type="dxa"/>
            <w:shd w:val="clear" w:color="auto" w:fill="auto"/>
          </w:tcPr>
          <w:p w14:paraId="2F3C5C25">
            <w:pPr>
              <w:widowControl w:val="0"/>
              <w:spacing w:line="440" w:lineRule="exact"/>
              <w:jc w:val="center"/>
              <w:rPr>
                <w:rFonts w:hint="default" w:eastAsia="宋体"/>
                <w:sz w:val="21"/>
                <w:szCs w:val="21"/>
                <w:lang w:val="en-US" w:eastAsia="zh-CN"/>
              </w:rPr>
            </w:pPr>
            <w:r>
              <w:rPr>
                <w:rFonts w:hint="eastAsia"/>
                <w:sz w:val="21"/>
                <w:szCs w:val="21"/>
                <w:lang w:val="en-US" w:eastAsia="zh-CN"/>
              </w:rPr>
              <w:t>尽量平滑，无明显闪屏</w:t>
            </w:r>
          </w:p>
        </w:tc>
      </w:tr>
      <w:tr w14:paraId="123E5D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724614AB">
            <w:pPr>
              <w:widowControl w:val="0"/>
              <w:spacing w:line="440" w:lineRule="exact"/>
              <w:jc w:val="center"/>
              <w:rPr>
                <w:rFonts w:hint="default" w:eastAsia="宋体"/>
                <w:sz w:val="21"/>
                <w:szCs w:val="21"/>
                <w:lang w:val="en-US" w:eastAsia="zh-CN"/>
              </w:rPr>
            </w:pPr>
            <w:r>
              <w:rPr>
                <w:rFonts w:hint="eastAsia"/>
                <w:sz w:val="21"/>
                <w:szCs w:val="21"/>
                <w:lang w:val="en-US" w:eastAsia="zh-CN"/>
              </w:rPr>
              <w:t>参数修改生效时间</w:t>
            </w:r>
          </w:p>
        </w:tc>
        <w:tc>
          <w:tcPr>
            <w:tcW w:w="4027" w:type="dxa"/>
            <w:shd w:val="clear" w:color="auto" w:fill="auto"/>
          </w:tcPr>
          <w:p w14:paraId="0593CD79">
            <w:pPr>
              <w:widowControl w:val="0"/>
              <w:spacing w:line="440" w:lineRule="exact"/>
              <w:jc w:val="center"/>
              <w:rPr>
                <w:rFonts w:hint="default" w:eastAsia="宋体"/>
                <w:sz w:val="21"/>
                <w:szCs w:val="21"/>
                <w:lang w:val="en-US" w:eastAsia="zh-CN"/>
              </w:rPr>
            </w:pPr>
            <w:r>
              <w:rPr>
                <w:rFonts w:hint="eastAsia"/>
                <w:sz w:val="21"/>
                <w:szCs w:val="21"/>
                <w:lang w:val="en-US" w:eastAsia="zh-CN"/>
              </w:rPr>
              <w:t>尽量控制在短时间内完成更新</w:t>
            </w:r>
          </w:p>
        </w:tc>
      </w:tr>
      <w:tr w14:paraId="4BC724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tcBorders>
              <w:bottom w:val="single" w:color="auto" w:sz="12" w:space="0"/>
            </w:tcBorders>
            <w:shd w:val="clear" w:color="auto" w:fill="auto"/>
          </w:tcPr>
          <w:p w14:paraId="7D92B021">
            <w:pPr>
              <w:widowControl w:val="0"/>
              <w:spacing w:line="440" w:lineRule="exact"/>
              <w:jc w:val="center"/>
              <w:rPr>
                <w:rFonts w:hint="default" w:eastAsia="宋体"/>
                <w:sz w:val="21"/>
                <w:szCs w:val="21"/>
                <w:lang w:val="en-US" w:eastAsia="zh-CN"/>
              </w:rPr>
            </w:pPr>
            <w:r>
              <w:rPr>
                <w:rFonts w:hint="eastAsia"/>
                <w:sz w:val="21"/>
                <w:szCs w:val="21"/>
                <w:lang w:val="en-US" w:eastAsia="zh-CN"/>
              </w:rPr>
              <w:t>蓝牙状态同步</w:t>
            </w:r>
          </w:p>
        </w:tc>
        <w:tc>
          <w:tcPr>
            <w:tcW w:w="4027" w:type="dxa"/>
            <w:tcBorders>
              <w:bottom w:val="single" w:color="auto" w:sz="12" w:space="0"/>
            </w:tcBorders>
            <w:shd w:val="clear" w:color="auto" w:fill="auto"/>
          </w:tcPr>
          <w:p w14:paraId="7F7BCF28">
            <w:pPr>
              <w:widowControl w:val="0"/>
              <w:spacing w:line="440" w:lineRule="exact"/>
              <w:jc w:val="center"/>
              <w:rPr>
                <w:rFonts w:hint="default" w:eastAsia="宋体"/>
                <w:sz w:val="21"/>
                <w:szCs w:val="21"/>
                <w:lang w:val="en-US" w:eastAsia="zh-CN"/>
              </w:rPr>
            </w:pPr>
            <w:r>
              <w:rPr>
                <w:rFonts w:hint="eastAsia"/>
                <w:sz w:val="21"/>
                <w:szCs w:val="21"/>
                <w:lang w:val="en-US" w:eastAsia="zh-CN"/>
              </w:rPr>
              <w:t>应与板端当前状态保持一致</w:t>
            </w:r>
          </w:p>
        </w:tc>
      </w:tr>
    </w:tbl>
    <w:p w14:paraId="31CC2211">
      <w:pPr>
        <w:ind w:firstLine="480" w:firstLineChars="200"/>
      </w:pPr>
    </w:p>
    <w:p w14:paraId="6C8A9F58">
      <w:pPr>
        <w:spacing w:line="440" w:lineRule="exact"/>
        <w:ind w:firstLine="480" w:firstLineChars="200"/>
        <w:rPr>
          <w:rFonts w:hint="eastAsia"/>
          <w:lang w:val="en-US" w:eastAsia="zh-CN"/>
        </w:rPr>
      </w:pPr>
    </w:p>
    <w:p w14:paraId="0E012B79">
      <w:pPr>
        <w:spacing w:line="440" w:lineRule="exact"/>
        <w:ind w:firstLine="480" w:firstLineChars="200"/>
        <w:rPr>
          <w:rFonts w:hint="eastAsia"/>
          <w:lang w:val="en-US" w:eastAsia="zh-CN"/>
        </w:rPr>
      </w:pPr>
    </w:p>
    <w:p w14:paraId="75B27D99">
      <w:pPr>
        <w:spacing w:line="440" w:lineRule="exact"/>
        <w:ind w:firstLine="480" w:firstLineChars="200"/>
        <w:rPr>
          <w:rFonts w:hint="eastAsia"/>
          <w:lang w:val="en-US" w:eastAsia="zh-CN"/>
        </w:rPr>
      </w:pPr>
    </w:p>
    <w:p w14:paraId="75263C79">
      <w:pPr>
        <w:spacing w:line="440" w:lineRule="exact"/>
        <w:ind w:firstLine="480" w:firstLineChars="200"/>
        <w:rPr>
          <w:rFonts w:hint="eastAsia"/>
          <w:lang w:val="en-US" w:eastAsia="zh-CN"/>
        </w:rPr>
      </w:pPr>
    </w:p>
    <w:p w14:paraId="476E555D">
      <w:pPr>
        <w:spacing w:line="440" w:lineRule="exact"/>
        <w:ind w:firstLine="480" w:firstLineChars="200"/>
        <w:rPr>
          <w:rFonts w:hint="eastAsia"/>
          <w:lang w:val="en-US" w:eastAsia="zh-CN"/>
        </w:rPr>
      </w:pPr>
    </w:p>
    <w:p w14:paraId="3FED1DC7">
      <w:pPr>
        <w:spacing w:line="440" w:lineRule="exact"/>
        <w:ind w:firstLine="480" w:firstLineChars="200"/>
      </w:pPr>
      <w:r>
        <w:rPr>
          <w:rFonts w:hint="eastAsia"/>
          <w:lang w:val="en-US" w:eastAsia="zh-CN"/>
        </w:rPr>
        <w:t>3</w:t>
      </w:r>
      <w:r>
        <w:rPr>
          <w:rFonts w:hint="eastAsia"/>
        </w:rPr>
        <w:t>.性能指标要求：</w:t>
      </w:r>
    </w:p>
    <w:p w14:paraId="139D8D62">
      <w:pPr>
        <w:spacing w:line="440" w:lineRule="exact"/>
        <w:ind w:firstLine="480" w:firstLineChars="200"/>
      </w:pPr>
    </w:p>
    <w:p w14:paraId="339AB4E9">
      <w:pPr>
        <w:spacing w:line="440" w:lineRule="exact"/>
        <w:jc w:val="center"/>
        <w:rPr>
          <w:sz w:val="21"/>
          <w:szCs w:val="21"/>
        </w:rPr>
      </w:pPr>
      <w:r>
        <w:rPr>
          <w:rFonts w:hint="eastAsia"/>
          <w:sz w:val="21"/>
          <w:szCs w:val="21"/>
        </w:rPr>
        <w:t>表2.4  各项指标要求</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52"/>
        <w:gridCol w:w="4027"/>
      </w:tblGrid>
      <w:tr w14:paraId="31EC39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tcBorders>
              <w:top w:val="single" w:color="auto" w:sz="12" w:space="0"/>
              <w:bottom w:val="single" w:color="auto" w:sz="4" w:space="0"/>
            </w:tcBorders>
            <w:shd w:val="clear" w:color="auto" w:fill="auto"/>
          </w:tcPr>
          <w:p w14:paraId="511B19DF">
            <w:pPr>
              <w:widowControl w:val="0"/>
              <w:spacing w:line="440" w:lineRule="exact"/>
              <w:jc w:val="center"/>
              <w:rPr>
                <w:sz w:val="21"/>
                <w:szCs w:val="21"/>
              </w:rPr>
            </w:pPr>
            <w:r>
              <w:rPr>
                <w:rFonts w:hint="eastAsia"/>
                <w:sz w:val="21"/>
                <w:szCs w:val="21"/>
              </w:rPr>
              <w:t>指标项</w:t>
            </w:r>
          </w:p>
        </w:tc>
        <w:tc>
          <w:tcPr>
            <w:tcW w:w="4027" w:type="dxa"/>
            <w:tcBorders>
              <w:top w:val="single" w:color="auto" w:sz="12" w:space="0"/>
              <w:bottom w:val="single" w:color="auto" w:sz="4" w:space="0"/>
            </w:tcBorders>
            <w:shd w:val="clear" w:color="auto" w:fill="auto"/>
          </w:tcPr>
          <w:p w14:paraId="17BC67F1">
            <w:pPr>
              <w:widowControl w:val="0"/>
              <w:spacing w:line="440" w:lineRule="exact"/>
              <w:jc w:val="center"/>
              <w:rPr>
                <w:sz w:val="21"/>
                <w:szCs w:val="21"/>
              </w:rPr>
            </w:pPr>
            <w:r>
              <w:rPr>
                <w:rFonts w:hint="eastAsia"/>
                <w:sz w:val="21"/>
                <w:szCs w:val="21"/>
              </w:rPr>
              <w:t>参数要求</w:t>
            </w:r>
          </w:p>
        </w:tc>
      </w:tr>
      <w:tr w14:paraId="3F9E89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tcBorders>
              <w:top w:val="single" w:color="auto" w:sz="4" w:space="0"/>
            </w:tcBorders>
            <w:shd w:val="clear" w:color="auto" w:fill="auto"/>
          </w:tcPr>
          <w:p w14:paraId="4E68CE7B">
            <w:pPr>
              <w:widowControl w:val="0"/>
              <w:spacing w:line="440" w:lineRule="exact"/>
              <w:jc w:val="center"/>
              <w:rPr>
                <w:rFonts w:hint="default" w:eastAsia="宋体"/>
                <w:sz w:val="21"/>
                <w:szCs w:val="21"/>
                <w:lang w:val="en-US" w:eastAsia="zh-CN"/>
              </w:rPr>
            </w:pPr>
            <w:r>
              <w:rPr>
                <w:rFonts w:hint="eastAsia"/>
                <w:sz w:val="21"/>
                <w:szCs w:val="21"/>
                <w:lang w:val="en-US" w:eastAsia="zh-CN"/>
              </w:rPr>
              <w:t>音频采样率</w:t>
            </w:r>
          </w:p>
        </w:tc>
        <w:tc>
          <w:tcPr>
            <w:tcW w:w="4027" w:type="dxa"/>
            <w:tcBorders>
              <w:top w:val="single" w:color="auto" w:sz="4" w:space="0"/>
            </w:tcBorders>
            <w:shd w:val="clear" w:color="auto" w:fill="auto"/>
          </w:tcPr>
          <w:p w14:paraId="25C632FB">
            <w:pPr>
              <w:widowControl w:val="0"/>
              <w:spacing w:line="440" w:lineRule="exact"/>
              <w:jc w:val="center"/>
              <w:rPr>
                <w:rFonts w:hint="default" w:eastAsia="宋体"/>
                <w:sz w:val="21"/>
                <w:szCs w:val="21"/>
                <w:lang w:val="en-US" w:eastAsia="zh-CN"/>
              </w:rPr>
            </w:pPr>
            <w:r>
              <w:rPr>
                <w:rFonts w:hint="eastAsia"/>
                <w:sz w:val="21"/>
                <w:szCs w:val="21"/>
                <w:lang w:val="en-US" w:eastAsia="zh-CN"/>
              </w:rPr>
              <w:t>8kHz</w:t>
            </w:r>
          </w:p>
        </w:tc>
      </w:tr>
      <w:tr w14:paraId="62A0C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3FFC5E3C">
            <w:pPr>
              <w:widowControl w:val="0"/>
              <w:spacing w:line="440" w:lineRule="exact"/>
              <w:jc w:val="center"/>
              <w:rPr>
                <w:rFonts w:hint="default" w:eastAsia="宋体"/>
                <w:sz w:val="21"/>
                <w:szCs w:val="21"/>
                <w:lang w:val="en-US" w:eastAsia="zh-CN"/>
              </w:rPr>
            </w:pPr>
            <w:r>
              <w:rPr>
                <w:rFonts w:hint="eastAsia"/>
                <w:sz w:val="21"/>
                <w:szCs w:val="21"/>
                <w:lang w:val="en-US" w:eastAsia="zh-CN"/>
              </w:rPr>
              <w:t>显示模式</w:t>
            </w:r>
          </w:p>
        </w:tc>
        <w:tc>
          <w:tcPr>
            <w:tcW w:w="4027" w:type="dxa"/>
            <w:shd w:val="clear" w:color="auto" w:fill="auto"/>
          </w:tcPr>
          <w:p w14:paraId="4FB80B92">
            <w:pPr>
              <w:widowControl w:val="0"/>
              <w:spacing w:line="440" w:lineRule="exact"/>
              <w:jc w:val="center"/>
              <w:rPr>
                <w:sz w:val="21"/>
                <w:szCs w:val="21"/>
              </w:rPr>
            </w:pPr>
            <w:r>
              <w:rPr>
                <w:sz w:val="21"/>
                <w:szCs w:val="21"/>
              </w:rPr>
              <w:t>支持波形、频谱、瀑布图、VU 电平</w:t>
            </w:r>
          </w:p>
        </w:tc>
      </w:tr>
      <w:tr w14:paraId="5B5370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4E51F884">
            <w:pPr>
              <w:widowControl w:val="0"/>
              <w:spacing w:line="440" w:lineRule="exact"/>
              <w:jc w:val="center"/>
              <w:rPr>
                <w:sz w:val="21"/>
                <w:szCs w:val="21"/>
              </w:rPr>
            </w:pPr>
            <w:r>
              <w:rPr>
                <w:sz w:val="21"/>
                <w:szCs w:val="21"/>
              </w:rPr>
              <w:t>FFT 点数</w:t>
            </w:r>
          </w:p>
        </w:tc>
        <w:tc>
          <w:tcPr>
            <w:tcW w:w="4027" w:type="dxa"/>
            <w:shd w:val="clear" w:color="auto" w:fill="auto"/>
          </w:tcPr>
          <w:p w14:paraId="39B7CD80">
            <w:pPr>
              <w:widowControl w:val="0"/>
              <w:spacing w:line="440" w:lineRule="exact"/>
              <w:jc w:val="center"/>
              <w:rPr>
                <w:sz w:val="21"/>
                <w:szCs w:val="21"/>
              </w:rPr>
            </w:pPr>
            <w:r>
              <w:rPr>
                <w:sz w:val="21"/>
                <w:szCs w:val="21"/>
              </w:rPr>
              <w:t>支持 64、128、256 三档切换</w:t>
            </w:r>
          </w:p>
        </w:tc>
      </w:tr>
      <w:tr w14:paraId="2130EC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2B0C1582">
            <w:pPr>
              <w:widowControl w:val="0"/>
              <w:spacing w:line="440" w:lineRule="exact"/>
              <w:jc w:val="center"/>
              <w:rPr>
                <w:sz w:val="21"/>
                <w:szCs w:val="21"/>
              </w:rPr>
            </w:pPr>
            <w:r>
              <w:rPr>
                <w:sz w:val="21"/>
                <w:szCs w:val="21"/>
              </w:rPr>
              <w:t>窗函数</w:t>
            </w:r>
          </w:p>
        </w:tc>
        <w:tc>
          <w:tcPr>
            <w:tcW w:w="4027" w:type="dxa"/>
            <w:shd w:val="clear" w:color="auto" w:fill="auto"/>
          </w:tcPr>
          <w:p w14:paraId="09A1D9E5">
            <w:pPr>
              <w:widowControl w:val="0"/>
              <w:spacing w:line="440" w:lineRule="exact"/>
              <w:jc w:val="center"/>
              <w:rPr>
                <w:sz w:val="21"/>
                <w:szCs w:val="21"/>
              </w:rPr>
            </w:pPr>
            <w:r>
              <w:rPr>
                <w:sz w:val="21"/>
                <w:szCs w:val="21"/>
              </w:rPr>
              <w:t>支持 RECT、HAMM、HANN、BLKM</w:t>
            </w:r>
          </w:p>
        </w:tc>
      </w:tr>
      <w:tr w14:paraId="07629F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1F7B9978">
            <w:pPr>
              <w:widowControl w:val="0"/>
              <w:spacing w:line="440" w:lineRule="exact"/>
              <w:jc w:val="center"/>
              <w:rPr>
                <w:rFonts w:hint="eastAsia"/>
                <w:sz w:val="21"/>
                <w:szCs w:val="21"/>
              </w:rPr>
            </w:pPr>
            <w:r>
              <w:rPr>
                <w:rFonts w:hint="eastAsia"/>
                <w:sz w:val="21"/>
                <w:szCs w:val="21"/>
              </w:rPr>
              <w:t>显示分辨率</w:t>
            </w:r>
          </w:p>
        </w:tc>
        <w:tc>
          <w:tcPr>
            <w:tcW w:w="4027" w:type="dxa"/>
            <w:shd w:val="clear" w:color="auto" w:fill="auto"/>
          </w:tcPr>
          <w:p w14:paraId="02519185">
            <w:pPr>
              <w:widowControl w:val="0"/>
              <w:spacing w:line="440" w:lineRule="exact"/>
              <w:jc w:val="center"/>
              <w:rPr>
                <w:rFonts w:hint="eastAsia"/>
                <w:sz w:val="21"/>
                <w:szCs w:val="21"/>
              </w:rPr>
            </w:pPr>
            <w:r>
              <w:rPr>
                <w:rFonts w:hint="eastAsia"/>
                <w:sz w:val="21"/>
                <w:szCs w:val="21"/>
              </w:rPr>
              <w:t>240×320</w:t>
            </w:r>
          </w:p>
        </w:tc>
      </w:tr>
      <w:tr w14:paraId="64F7D2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200EA574">
            <w:pPr>
              <w:widowControl w:val="0"/>
              <w:spacing w:line="440" w:lineRule="exact"/>
              <w:jc w:val="center"/>
              <w:rPr>
                <w:rFonts w:hint="eastAsia"/>
                <w:sz w:val="21"/>
                <w:szCs w:val="21"/>
              </w:rPr>
            </w:pPr>
            <w:r>
              <w:rPr>
                <w:rFonts w:hint="eastAsia"/>
                <w:sz w:val="21"/>
                <w:szCs w:val="21"/>
              </w:rPr>
              <w:t>通信方式</w:t>
            </w:r>
          </w:p>
        </w:tc>
        <w:tc>
          <w:tcPr>
            <w:tcW w:w="4027" w:type="dxa"/>
            <w:shd w:val="clear" w:color="auto" w:fill="auto"/>
          </w:tcPr>
          <w:p w14:paraId="75FDCA60">
            <w:pPr>
              <w:widowControl w:val="0"/>
              <w:spacing w:line="440" w:lineRule="exact"/>
              <w:jc w:val="center"/>
              <w:rPr>
                <w:rFonts w:hint="eastAsia"/>
                <w:sz w:val="21"/>
                <w:szCs w:val="21"/>
              </w:rPr>
            </w:pPr>
            <w:r>
              <w:rPr>
                <w:rFonts w:hint="eastAsia"/>
                <w:sz w:val="21"/>
                <w:szCs w:val="21"/>
              </w:rPr>
              <w:t>支持蓝牙状态同步与参数控制</w:t>
            </w:r>
          </w:p>
        </w:tc>
      </w:tr>
      <w:tr w14:paraId="66F1B4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052" w:type="dxa"/>
            <w:shd w:val="clear" w:color="auto" w:fill="auto"/>
          </w:tcPr>
          <w:p w14:paraId="1673F785">
            <w:pPr>
              <w:widowControl w:val="0"/>
              <w:spacing w:line="440" w:lineRule="exact"/>
              <w:jc w:val="center"/>
              <w:rPr>
                <w:rFonts w:hint="eastAsia"/>
                <w:sz w:val="21"/>
                <w:szCs w:val="21"/>
              </w:rPr>
            </w:pPr>
            <w:r>
              <w:rPr>
                <w:rFonts w:hint="eastAsia"/>
                <w:sz w:val="21"/>
                <w:szCs w:val="21"/>
              </w:rPr>
              <w:t>系统运行要求</w:t>
            </w:r>
          </w:p>
        </w:tc>
        <w:tc>
          <w:tcPr>
            <w:tcW w:w="4027" w:type="dxa"/>
            <w:shd w:val="clear" w:color="auto" w:fill="auto"/>
          </w:tcPr>
          <w:p w14:paraId="670D8C53">
            <w:pPr>
              <w:widowControl w:val="0"/>
              <w:spacing w:line="440" w:lineRule="exact"/>
              <w:jc w:val="center"/>
              <w:rPr>
                <w:rFonts w:hint="eastAsia"/>
                <w:sz w:val="21"/>
                <w:szCs w:val="21"/>
              </w:rPr>
            </w:pPr>
            <w:r>
              <w:rPr>
                <w:rFonts w:hint="eastAsia"/>
                <w:sz w:val="21"/>
                <w:szCs w:val="21"/>
              </w:rPr>
              <w:t>运行过程稳定，无明显卡顿或死机</w:t>
            </w:r>
          </w:p>
        </w:tc>
      </w:tr>
    </w:tbl>
    <w:p w14:paraId="73185513"/>
    <w:p w14:paraId="232EBB67">
      <w:pPr>
        <w:tabs>
          <w:tab w:val="clear" w:pos="377"/>
        </w:tabs>
        <w:spacing w:line="240" w:lineRule="auto"/>
        <w:jc w:val="left"/>
        <w:rPr>
          <w:rFonts w:ascii="黑体" w:eastAsia="黑体"/>
          <w:bCs/>
          <w:kern w:val="44"/>
          <w:sz w:val="30"/>
          <w:szCs w:val="30"/>
        </w:rPr>
      </w:pPr>
      <w:bookmarkStart w:id="21" w:name="_Toc3666"/>
      <w:bookmarkStart w:id="22" w:name="_Toc468117596"/>
      <w:r>
        <w:br w:type="page"/>
      </w:r>
    </w:p>
    <w:p w14:paraId="4DF2B6D5">
      <w:pPr>
        <w:pStyle w:val="2"/>
        <w:numPr>
          <w:ilvl w:val="0"/>
          <w:numId w:val="1"/>
        </w:numPr>
        <w:rPr>
          <w:rFonts w:hint="eastAsia"/>
        </w:rPr>
      </w:pPr>
      <w:bookmarkStart w:id="23" w:name="_Toc198563252"/>
      <w:r>
        <w:rPr>
          <w:rFonts w:hint="eastAsia"/>
        </w:rPr>
        <w:t xml:space="preserve"> </w:t>
      </w:r>
      <w:bookmarkEnd w:id="21"/>
      <w:bookmarkEnd w:id="22"/>
      <w:r>
        <w:rPr>
          <w:rFonts w:hint="eastAsia"/>
        </w:rPr>
        <w:t>系统总体方案设计</w:t>
      </w:r>
      <w:bookmarkEnd w:id="23"/>
    </w:p>
    <w:p w14:paraId="3401EE42">
      <w:pPr>
        <w:numPr>
          <w:ilvl w:val="0"/>
          <w:numId w:val="0"/>
        </w:numPr>
        <w:spacing w:line="300" w:lineRule="auto"/>
        <w:ind w:firstLine="480" w:firstLineChars="200"/>
        <w:jc w:val="both"/>
      </w:pPr>
      <w:r>
        <w:t>为了保证音频信号采集、频谱分析、图形显示和移动端交互能够协同完成</w:t>
      </w:r>
      <w:r>
        <w:rPr>
          <w:rFonts w:hint="eastAsia"/>
          <w:lang w:eastAsia="zh-CN"/>
        </w:rPr>
        <w:t>，</w:t>
      </w:r>
      <w:r>
        <w:t>本章从系统总体架构、设备选型、开发环境以及可行性分析四个方面对本课题的总体方案进行说明。通过对硬件结构和软件结构的统一规划，可以为后续硬件设计、软件实现和系统测试提供清晰的设计依据。</w:t>
      </w:r>
    </w:p>
    <w:p w14:paraId="735CF9EB">
      <w:pPr>
        <w:pStyle w:val="3"/>
        <w:spacing w:before="120"/>
      </w:pPr>
      <w:bookmarkStart w:id="24" w:name="_Toc216894832"/>
      <w:bookmarkStart w:id="25" w:name="_Toc468117597"/>
      <w:bookmarkStart w:id="26" w:name="_Toc29138"/>
      <w:bookmarkStart w:id="27" w:name="_Toc198563253"/>
      <w:r>
        <w:rPr>
          <w:rFonts w:hint="eastAsia"/>
        </w:rPr>
        <w:t xml:space="preserve">3.1 </w:t>
      </w:r>
      <w:bookmarkEnd w:id="24"/>
      <w:bookmarkEnd w:id="25"/>
      <w:bookmarkEnd w:id="26"/>
      <w:r>
        <w:rPr>
          <w:rFonts w:hint="eastAsia"/>
        </w:rPr>
        <w:t>系统总体架构</w:t>
      </w:r>
      <w:bookmarkEnd w:id="27"/>
    </w:p>
    <w:p w14:paraId="18B3BE14">
      <w:pPr>
        <w:spacing w:line="440" w:lineRule="exact"/>
        <w:ind w:firstLine="480" w:firstLineChars="200"/>
      </w:pPr>
      <w:r>
        <w:rPr>
          <w:rFonts w:hint="eastAsia"/>
        </w:rPr>
        <w:t>系统的整体架构如图3.1所示：</w:t>
      </w:r>
    </w:p>
    <w:p w14:paraId="2332AEB5">
      <w:pPr>
        <w:spacing w:line="440" w:lineRule="exact"/>
      </w:pPr>
    </w:p>
    <w:p w14:paraId="6A652819">
      <w:pPr>
        <w:spacing w:line="240" w:lineRule="auto"/>
        <w:rPr>
          <w:rFonts w:hint="eastAsia" w:eastAsia="宋体"/>
          <w:lang w:eastAsia="zh-CN"/>
        </w:rPr>
      </w:pPr>
      <w:r>
        <w:rPr>
          <w:rFonts w:hint="eastAsia" w:eastAsia="宋体"/>
          <w:lang w:eastAsia="zh-CN"/>
        </w:rPr>
        <w:drawing>
          <wp:inline distT="0" distB="0" distL="114300" distR="114300">
            <wp:extent cx="5677535" cy="4191635"/>
            <wp:effectExtent l="0" t="0" r="18415" b="18415"/>
            <wp:docPr id="5" name="图片 5" descr="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3.1"/>
                    <pic:cNvPicPr>
                      <a:picLocks noChangeAspect="1"/>
                    </pic:cNvPicPr>
                  </pic:nvPicPr>
                  <pic:blipFill>
                    <a:blip r:embed="rId25"/>
                    <a:stretch>
                      <a:fillRect/>
                    </a:stretch>
                  </pic:blipFill>
                  <pic:spPr>
                    <a:xfrm>
                      <a:off x="0" y="0"/>
                      <a:ext cx="5677535" cy="4191635"/>
                    </a:xfrm>
                    <a:prstGeom prst="rect">
                      <a:avLst/>
                    </a:prstGeom>
                  </pic:spPr>
                </pic:pic>
              </a:graphicData>
            </a:graphic>
          </wp:inline>
        </w:drawing>
      </w:r>
    </w:p>
    <w:p w14:paraId="1EB0A26F">
      <w:pPr>
        <w:spacing w:line="440" w:lineRule="exact"/>
        <w:jc w:val="center"/>
        <w:rPr>
          <w:sz w:val="21"/>
          <w:szCs w:val="21"/>
        </w:rPr>
      </w:pPr>
    </w:p>
    <w:p w14:paraId="45C038D3">
      <w:pPr>
        <w:spacing w:line="440" w:lineRule="exact"/>
        <w:jc w:val="center"/>
        <w:rPr>
          <w:sz w:val="21"/>
          <w:szCs w:val="21"/>
        </w:rPr>
      </w:pPr>
      <w:r>
        <w:rPr>
          <w:rFonts w:hint="eastAsia"/>
          <w:sz w:val="21"/>
          <w:szCs w:val="21"/>
        </w:rPr>
        <w:t>图3.1  系统总体架构图</w:t>
      </w:r>
    </w:p>
    <w:p w14:paraId="7A50C626">
      <w:pPr>
        <w:spacing w:line="440" w:lineRule="exact"/>
        <w:ind w:firstLine="480" w:firstLineChars="200"/>
      </w:pPr>
    </w:p>
    <w:p w14:paraId="07CE954C">
      <w:pPr>
        <w:spacing w:line="440" w:lineRule="exact"/>
        <w:ind w:firstLine="480" w:firstLineChars="200"/>
      </w:pPr>
      <w:r>
        <w:rPr>
          <w:rFonts w:hint="eastAsia"/>
        </w:rPr>
        <w:t>本系统主要由音频输入模块、STM32 主控模块、TFT 显示模块、蓝牙通信模块、报警与辅助显示模块以及 Android 应用组成。系统工作时，外部音频信号首先进入采样链路，由 STM32 完成定时采样、数据缓存、预处理和频谱分析，处理结果一方面在 TFT 屏上以波形、频谱、瀑布图和 VU 电平等形式进行本地显示，另一方面通过蓝牙链路发送至手机端，用于状态同步和参数调节。这样设计的优点在于系统既可以脱离手机独立运行，也可以借助移动端提高参数配置和现场演示的便利性。</w:t>
      </w:r>
    </w:p>
    <w:p w14:paraId="1B4230E5">
      <w:pPr>
        <w:pStyle w:val="4"/>
        <w:spacing w:before="120"/>
      </w:pPr>
      <w:bookmarkStart w:id="28" w:name="_Toc198563254"/>
      <w:r>
        <w:rPr>
          <w:rFonts w:hint="eastAsia"/>
        </w:rPr>
        <w:t>3.1.1 硬件总体架构</w:t>
      </w:r>
      <w:bookmarkEnd w:id="28"/>
    </w:p>
    <w:p w14:paraId="78D26DAA">
      <w:pPr>
        <w:spacing w:line="440" w:lineRule="exact"/>
        <w:ind w:firstLine="480" w:firstLineChars="200"/>
      </w:pPr>
      <w:r>
        <w:rPr>
          <w:rFonts w:hint="eastAsia"/>
        </w:rPr>
        <w:t>从硬件构成上看，本系统可分为五个部分。第一部分为音频输入与采样模块，负责接收麦克风输入或线路输入信号，并送入 ADC 进行模数转换；第二部分为 STM32 主控处理模块，承担时钟配置、采样控制、数据搬运、FFT 运算、显示调度和通信管理等核心任务；第三部分为本地显示与辅助输出模块，包括 ILI9341 TFT 屏、LED 电平条和蜂鸣器，用于显示音频状态并在超过阈值时发出报警；第四部分为本地交互模块，主要由电位器、按键或拨码输入组成，用于切换模式和调节显示宽度；第五部分为蓝牙通信模块，用于与 Android 应用建立无线连接，实现状态回传和参数下发。各模块之间关系清晰，接口类型明确，既方便分模块调试，也便于后续进行硬件扩展。</w:t>
      </w:r>
    </w:p>
    <w:p w14:paraId="14D6F3C5">
      <w:pPr>
        <w:spacing w:line="440" w:lineRule="exact"/>
        <w:jc w:val="center"/>
        <w:rPr>
          <w:sz w:val="21"/>
          <w:szCs w:val="21"/>
        </w:rPr>
      </w:pPr>
    </w:p>
    <w:p w14:paraId="58F8DBCB">
      <w:pPr>
        <w:spacing w:line="440" w:lineRule="atLeast"/>
        <w:jc w:val="center"/>
        <w:rPr>
          <w:rFonts w:hint="eastAsia" w:eastAsia="宋体"/>
          <w:lang w:eastAsia="zh-CN"/>
        </w:rPr>
      </w:pPr>
      <w:r>
        <w:rPr>
          <w:rFonts w:hint="eastAsia" w:eastAsia="宋体"/>
          <w:lang w:eastAsia="zh-CN"/>
        </w:rPr>
        <w:drawing>
          <wp:inline distT="0" distB="0" distL="114300" distR="114300">
            <wp:extent cx="5438140" cy="3121660"/>
            <wp:effectExtent l="0" t="0" r="10160" b="2540"/>
            <wp:docPr id="6" name="图片 6" descr="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3.2"/>
                    <pic:cNvPicPr>
                      <a:picLocks noChangeAspect="1"/>
                    </pic:cNvPicPr>
                  </pic:nvPicPr>
                  <pic:blipFill>
                    <a:blip r:embed="rId26"/>
                    <a:stretch>
                      <a:fillRect/>
                    </a:stretch>
                  </pic:blipFill>
                  <pic:spPr>
                    <a:xfrm>
                      <a:off x="0" y="0"/>
                      <a:ext cx="5438140" cy="3121660"/>
                    </a:xfrm>
                    <a:prstGeom prst="rect">
                      <a:avLst/>
                    </a:prstGeom>
                  </pic:spPr>
                </pic:pic>
              </a:graphicData>
            </a:graphic>
          </wp:inline>
        </w:drawing>
      </w:r>
    </w:p>
    <w:p w14:paraId="1533FBD6">
      <w:pPr>
        <w:spacing w:line="440" w:lineRule="exact"/>
        <w:jc w:val="center"/>
        <w:rPr>
          <w:sz w:val="21"/>
          <w:szCs w:val="21"/>
        </w:rPr>
      </w:pPr>
      <w:r>
        <w:rPr>
          <w:rFonts w:hint="eastAsia"/>
          <w:sz w:val="21"/>
          <w:szCs w:val="21"/>
        </w:rPr>
        <w:t>图3.2  总体硬件架构</w:t>
      </w:r>
    </w:p>
    <w:p w14:paraId="0468584A">
      <w:pPr>
        <w:spacing w:line="440" w:lineRule="exact"/>
        <w:jc w:val="center"/>
        <w:rPr>
          <w:sz w:val="21"/>
          <w:szCs w:val="21"/>
        </w:rPr>
      </w:pPr>
    </w:p>
    <w:p w14:paraId="065106F4">
      <w:pPr>
        <w:pStyle w:val="4"/>
        <w:spacing w:before="120"/>
      </w:pPr>
      <w:bookmarkStart w:id="29" w:name="_Toc198563255"/>
      <w:r>
        <w:rPr>
          <w:rFonts w:hint="eastAsia"/>
        </w:rPr>
        <w:t>3.1.2 软件总体架构</w:t>
      </w:r>
      <w:bookmarkEnd w:id="29"/>
    </w:p>
    <w:p w14:paraId="2EDFF362">
      <w:pPr>
        <w:spacing w:line="440" w:lineRule="exact"/>
        <w:ind w:firstLine="480" w:firstLineChars="200"/>
      </w:pPr>
      <w:r>
        <w:rPr>
          <w:rFonts w:hint="eastAsia"/>
        </w:rPr>
        <w:t>系统软件总体上采用分层设计思路，可划分为驱动层、数据处理层、应用控制层和移动端交互层。驱动层主要完成 ADC、DMA、SPI、UART、LCD、蜂鸣器、LED 电平条和输入设备的初始化与控制；数据处理层负责音频帧缓存、基础噪声抑制、增强降噪、FFT 频谱分析以及 RMS 等指标计算；应用控制层负责菜单状态管理、模式切换、参数更新、报警判断和显示调度；移动端交互层则通过蓝牙协议完成状态同步、命令解析和图形辅助显示。系统上电后，程序先完成各类外设初始化，随后进入主循环，依次执行命令处理、数据采集、信号处理、图形刷新和状态回传等任务。该架构能够较好地保证采样、显示和通信之间的协同性，也有利于后续维护与功能扩展。软件总体架构如图3.3所示：</w:t>
      </w:r>
    </w:p>
    <w:p w14:paraId="2B021F71">
      <w:pPr>
        <w:spacing w:line="240" w:lineRule="auto"/>
        <w:jc w:val="center"/>
        <w:rPr>
          <w:rFonts w:hint="eastAsia" w:eastAsia="宋体"/>
          <w:sz w:val="21"/>
          <w:szCs w:val="21"/>
          <w:lang w:eastAsia="zh-CN"/>
        </w:rPr>
      </w:pPr>
      <w:bookmarkStart w:id="30" w:name="_Hlk197090898"/>
      <w:bookmarkEnd w:id="30"/>
      <w:r>
        <w:rPr>
          <w:rFonts w:hint="eastAsia" w:eastAsia="宋体"/>
          <w:sz w:val="21"/>
          <w:szCs w:val="21"/>
          <w:lang w:eastAsia="zh-CN"/>
        </w:rPr>
        <w:drawing>
          <wp:inline distT="0" distB="0" distL="114300" distR="114300">
            <wp:extent cx="1971040" cy="3930015"/>
            <wp:effectExtent l="0" t="0" r="10160" b="13335"/>
            <wp:docPr id="21" name="图片 21" descr="软件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软件总体架构"/>
                    <pic:cNvPicPr>
                      <a:picLocks noChangeAspect="1"/>
                    </pic:cNvPicPr>
                  </pic:nvPicPr>
                  <pic:blipFill>
                    <a:blip r:embed="rId27"/>
                    <a:stretch>
                      <a:fillRect/>
                    </a:stretch>
                  </pic:blipFill>
                  <pic:spPr>
                    <a:xfrm>
                      <a:off x="0" y="0"/>
                      <a:ext cx="1971040" cy="3930015"/>
                    </a:xfrm>
                    <a:prstGeom prst="rect">
                      <a:avLst/>
                    </a:prstGeom>
                  </pic:spPr>
                </pic:pic>
              </a:graphicData>
            </a:graphic>
          </wp:inline>
        </w:drawing>
      </w:r>
    </w:p>
    <w:p w14:paraId="779A5F02">
      <w:pPr>
        <w:spacing w:line="440" w:lineRule="atLeast"/>
        <w:ind w:left="16" w:leftChars="-59" w:hanging="140" w:hangingChars="67"/>
        <w:jc w:val="center"/>
        <w:rPr>
          <w:sz w:val="21"/>
          <w:szCs w:val="21"/>
        </w:rPr>
      </w:pPr>
      <w:r>
        <w:rPr>
          <w:rFonts w:hint="eastAsia"/>
          <w:sz w:val="21"/>
          <w:szCs w:val="21"/>
        </w:rPr>
        <w:t>图3.3  总体软件架构</w:t>
      </w:r>
    </w:p>
    <w:p w14:paraId="2C4C44B4">
      <w:pPr>
        <w:spacing w:line="440" w:lineRule="exact"/>
        <w:ind w:left="16" w:leftChars="-59" w:hanging="140" w:hangingChars="67"/>
        <w:rPr>
          <w:sz w:val="21"/>
          <w:szCs w:val="21"/>
        </w:rPr>
      </w:pPr>
    </w:p>
    <w:p w14:paraId="783BBB52">
      <w:pPr>
        <w:pStyle w:val="3"/>
        <w:spacing w:before="120"/>
      </w:pPr>
      <w:bookmarkStart w:id="31" w:name="_Toc216894836"/>
      <w:bookmarkStart w:id="32" w:name="_Toc26233"/>
      <w:bookmarkStart w:id="33" w:name="_Toc468117598"/>
      <w:bookmarkStart w:id="34" w:name="_Toc198563256"/>
      <w:r>
        <w:rPr>
          <w:rFonts w:hint="eastAsia"/>
        </w:rPr>
        <w:t xml:space="preserve">3.2 </w:t>
      </w:r>
      <w:bookmarkEnd w:id="31"/>
      <w:bookmarkEnd w:id="32"/>
      <w:bookmarkEnd w:id="33"/>
      <w:r>
        <w:rPr>
          <w:rFonts w:hint="eastAsia"/>
        </w:rPr>
        <w:t>设备选型</w:t>
      </w:r>
      <w:bookmarkEnd w:id="34"/>
    </w:p>
    <w:p w14:paraId="268E32B3">
      <w:pPr>
        <w:spacing w:line="440" w:lineRule="exact"/>
      </w:pPr>
      <w:r>
        <w:rPr>
          <w:rFonts w:hint="eastAsia"/>
        </w:rPr>
        <w:t>本项目所使用的设备名称和使用数量如表3.1所示：</w:t>
      </w:r>
    </w:p>
    <w:p w14:paraId="383BC4E2">
      <w:pPr>
        <w:spacing w:line="440" w:lineRule="exact"/>
      </w:pPr>
    </w:p>
    <w:p w14:paraId="67FCF35B">
      <w:pPr>
        <w:spacing w:line="440" w:lineRule="exact"/>
        <w:jc w:val="center"/>
        <w:rPr>
          <w:sz w:val="21"/>
          <w:szCs w:val="21"/>
        </w:rPr>
      </w:pPr>
      <w:r>
        <w:rPr>
          <w:rFonts w:hint="eastAsia"/>
          <w:sz w:val="21"/>
          <w:szCs w:val="21"/>
        </w:rPr>
        <w:t>表3.1  设备选型</w:t>
      </w:r>
    </w:p>
    <w:tbl>
      <w:tblPr>
        <w:tblStyle w:val="20"/>
        <w:tblW w:w="9037" w:type="dxa"/>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33"/>
        <w:gridCol w:w="871"/>
        <w:gridCol w:w="4533"/>
      </w:tblGrid>
      <w:tr w14:paraId="43BDB1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tcBorders>
              <w:top w:val="single" w:color="auto" w:sz="12" w:space="0"/>
              <w:bottom w:val="single" w:color="auto" w:sz="4" w:space="0"/>
            </w:tcBorders>
            <w:shd w:val="clear" w:color="auto" w:fill="auto"/>
          </w:tcPr>
          <w:p w14:paraId="6E10E16B">
            <w:pPr>
              <w:widowControl w:val="0"/>
              <w:spacing w:line="440" w:lineRule="exact"/>
              <w:jc w:val="center"/>
              <w:rPr>
                <w:sz w:val="21"/>
                <w:szCs w:val="21"/>
              </w:rPr>
            </w:pPr>
            <w:r>
              <w:rPr>
                <w:rFonts w:hint="eastAsia"/>
                <w:sz w:val="21"/>
                <w:szCs w:val="21"/>
              </w:rPr>
              <w:t>设备名称</w:t>
            </w:r>
          </w:p>
        </w:tc>
        <w:tc>
          <w:tcPr>
            <w:tcW w:w="871" w:type="dxa"/>
            <w:tcBorders>
              <w:top w:val="single" w:color="auto" w:sz="12" w:space="0"/>
              <w:bottom w:val="single" w:color="auto" w:sz="4" w:space="0"/>
            </w:tcBorders>
            <w:shd w:val="clear" w:color="auto" w:fill="auto"/>
          </w:tcPr>
          <w:p w14:paraId="18A4AD46">
            <w:pPr>
              <w:widowControl w:val="0"/>
              <w:spacing w:line="440" w:lineRule="exact"/>
              <w:jc w:val="center"/>
              <w:rPr>
                <w:sz w:val="21"/>
                <w:szCs w:val="21"/>
              </w:rPr>
            </w:pPr>
            <w:r>
              <w:rPr>
                <w:rFonts w:hint="eastAsia"/>
                <w:sz w:val="21"/>
                <w:szCs w:val="21"/>
              </w:rPr>
              <w:t>数量</w:t>
            </w:r>
          </w:p>
        </w:tc>
        <w:tc>
          <w:tcPr>
            <w:tcW w:w="4533" w:type="dxa"/>
            <w:tcBorders>
              <w:top w:val="single" w:color="auto" w:sz="12" w:space="0"/>
              <w:bottom w:val="single" w:color="auto" w:sz="4" w:space="0"/>
            </w:tcBorders>
            <w:shd w:val="clear" w:color="auto" w:fill="auto"/>
          </w:tcPr>
          <w:p w14:paraId="53F1A8DD">
            <w:pPr>
              <w:widowControl w:val="0"/>
              <w:spacing w:line="440" w:lineRule="exact"/>
              <w:jc w:val="center"/>
              <w:rPr>
                <w:rFonts w:hint="eastAsia"/>
                <w:sz w:val="21"/>
                <w:szCs w:val="21"/>
              </w:rPr>
            </w:pPr>
            <w:r>
              <w:rPr>
                <w:rFonts w:hint="eastAsia"/>
                <w:sz w:val="21"/>
                <w:szCs w:val="21"/>
              </w:rPr>
              <w:t>主要用途</w:t>
            </w:r>
          </w:p>
        </w:tc>
      </w:tr>
      <w:tr w14:paraId="5E7A3C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trPr>
        <w:tc>
          <w:tcPr>
            <w:tcW w:w="3633" w:type="dxa"/>
            <w:tcBorders>
              <w:top w:val="single" w:color="auto" w:sz="4" w:space="0"/>
            </w:tcBorders>
            <w:shd w:val="clear" w:color="auto" w:fill="auto"/>
          </w:tcPr>
          <w:p w14:paraId="67922EFB">
            <w:pPr>
              <w:widowControl w:val="0"/>
              <w:spacing w:line="440" w:lineRule="exact"/>
              <w:jc w:val="center"/>
              <w:rPr>
                <w:sz w:val="21"/>
                <w:szCs w:val="21"/>
              </w:rPr>
            </w:pPr>
            <w:r>
              <w:rPr>
                <w:sz w:val="21"/>
                <w:szCs w:val="21"/>
              </w:rPr>
              <w:t>STM32F103</w:t>
            </w:r>
            <w:r>
              <w:rPr>
                <w:rFonts w:hint="eastAsia"/>
                <w:sz w:val="21"/>
                <w:szCs w:val="21"/>
                <w:lang w:val="en-US" w:eastAsia="zh-CN"/>
              </w:rPr>
              <w:t>C8T6</w:t>
            </w:r>
            <w:r>
              <w:rPr>
                <w:sz w:val="21"/>
                <w:szCs w:val="21"/>
              </w:rPr>
              <w:t>主控板</w:t>
            </w:r>
          </w:p>
        </w:tc>
        <w:tc>
          <w:tcPr>
            <w:tcW w:w="871" w:type="dxa"/>
            <w:tcBorders>
              <w:top w:val="single" w:color="auto" w:sz="4" w:space="0"/>
            </w:tcBorders>
            <w:shd w:val="clear" w:color="auto" w:fill="auto"/>
          </w:tcPr>
          <w:p w14:paraId="6E213EDB">
            <w:pPr>
              <w:widowControl w:val="0"/>
              <w:spacing w:line="440" w:lineRule="exact"/>
              <w:jc w:val="center"/>
              <w:rPr>
                <w:sz w:val="21"/>
                <w:szCs w:val="21"/>
              </w:rPr>
            </w:pPr>
            <w:r>
              <w:rPr>
                <w:rFonts w:hint="eastAsia"/>
                <w:sz w:val="21"/>
                <w:szCs w:val="21"/>
              </w:rPr>
              <w:t>1</w:t>
            </w:r>
          </w:p>
        </w:tc>
        <w:tc>
          <w:tcPr>
            <w:tcW w:w="4533" w:type="dxa"/>
            <w:tcBorders>
              <w:top w:val="single" w:color="auto" w:sz="4" w:space="0"/>
            </w:tcBorders>
            <w:shd w:val="clear" w:color="auto" w:fill="auto"/>
          </w:tcPr>
          <w:p w14:paraId="274FFD3F">
            <w:pPr>
              <w:widowControl w:val="0"/>
              <w:spacing w:line="440" w:lineRule="exact"/>
              <w:jc w:val="center"/>
              <w:rPr>
                <w:rFonts w:hint="eastAsia"/>
                <w:sz w:val="21"/>
                <w:szCs w:val="21"/>
              </w:rPr>
            </w:pPr>
            <w:r>
              <w:rPr>
                <w:rFonts w:hint="eastAsia"/>
                <w:sz w:val="21"/>
                <w:szCs w:val="21"/>
              </w:rPr>
              <w:t>完成采样控制、数据处理、显示调度和通信管理</w:t>
            </w:r>
          </w:p>
        </w:tc>
      </w:tr>
      <w:tr w14:paraId="3B3CB7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shd w:val="clear" w:color="auto" w:fill="auto"/>
          </w:tcPr>
          <w:p w14:paraId="08C692DB">
            <w:pPr>
              <w:widowControl w:val="0"/>
              <w:spacing w:line="440" w:lineRule="exact"/>
              <w:jc w:val="center"/>
              <w:rPr>
                <w:sz w:val="21"/>
                <w:szCs w:val="21"/>
              </w:rPr>
            </w:pPr>
            <w:r>
              <w:rPr>
                <w:sz w:val="21"/>
                <w:szCs w:val="21"/>
              </w:rPr>
              <w:t>ILI9341 TFT 显示屏</w:t>
            </w:r>
          </w:p>
        </w:tc>
        <w:tc>
          <w:tcPr>
            <w:tcW w:w="871" w:type="dxa"/>
            <w:shd w:val="clear" w:color="auto" w:fill="auto"/>
          </w:tcPr>
          <w:p w14:paraId="44FC861E">
            <w:pPr>
              <w:widowControl w:val="0"/>
              <w:spacing w:line="440" w:lineRule="exact"/>
              <w:jc w:val="center"/>
              <w:rPr>
                <w:sz w:val="21"/>
                <w:szCs w:val="21"/>
              </w:rPr>
            </w:pPr>
            <w:r>
              <w:rPr>
                <w:rFonts w:hint="eastAsia"/>
                <w:sz w:val="21"/>
                <w:szCs w:val="21"/>
              </w:rPr>
              <w:t>1</w:t>
            </w:r>
          </w:p>
        </w:tc>
        <w:tc>
          <w:tcPr>
            <w:tcW w:w="4533" w:type="dxa"/>
            <w:shd w:val="clear" w:color="auto" w:fill="auto"/>
          </w:tcPr>
          <w:p w14:paraId="279D3E59">
            <w:pPr>
              <w:widowControl w:val="0"/>
              <w:spacing w:line="440" w:lineRule="exact"/>
              <w:jc w:val="center"/>
              <w:rPr>
                <w:rFonts w:hint="eastAsia"/>
                <w:sz w:val="21"/>
                <w:szCs w:val="21"/>
              </w:rPr>
            </w:pPr>
            <w:r>
              <w:rPr>
                <w:rFonts w:hint="eastAsia"/>
                <w:sz w:val="21"/>
                <w:szCs w:val="21"/>
              </w:rPr>
              <w:t>完成本地图形显示和参数信息展示</w:t>
            </w:r>
          </w:p>
        </w:tc>
      </w:tr>
      <w:tr w14:paraId="47EF49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shd w:val="clear" w:color="auto" w:fill="auto"/>
          </w:tcPr>
          <w:p w14:paraId="17B646F4">
            <w:pPr>
              <w:widowControl w:val="0"/>
              <w:spacing w:line="440" w:lineRule="exact"/>
              <w:jc w:val="center"/>
              <w:rPr>
                <w:sz w:val="21"/>
                <w:szCs w:val="21"/>
              </w:rPr>
            </w:pPr>
            <w:r>
              <w:rPr>
                <w:sz w:val="21"/>
                <w:szCs w:val="21"/>
              </w:rPr>
              <w:t>蓝牙串口模块</w:t>
            </w:r>
          </w:p>
        </w:tc>
        <w:tc>
          <w:tcPr>
            <w:tcW w:w="871" w:type="dxa"/>
            <w:shd w:val="clear" w:color="auto" w:fill="auto"/>
          </w:tcPr>
          <w:p w14:paraId="46CCC6A6">
            <w:pPr>
              <w:widowControl w:val="0"/>
              <w:spacing w:line="440" w:lineRule="exact"/>
              <w:jc w:val="center"/>
              <w:rPr>
                <w:sz w:val="21"/>
                <w:szCs w:val="21"/>
              </w:rPr>
            </w:pPr>
            <w:r>
              <w:rPr>
                <w:rFonts w:hint="eastAsia"/>
                <w:sz w:val="21"/>
                <w:szCs w:val="21"/>
              </w:rPr>
              <w:t>1</w:t>
            </w:r>
          </w:p>
        </w:tc>
        <w:tc>
          <w:tcPr>
            <w:tcW w:w="4533" w:type="dxa"/>
            <w:shd w:val="clear" w:color="auto" w:fill="auto"/>
          </w:tcPr>
          <w:p w14:paraId="60B34FDB">
            <w:pPr>
              <w:widowControl w:val="0"/>
              <w:spacing w:line="440" w:lineRule="exact"/>
              <w:jc w:val="center"/>
              <w:rPr>
                <w:rFonts w:hint="eastAsia"/>
                <w:sz w:val="21"/>
                <w:szCs w:val="21"/>
              </w:rPr>
            </w:pPr>
            <w:r>
              <w:rPr>
                <w:rFonts w:hint="eastAsia"/>
                <w:sz w:val="20"/>
                <w:szCs w:val="20"/>
              </w:rPr>
              <w:t>实现板端与 Android 应用之间的无线通信</w:t>
            </w:r>
          </w:p>
        </w:tc>
      </w:tr>
      <w:tr w14:paraId="48DBA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shd w:val="clear" w:color="auto" w:fill="auto"/>
          </w:tcPr>
          <w:p w14:paraId="0DCBE279">
            <w:pPr>
              <w:widowControl w:val="0"/>
              <w:spacing w:line="440" w:lineRule="exact"/>
              <w:jc w:val="center"/>
              <w:rPr>
                <w:sz w:val="21"/>
                <w:szCs w:val="21"/>
              </w:rPr>
            </w:pPr>
            <w:r>
              <w:rPr>
                <w:sz w:val="21"/>
                <w:szCs w:val="21"/>
              </w:rPr>
              <w:t>麦克风/线路输入采样电路</w:t>
            </w:r>
          </w:p>
        </w:tc>
        <w:tc>
          <w:tcPr>
            <w:tcW w:w="871" w:type="dxa"/>
            <w:shd w:val="clear" w:color="auto" w:fill="auto"/>
          </w:tcPr>
          <w:p w14:paraId="61BBFDBE">
            <w:pPr>
              <w:widowControl w:val="0"/>
              <w:spacing w:line="440" w:lineRule="exact"/>
              <w:jc w:val="center"/>
              <w:rPr>
                <w:rFonts w:hint="default" w:eastAsia="宋体"/>
                <w:sz w:val="21"/>
                <w:szCs w:val="21"/>
                <w:lang w:val="en-US" w:eastAsia="zh-CN"/>
              </w:rPr>
            </w:pPr>
            <w:r>
              <w:rPr>
                <w:rFonts w:hint="eastAsia"/>
                <w:sz w:val="21"/>
                <w:szCs w:val="21"/>
                <w:lang w:val="en-US" w:eastAsia="zh-CN"/>
              </w:rPr>
              <w:t>1组</w:t>
            </w:r>
          </w:p>
        </w:tc>
        <w:tc>
          <w:tcPr>
            <w:tcW w:w="4533" w:type="dxa"/>
            <w:shd w:val="clear" w:color="auto" w:fill="auto"/>
          </w:tcPr>
          <w:p w14:paraId="1FC65070">
            <w:pPr>
              <w:widowControl w:val="0"/>
              <w:spacing w:line="440" w:lineRule="exact"/>
              <w:jc w:val="center"/>
              <w:rPr>
                <w:rFonts w:hint="eastAsia"/>
                <w:sz w:val="21"/>
                <w:szCs w:val="21"/>
              </w:rPr>
            </w:pPr>
            <w:r>
              <w:rPr>
                <w:rFonts w:hint="eastAsia"/>
                <w:sz w:val="21"/>
                <w:szCs w:val="21"/>
              </w:rPr>
              <w:t>获取外部音频信号并输入 ADC</w:t>
            </w:r>
          </w:p>
        </w:tc>
      </w:tr>
      <w:tr w14:paraId="2AEDCD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shd w:val="clear" w:color="auto" w:fill="auto"/>
          </w:tcPr>
          <w:p w14:paraId="67827F24">
            <w:pPr>
              <w:widowControl w:val="0"/>
              <w:spacing w:line="440" w:lineRule="exact"/>
              <w:jc w:val="center"/>
              <w:rPr>
                <w:rFonts w:hint="eastAsia" w:eastAsia="宋体"/>
                <w:sz w:val="21"/>
                <w:szCs w:val="21"/>
                <w:lang w:val="en-US" w:eastAsia="zh-CN"/>
              </w:rPr>
            </w:pPr>
            <w:r>
              <w:rPr>
                <w:sz w:val="21"/>
                <w:szCs w:val="21"/>
              </w:rPr>
              <w:t xml:space="preserve">LED </w:t>
            </w:r>
            <w:r>
              <w:rPr>
                <w:rFonts w:hint="eastAsia"/>
                <w:sz w:val="21"/>
                <w:szCs w:val="21"/>
                <w:lang w:val="en-US" w:eastAsia="zh-CN"/>
              </w:rPr>
              <w:t>灯带</w:t>
            </w:r>
          </w:p>
        </w:tc>
        <w:tc>
          <w:tcPr>
            <w:tcW w:w="871" w:type="dxa"/>
            <w:shd w:val="clear" w:color="auto" w:fill="auto"/>
          </w:tcPr>
          <w:p w14:paraId="14547780">
            <w:pPr>
              <w:widowControl w:val="0"/>
              <w:spacing w:line="440" w:lineRule="exact"/>
              <w:jc w:val="center"/>
              <w:rPr>
                <w:sz w:val="21"/>
                <w:szCs w:val="21"/>
              </w:rPr>
            </w:pPr>
            <w:r>
              <w:rPr>
                <w:rFonts w:hint="eastAsia"/>
                <w:sz w:val="21"/>
                <w:szCs w:val="21"/>
                <w:lang w:val="en-US" w:eastAsia="zh-CN"/>
              </w:rPr>
              <w:t>1组</w:t>
            </w:r>
          </w:p>
        </w:tc>
        <w:tc>
          <w:tcPr>
            <w:tcW w:w="4533" w:type="dxa"/>
            <w:shd w:val="clear" w:color="auto" w:fill="auto"/>
          </w:tcPr>
          <w:p w14:paraId="0DEF5505">
            <w:pPr>
              <w:widowControl w:val="0"/>
              <w:spacing w:line="440" w:lineRule="exact"/>
              <w:jc w:val="center"/>
              <w:rPr>
                <w:rFonts w:hint="eastAsia"/>
                <w:sz w:val="21"/>
                <w:szCs w:val="21"/>
              </w:rPr>
            </w:pPr>
            <w:r>
              <w:rPr>
                <w:rFonts w:hint="eastAsia"/>
                <w:sz w:val="21"/>
                <w:szCs w:val="21"/>
              </w:rPr>
              <w:t>辅助显示音频能量强弱</w:t>
            </w:r>
          </w:p>
        </w:tc>
      </w:tr>
      <w:tr w14:paraId="40FB13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shd w:val="clear" w:color="auto" w:fill="auto"/>
          </w:tcPr>
          <w:p w14:paraId="4CEC0DE5">
            <w:pPr>
              <w:widowControl w:val="0"/>
              <w:spacing w:line="440" w:lineRule="exact"/>
              <w:jc w:val="center"/>
              <w:rPr>
                <w:sz w:val="21"/>
                <w:szCs w:val="21"/>
              </w:rPr>
            </w:pPr>
            <w:r>
              <w:rPr>
                <w:sz w:val="21"/>
                <w:szCs w:val="21"/>
              </w:rPr>
              <w:t>蜂鸣器</w:t>
            </w:r>
          </w:p>
        </w:tc>
        <w:tc>
          <w:tcPr>
            <w:tcW w:w="871" w:type="dxa"/>
            <w:shd w:val="clear" w:color="auto" w:fill="auto"/>
          </w:tcPr>
          <w:p w14:paraId="16DDF797">
            <w:pPr>
              <w:widowControl w:val="0"/>
              <w:spacing w:line="440" w:lineRule="exact"/>
              <w:jc w:val="center"/>
              <w:rPr>
                <w:sz w:val="21"/>
                <w:szCs w:val="21"/>
              </w:rPr>
            </w:pPr>
            <w:r>
              <w:rPr>
                <w:rFonts w:hint="eastAsia"/>
                <w:sz w:val="21"/>
                <w:szCs w:val="21"/>
              </w:rPr>
              <w:t>1</w:t>
            </w:r>
          </w:p>
        </w:tc>
        <w:tc>
          <w:tcPr>
            <w:tcW w:w="4533" w:type="dxa"/>
            <w:shd w:val="clear" w:color="auto" w:fill="auto"/>
          </w:tcPr>
          <w:p w14:paraId="15698E56">
            <w:pPr>
              <w:widowControl w:val="0"/>
              <w:spacing w:line="440" w:lineRule="exact"/>
              <w:jc w:val="center"/>
              <w:rPr>
                <w:rFonts w:hint="eastAsia"/>
                <w:sz w:val="21"/>
                <w:szCs w:val="21"/>
              </w:rPr>
            </w:pPr>
            <w:r>
              <w:rPr>
                <w:rFonts w:hint="eastAsia"/>
                <w:sz w:val="21"/>
                <w:szCs w:val="21"/>
              </w:rPr>
              <w:t>完成阈值超限报警</w:t>
            </w:r>
          </w:p>
        </w:tc>
      </w:tr>
      <w:tr w14:paraId="68043D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3" w:type="dxa"/>
            <w:shd w:val="clear" w:color="auto" w:fill="auto"/>
          </w:tcPr>
          <w:p w14:paraId="5328749E">
            <w:pPr>
              <w:widowControl w:val="0"/>
              <w:spacing w:line="440" w:lineRule="exact"/>
              <w:jc w:val="center"/>
              <w:rPr>
                <w:sz w:val="21"/>
                <w:szCs w:val="21"/>
              </w:rPr>
            </w:pPr>
            <w:r>
              <w:rPr>
                <w:sz w:val="21"/>
                <w:szCs w:val="21"/>
              </w:rPr>
              <w:t>电位器及本地控制输入</w:t>
            </w:r>
          </w:p>
        </w:tc>
        <w:tc>
          <w:tcPr>
            <w:tcW w:w="871" w:type="dxa"/>
            <w:shd w:val="clear" w:color="auto" w:fill="auto"/>
          </w:tcPr>
          <w:p w14:paraId="520EB4AD">
            <w:pPr>
              <w:widowControl w:val="0"/>
              <w:spacing w:line="440" w:lineRule="exact"/>
              <w:jc w:val="center"/>
              <w:rPr>
                <w:sz w:val="21"/>
                <w:szCs w:val="21"/>
              </w:rPr>
            </w:pPr>
            <w:r>
              <w:rPr>
                <w:rFonts w:hint="eastAsia"/>
                <w:sz w:val="21"/>
                <w:szCs w:val="21"/>
                <w:lang w:val="en-US" w:eastAsia="zh-CN"/>
              </w:rPr>
              <w:t>1组</w:t>
            </w:r>
          </w:p>
        </w:tc>
        <w:tc>
          <w:tcPr>
            <w:tcW w:w="4533" w:type="dxa"/>
            <w:shd w:val="clear" w:color="auto" w:fill="auto"/>
          </w:tcPr>
          <w:p w14:paraId="07ACE01A">
            <w:pPr>
              <w:widowControl w:val="0"/>
              <w:spacing w:line="440" w:lineRule="exact"/>
              <w:jc w:val="center"/>
              <w:rPr>
                <w:rFonts w:hint="eastAsia"/>
                <w:sz w:val="21"/>
                <w:szCs w:val="21"/>
              </w:rPr>
            </w:pPr>
            <w:r>
              <w:rPr>
                <w:rFonts w:hint="eastAsia"/>
                <w:sz w:val="21"/>
                <w:szCs w:val="21"/>
              </w:rPr>
              <w:t>用于显示宽度调节和本地参数操作</w:t>
            </w:r>
          </w:p>
        </w:tc>
      </w:tr>
    </w:tbl>
    <w:p w14:paraId="52AE0850">
      <w:pPr>
        <w:spacing w:line="440" w:lineRule="exact"/>
      </w:pPr>
    </w:p>
    <w:p w14:paraId="7981CD6F">
      <w:pPr>
        <w:spacing w:line="440" w:lineRule="exact"/>
      </w:pPr>
      <w:r>
        <w:rPr>
          <w:rFonts w:hint="eastAsia"/>
        </w:rPr>
        <w:t>主要模块及功能介绍如下：</w:t>
      </w:r>
    </w:p>
    <w:p w14:paraId="03B31C81">
      <w:pPr>
        <w:spacing w:line="440" w:lineRule="exact"/>
      </w:pPr>
      <w:r>
        <w:rPr>
          <w:rFonts w:hint="eastAsia"/>
        </w:rPr>
        <w:t>1.STM32F103C8T6芯片选型及优势介绍</w:t>
      </w:r>
    </w:p>
    <w:p w14:paraId="3BACCB99">
      <w:pPr>
        <w:spacing w:line="440" w:lineRule="exact"/>
        <w:ind w:firstLine="480" w:firstLineChars="200"/>
        <w:rPr>
          <w:rFonts w:hint="eastAsia"/>
        </w:rPr>
      </w:pPr>
      <w:r>
        <w:rPr>
          <w:rFonts w:hint="eastAsia"/>
        </w:rPr>
        <w:t>STM32F103C8T6 是意法半导体公司推出的一款基于ARM Cortex-M3 内核的 32 位微控制器，具有较强的运算能力和较丰富的片上外设资源。其最高主频可达 72MHz，片上集成 64KB Flash、20KB SRAM，并提供ADC、DMA、SPI、USART、定时器和GPIO 等多种外设接口，能够满足本项目音频采样、频谱分析、图形显示和蓝牙通信等功能需求。该芯片采用 LQFP48 封装，资源配置适中，便于完成嵌入式课程设计和毕业设计中的硬件连接与软件开发。</w:t>
      </w:r>
    </w:p>
    <w:p w14:paraId="58FF6A29">
      <w:pPr>
        <w:spacing w:line="440" w:lineRule="exact"/>
        <w:ind w:firstLine="480" w:firstLineChars="200"/>
        <w:rPr>
          <w:rFonts w:hint="eastAsia"/>
        </w:rPr>
      </w:pPr>
      <w:r>
        <w:rPr>
          <w:rFonts w:hint="eastAsia"/>
        </w:rPr>
        <w:t>STM32F103C8T6 内部具有较完整的电源、时钟、复位和启动配置体系。芯片一般工作在3.3V电压条件下，通过外部稳压与滤波电路可获得较稳定的供电环境；时钟部分通常采用外部晶振或内部时钟源，以满足系统主频运行需求；复位电路可通过上电复位和手动复位保证系统稳定启动；同时，芯片支持SWD调试接口，便于程序下载和在线调试。BOOT 引脚则可用于选择从 Flash、系统存储器或 SRAM启动，具有较好的开发灵活性。</w:t>
      </w:r>
    </w:p>
    <w:p w14:paraId="27FF77BD">
      <w:pPr>
        <w:spacing w:line="440" w:lineRule="exact"/>
        <w:ind w:firstLine="480" w:firstLineChars="200"/>
        <w:rPr>
          <w:rFonts w:hint="eastAsia"/>
        </w:rPr>
      </w:pPr>
      <w:r>
        <w:rPr>
          <w:rFonts w:hint="eastAsia"/>
        </w:rPr>
        <w:t>该芯片的主要优势在于性能和成本之间具有较好的平衡。一方面，72MHz 主频足以承担本项目 8 kHz 音频采样、FFT 运算和 TFT 刷新等任务；另一方面，其外围资源较丰富，不需要增加大量扩展芯片即可实现系统功能。此外，STM32 平台开发资料完善，Keil、IAR、STM32CubeIDE 以及 gcc-arm-none-eabi 等工具链均可支持开发，能够显著降低学习和实现难度。因此，本文选择 STM32F103C8T6 作为系统核心控制器。其实物如图3.4所示。</w:t>
      </w:r>
    </w:p>
    <w:p w14:paraId="7C56FAC4">
      <w:pPr>
        <w:spacing w:line="440" w:lineRule="atLeast"/>
      </w:pPr>
    </w:p>
    <w:p w14:paraId="2FDF2A70">
      <w:pPr>
        <w:spacing w:line="440" w:lineRule="atLeast"/>
        <w:jc w:val="center"/>
      </w:pPr>
      <w:r>
        <w:drawing>
          <wp:inline distT="0" distB="0" distL="114300" distR="114300">
            <wp:extent cx="2314575" cy="2534920"/>
            <wp:effectExtent l="0" t="0" r="9525" b="1778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8"/>
                    <a:stretch>
                      <a:fillRect/>
                    </a:stretch>
                  </pic:blipFill>
                  <pic:spPr>
                    <a:xfrm>
                      <a:off x="0" y="0"/>
                      <a:ext cx="2314575" cy="2534920"/>
                    </a:xfrm>
                    <a:prstGeom prst="rect">
                      <a:avLst/>
                    </a:prstGeom>
                    <a:noFill/>
                    <a:ln>
                      <a:noFill/>
                    </a:ln>
                  </pic:spPr>
                </pic:pic>
              </a:graphicData>
            </a:graphic>
          </wp:inline>
        </w:drawing>
      </w:r>
    </w:p>
    <w:p w14:paraId="28A3B541">
      <w:pPr>
        <w:spacing w:line="440" w:lineRule="exact"/>
        <w:jc w:val="center"/>
        <w:rPr>
          <w:sz w:val="21"/>
          <w:szCs w:val="21"/>
        </w:rPr>
      </w:pPr>
    </w:p>
    <w:p w14:paraId="6EC59A49">
      <w:pPr>
        <w:spacing w:line="440" w:lineRule="exact"/>
        <w:jc w:val="center"/>
        <w:rPr>
          <w:sz w:val="21"/>
          <w:szCs w:val="21"/>
        </w:rPr>
      </w:pPr>
      <w:r>
        <w:rPr>
          <w:rFonts w:hint="eastAsia"/>
          <w:sz w:val="21"/>
          <w:szCs w:val="21"/>
        </w:rPr>
        <w:t>图3.4  STM32F103C8T6系统板实物图</w:t>
      </w:r>
    </w:p>
    <w:p w14:paraId="4BE9A9E2">
      <w:pPr>
        <w:spacing w:line="440" w:lineRule="exact"/>
      </w:pPr>
    </w:p>
    <w:p w14:paraId="66AE238E">
      <w:pPr>
        <w:spacing w:line="440" w:lineRule="exact"/>
      </w:pPr>
      <w:r>
        <w:rPr>
          <w:rFonts w:hint="eastAsia"/>
        </w:rPr>
        <w:t>2.ILI9341 显示模块选型及优势介绍</w:t>
      </w:r>
    </w:p>
    <w:p w14:paraId="76F9D005">
      <w:pPr>
        <w:spacing w:line="440" w:lineRule="exact"/>
        <w:ind w:firstLine="480" w:firstLineChars="200"/>
        <w:rPr>
          <w:rFonts w:hint="eastAsia"/>
        </w:rPr>
      </w:pPr>
      <w:r>
        <w:rPr>
          <w:rFonts w:hint="eastAsia"/>
        </w:rPr>
        <w:t>ILI9341 是一种常用的彩色TFT液晶屏驱动芯片，常见分辨率为 240×320，支持 SPI并行/串行通信方式，具有显示内容丰富、驱动资料完善和硬件成本适中的特点。本项目采用 ILI9341 TFT 屏作为板端可视化显示终端，用于完成时域波形、频域频谱、瀑布图、VU 电平以及参数信息的本地显示。</w:t>
      </w:r>
    </w:p>
    <w:p w14:paraId="7E6FBA9B">
      <w:pPr>
        <w:spacing w:line="440" w:lineRule="exact"/>
        <w:ind w:firstLine="480" w:firstLineChars="200"/>
        <w:rPr>
          <w:rFonts w:hint="eastAsia"/>
        </w:rPr>
      </w:pPr>
      <w:r>
        <w:rPr>
          <w:rFonts w:hint="eastAsia"/>
        </w:rPr>
        <w:t>对于本系统而言，显示模块不仅需要显示简单字符信息，还要实时绘制曲线、频谱柱状图和状态区域，因此对屏幕分辨率和图形显示能力有一定要求。若采用字符屏或普通单色 OLED，虽然硬件连接较简单，但屏幕尺寸和像素数量有限，不利于同时展示波形、频谱和系统参数。ILI9341 的 240×320 分辨率能够较好满足本项目多区域显示需求，上部可显示模式与参数，中部可绘制主要图形，下部还可显示 RMS、阈值和音源状态等信息。</w:t>
      </w:r>
    </w:p>
    <w:p w14:paraId="160E12DA">
      <w:pPr>
        <w:spacing w:line="440" w:lineRule="exact"/>
        <w:ind w:firstLine="480" w:firstLineChars="200"/>
      </w:pPr>
      <w:r>
        <w:rPr>
          <w:rFonts w:hint="eastAsia"/>
        </w:rPr>
        <w:t>该模块的主要优势在于显示效果直观、接口成熟且价格相对较低。通过 SPI 接口可方便地与 STM32 相连，软件驱动实现难度适中，能够在资源有限的单片机平台上完成较完整的图形界面构建。因此，ILI9341 显示模块非常适合作为本项目的板端显示设备。</w:t>
      </w:r>
    </w:p>
    <w:p w14:paraId="34F60166">
      <w:pPr>
        <w:spacing w:line="440" w:lineRule="exact"/>
        <w:ind w:firstLine="480" w:firstLineChars="200"/>
      </w:pPr>
      <w:r>
        <w:rPr>
          <w:rFonts w:hint="eastAsia"/>
        </w:rPr>
        <w:t>其实物如图3.5所示：</w:t>
      </w:r>
    </w:p>
    <w:p w14:paraId="5CA0757A">
      <w:pPr>
        <w:spacing w:line="440" w:lineRule="exact"/>
      </w:pPr>
    </w:p>
    <w:p w14:paraId="12C7B7D8">
      <w:pPr>
        <w:spacing w:line="440" w:lineRule="atLeast"/>
        <w:jc w:val="center"/>
      </w:pPr>
      <w:r>
        <w:drawing>
          <wp:inline distT="0" distB="0" distL="114300" distR="114300">
            <wp:extent cx="1644650" cy="1590675"/>
            <wp:effectExtent l="0" t="0" r="12700" b="9525"/>
            <wp:docPr id="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pic:cNvPicPr>
                      <a:picLocks noChangeAspect="1"/>
                    </pic:cNvPicPr>
                  </pic:nvPicPr>
                  <pic:blipFill>
                    <a:blip r:embed="rId29"/>
                    <a:stretch>
                      <a:fillRect/>
                    </a:stretch>
                  </pic:blipFill>
                  <pic:spPr>
                    <a:xfrm>
                      <a:off x="0" y="0"/>
                      <a:ext cx="1644650" cy="1590675"/>
                    </a:xfrm>
                    <a:prstGeom prst="rect">
                      <a:avLst/>
                    </a:prstGeom>
                  </pic:spPr>
                </pic:pic>
              </a:graphicData>
            </a:graphic>
          </wp:inline>
        </w:drawing>
      </w:r>
    </w:p>
    <w:p w14:paraId="1C46330F">
      <w:pPr>
        <w:spacing w:line="440" w:lineRule="exact"/>
        <w:jc w:val="center"/>
        <w:rPr>
          <w:sz w:val="21"/>
          <w:szCs w:val="21"/>
        </w:rPr>
      </w:pPr>
    </w:p>
    <w:p w14:paraId="4024FE0B">
      <w:pPr>
        <w:spacing w:line="440" w:lineRule="exact"/>
        <w:jc w:val="center"/>
        <w:rPr>
          <w:rFonts w:hint="eastAsia"/>
          <w:sz w:val="21"/>
          <w:szCs w:val="21"/>
        </w:rPr>
      </w:pPr>
      <w:r>
        <w:rPr>
          <w:rFonts w:hint="eastAsia"/>
          <w:sz w:val="21"/>
          <w:szCs w:val="21"/>
        </w:rPr>
        <w:t>图3.5   ILI9341 TFT显示模块实物图</w:t>
      </w:r>
    </w:p>
    <w:p w14:paraId="44E11858">
      <w:pPr>
        <w:spacing w:line="440" w:lineRule="exact"/>
        <w:jc w:val="center"/>
        <w:rPr>
          <w:rFonts w:hint="eastAsia"/>
          <w:sz w:val="21"/>
          <w:szCs w:val="21"/>
        </w:rPr>
      </w:pPr>
    </w:p>
    <w:p w14:paraId="209CEB5E">
      <w:pPr>
        <w:spacing w:line="440" w:lineRule="exact"/>
      </w:pPr>
      <w:r>
        <w:rPr>
          <w:rFonts w:hint="eastAsia"/>
        </w:rPr>
        <w:t>3.蓝牙串口模块选型及优势介绍</w:t>
      </w:r>
    </w:p>
    <w:p w14:paraId="7BA8792C">
      <w:pPr>
        <w:spacing w:line="440" w:lineRule="exact"/>
        <w:ind w:firstLine="480" w:firstLineChars="200"/>
        <w:rPr>
          <w:rFonts w:hint="eastAsia"/>
        </w:rPr>
      </w:pPr>
      <w:r>
        <w:rPr>
          <w:rFonts w:hint="eastAsia"/>
        </w:rPr>
        <w:t>本项目在板端与 Android 上位机之间采用蓝牙串口模块进行无线通信。该类模块常见为 HC-05 或 HC-06 系列，能够通过 UART 与 STM32 主控连接，实现数据发送与命令接收。蓝牙模块在本系统中主要承担状态同步、参数下发和数据显示三项任务，使用户能够通过手机端完成模式切换、FFT 点数切换、窗函数设置、阈值调节和降噪开关等操作。</w:t>
      </w:r>
    </w:p>
    <w:p w14:paraId="16F13CDA">
      <w:pPr>
        <w:spacing w:line="440" w:lineRule="exact"/>
        <w:ind w:firstLine="480" w:firstLineChars="200"/>
        <w:rPr>
          <w:rFonts w:hint="eastAsia"/>
        </w:rPr>
      </w:pPr>
      <w:r>
        <w:rPr>
          <w:rFonts w:hint="eastAsia"/>
        </w:rPr>
        <w:t>与 WiFi 模块相比，蓝牙串口模块在本项目中的优势更加明显。首先，蓝牙连接方式较为轻量，不需要依赖路由器或云平台，适合毕业设计答辩和实验室现场演示；其次，蓝牙模块与 STM32 的接口简单，通常只需 TX、RX、电源和地线即可完成连接，硬件实现成本较低；再次，Android 手机对经典蓝牙串口通信支持较成熟，更有利于快速搭建手机端交互界面。对于本项目这种强调本地运行和近距离控制的系统而言，蓝牙方案比 WiFi 更加直接和实用。</w:t>
      </w:r>
    </w:p>
    <w:p w14:paraId="3EFE3403">
      <w:pPr>
        <w:spacing w:line="440" w:lineRule="exact"/>
        <w:ind w:firstLine="480" w:firstLineChars="200"/>
      </w:pPr>
      <w:r>
        <w:rPr>
          <w:rFonts w:hint="eastAsia"/>
        </w:rPr>
        <w:t>该模块的主要优势包括功耗较低、接线方便、通信可靠和调试难度较小。通过 USART1 即可完成与 STM32 的数据交互，便于实现文本协议通信，也便于后续扩展移动端可视化功能。因此，本文将蓝牙串口模块作为系统的无线通信单元。</w:t>
      </w:r>
    </w:p>
    <w:p w14:paraId="391E4024">
      <w:pPr>
        <w:spacing w:line="440" w:lineRule="exact"/>
        <w:ind w:firstLine="480" w:firstLineChars="200"/>
      </w:pPr>
      <w:r>
        <w:rPr>
          <w:rFonts w:hint="eastAsia"/>
        </w:rPr>
        <w:t>其实物如图3.6所示：</w:t>
      </w:r>
    </w:p>
    <w:p w14:paraId="588F71E1">
      <w:pPr>
        <w:spacing w:line="440" w:lineRule="exact"/>
      </w:pPr>
    </w:p>
    <w:p w14:paraId="1210A58C">
      <w:pPr>
        <w:spacing w:line="440" w:lineRule="atLeast"/>
        <w:ind w:leftChars="-59" w:hanging="141" w:hangingChars="59"/>
        <w:jc w:val="center"/>
      </w:pPr>
      <w:r>
        <w:drawing>
          <wp:inline distT="0" distB="0" distL="114300" distR="114300">
            <wp:extent cx="2044065" cy="1471930"/>
            <wp:effectExtent l="0" t="0" r="13335" b="1397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30"/>
                    <a:stretch>
                      <a:fillRect/>
                    </a:stretch>
                  </pic:blipFill>
                  <pic:spPr>
                    <a:xfrm>
                      <a:off x="0" y="0"/>
                      <a:ext cx="2044065" cy="1471930"/>
                    </a:xfrm>
                    <a:prstGeom prst="rect">
                      <a:avLst/>
                    </a:prstGeom>
                    <a:noFill/>
                    <a:ln>
                      <a:noFill/>
                    </a:ln>
                  </pic:spPr>
                </pic:pic>
              </a:graphicData>
            </a:graphic>
          </wp:inline>
        </w:drawing>
      </w:r>
    </w:p>
    <w:p w14:paraId="3B550A83">
      <w:pPr>
        <w:spacing w:line="440" w:lineRule="exact"/>
        <w:jc w:val="center"/>
        <w:rPr>
          <w:sz w:val="21"/>
          <w:szCs w:val="21"/>
        </w:rPr>
      </w:pPr>
    </w:p>
    <w:p w14:paraId="1E33C347">
      <w:pPr>
        <w:spacing w:line="440" w:lineRule="exact"/>
        <w:jc w:val="center"/>
        <w:rPr>
          <w:rFonts w:hint="eastAsia"/>
          <w:sz w:val="21"/>
          <w:szCs w:val="21"/>
        </w:rPr>
      </w:pPr>
      <w:r>
        <w:rPr>
          <w:rFonts w:hint="eastAsia"/>
          <w:sz w:val="21"/>
          <w:szCs w:val="21"/>
        </w:rPr>
        <w:t xml:space="preserve">图3.6 </w:t>
      </w:r>
      <w:r>
        <w:rPr>
          <w:rFonts w:hint="eastAsia"/>
          <w:sz w:val="21"/>
          <w:szCs w:val="21"/>
          <w:lang w:val="en-US" w:eastAsia="zh-CN"/>
        </w:rPr>
        <w:t>HC05蓝牙</w:t>
      </w:r>
      <w:r>
        <w:rPr>
          <w:rFonts w:hint="eastAsia"/>
          <w:sz w:val="21"/>
          <w:szCs w:val="21"/>
        </w:rPr>
        <w:t>模块</w:t>
      </w:r>
    </w:p>
    <w:p w14:paraId="7C179C60">
      <w:pPr>
        <w:spacing w:line="440" w:lineRule="exact"/>
        <w:jc w:val="center"/>
        <w:rPr>
          <w:rFonts w:hint="eastAsia"/>
          <w:sz w:val="21"/>
          <w:szCs w:val="21"/>
        </w:rPr>
      </w:pPr>
    </w:p>
    <w:p w14:paraId="42D746FF">
      <w:pPr>
        <w:spacing w:line="440" w:lineRule="exact"/>
      </w:pPr>
      <w:r>
        <w:rPr>
          <w:rFonts w:hint="eastAsia"/>
        </w:rPr>
        <w:t>4. 音频采样输入模块选型及优势介绍</w:t>
      </w:r>
    </w:p>
    <w:p w14:paraId="7170D9E4">
      <w:pPr>
        <w:spacing w:line="440" w:lineRule="exact"/>
        <w:ind w:firstLine="480" w:firstLineChars="200"/>
        <w:rPr>
          <w:rFonts w:hint="eastAsia"/>
        </w:rPr>
      </w:pPr>
      <w:r>
        <w:rPr>
          <w:rFonts w:hint="eastAsia"/>
        </w:rPr>
        <w:t>音频采样输入模块是本系统获取声音信息的前端部分。根据当前项目实现，系统同时支持麦克风输入和 3.5mm 线路输入两种方式，其中麦克风输入接至PB0引脚，对应ADC通道；3.5mm音频输入接至PA7引脚，也作为ADC采样输入。这样的设计使系统既能采集环境声音，也能直接接入外部音频信号，增强了系统在不同场景下的适用性。</w:t>
      </w:r>
    </w:p>
    <w:p w14:paraId="5EC44C0D">
      <w:pPr>
        <w:spacing w:line="440" w:lineRule="exact"/>
        <w:ind w:firstLine="480" w:firstLineChars="200"/>
        <w:rPr>
          <w:rFonts w:hint="eastAsia"/>
        </w:rPr>
      </w:pPr>
      <w:r>
        <w:rPr>
          <w:rFonts w:hint="eastAsia"/>
        </w:rPr>
        <w:t>在音频输入方式上，若仅保留单一路径，系统应用范围会受到限制。例如，仅使用驻极体麦克风虽然能够完成环境拾音，但在频谱测试时抗干扰能力相对较弱；而仅使用线路输入则不便于完成环境声采集和现场演示。采用双输入设计后，系统可根据实际需求切换音源，在课堂演示、音乐频谱测试和外部音频调试等场景下都具有较好的适应性。</w:t>
      </w:r>
    </w:p>
    <w:p w14:paraId="1607CD16">
      <w:pPr>
        <w:spacing w:line="440" w:lineRule="exact"/>
        <w:ind w:firstLine="480" w:firstLineChars="200"/>
        <w:rPr>
          <w:rFonts w:hint="eastAsia"/>
        </w:rPr>
      </w:pPr>
      <w:r>
        <w:rPr>
          <w:rFonts w:hint="eastAsia"/>
        </w:rPr>
        <w:t>本项目音频采样模块的优势主要在于结构简单、与STM32内部ADC接口匹配度高，同时具备较好的扩展性。系统通过 TIM3 触发 ADC，并配合DMA实现连续采样，不需要增加专用音频采样芯片即可完成基础音频处理任务，在降低硬件复杂度的同时也突出了软件实现的灵活性。其音频输入部分实物如图3.7所示。</w:t>
      </w:r>
    </w:p>
    <w:p w14:paraId="333051F8">
      <w:pPr>
        <w:spacing w:line="440" w:lineRule="exact"/>
        <w:ind w:firstLine="480" w:firstLineChars="200"/>
      </w:pPr>
      <w:r>
        <w:rPr>
          <w:rFonts w:hint="eastAsia"/>
        </w:rPr>
        <w:t>。</w:t>
      </w:r>
    </w:p>
    <w:p w14:paraId="1044B603">
      <w:pPr>
        <w:spacing w:line="440" w:lineRule="exact"/>
        <w:ind w:firstLine="480" w:firstLineChars="200"/>
      </w:pPr>
      <w:r>
        <w:rPr>
          <w:rFonts w:hint="eastAsia"/>
        </w:rPr>
        <w:t>其实物如图3.8所示：</w:t>
      </w:r>
      <w:r>
        <w:drawing>
          <wp:anchor distT="0" distB="0" distL="114300" distR="114300" simplePos="0" relativeHeight="251659264" behindDoc="0" locked="0" layoutInCell="1" allowOverlap="1">
            <wp:simplePos x="0" y="0"/>
            <wp:positionH relativeFrom="column">
              <wp:align>center</wp:align>
            </wp:positionH>
            <wp:positionV relativeFrom="paragraph">
              <wp:posOffset>283845</wp:posOffset>
            </wp:positionV>
            <wp:extent cx="2865120" cy="1752600"/>
            <wp:effectExtent l="0" t="0" r="0" b="0"/>
            <wp:wrapTopAndBottom/>
            <wp:docPr id="663380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807" name="图片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865120" cy="1752600"/>
                    </a:xfrm>
                    <a:prstGeom prst="rect">
                      <a:avLst/>
                    </a:prstGeom>
                    <a:noFill/>
                    <a:ln>
                      <a:noFill/>
                    </a:ln>
                  </pic:spPr>
                </pic:pic>
              </a:graphicData>
            </a:graphic>
          </wp:anchor>
        </w:drawing>
      </w:r>
    </w:p>
    <w:p w14:paraId="2E34EF8F">
      <w:pPr>
        <w:spacing w:line="440" w:lineRule="exact"/>
        <w:jc w:val="center"/>
        <w:rPr>
          <w:sz w:val="21"/>
          <w:szCs w:val="21"/>
        </w:rPr>
      </w:pPr>
    </w:p>
    <w:p w14:paraId="37074FF5">
      <w:pPr>
        <w:spacing w:line="440" w:lineRule="exact"/>
        <w:jc w:val="center"/>
        <w:rPr>
          <w:sz w:val="21"/>
          <w:szCs w:val="21"/>
        </w:rPr>
      </w:pPr>
      <w:r>
        <w:rPr>
          <w:rFonts w:hint="eastAsia"/>
          <w:sz w:val="21"/>
          <w:szCs w:val="21"/>
        </w:rPr>
        <w:t>图3.8  TCRT5000红外模块</w:t>
      </w:r>
    </w:p>
    <w:p w14:paraId="3731CB54">
      <w:pPr>
        <w:spacing w:line="440" w:lineRule="exact"/>
        <w:ind w:firstLine="480" w:firstLineChars="200"/>
      </w:pPr>
    </w:p>
    <w:p w14:paraId="2E932CB1">
      <w:pPr>
        <w:spacing w:line="440" w:lineRule="exact"/>
        <w:ind w:firstLine="480" w:firstLineChars="200"/>
      </w:pPr>
      <w:r>
        <w:rPr>
          <w:rFonts w:hint="eastAsia"/>
        </w:rPr>
        <w:t>其引脚定义及与STM32的连接关系如下表所示：</w:t>
      </w:r>
    </w:p>
    <w:p w14:paraId="5F264F1A">
      <w:pPr>
        <w:spacing w:line="440" w:lineRule="exact"/>
        <w:ind w:firstLine="480" w:firstLineChars="200"/>
      </w:pPr>
    </w:p>
    <w:p w14:paraId="5BB57940">
      <w:pPr>
        <w:spacing w:line="440" w:lineRule="exact"/>
        <w:jc w:val="center"/>
        <w:rPr>
          <w:sz w:val="21"/>
          <w:szCs w:val="21"/>
        </w:rPr>
      </w:pPr>
      <w:r>
        <w:rPr>
          <w:rFonts w:hint="eastAsia"/>
          <w:sz w:val="21"/>
          <w:szCs w:val="21"/>
        </w:rPr>
        <w:t>表3.3  引脚关系</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3"/>
        <w:gridCol w:w="3058"/>
        <w:gridCol w:w="2498"/>
      </w:tblGrid>
      <w:tr w14:paraId="2E8038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top w:val="single" w:color="auto" w:sz="12" w:space="0"/>
              <w:bottom w:val="single" w:color="auto" w:sz="4" w:space="0"/>
            </w:tcBorders>
            <w:shd w:val="clear" w:color="auto" w:fill="auto"/>
          </w:tcPr>
          <w:p w14:paraId="5BF9802A">
            <w:pPr>
              <w:widowControl w:val="0"/>
              <w:spacing w:line="440" w:lineRule="exact"/>
              <w:jc w:val="center"/>
              <w:rPr>
                <w:sz w:val="21"/>
                <w:szCs w:val="21"/>
              </w:rPr>
            </w:pPr>
            <w:r>
              <w:rPr>
                <w:rFonts w:hint="eastAsia"/>
                <w:sz w:val="21"/>
                <w:szCs w:val="21"/>
              </w:rPr>
              <w:t>STM32</w:t>
            </w:r>
          </w:p>
        </w:tc>
        <w:tc>
          <w:tcPr>
            <w:tcW w:w="3058" w:type="dxa"/>
            <w:tcBorders>
              <w:top w:val="single" w:color="auto" w:sz="12" w:space="0"/>
              <w:bottom w:val="single" w:color="auto" w:sz="4" w:space="0"/>
            </w:tcBorders>
            <w:shd w:val="clear" w:color="auto" w:fill="auto"/>
          </w:tcPr>
          <w:p w14:paraId="0DB6A506">
            <w:pPr>
              <w:widowControl w:val="0"/>
              <w:spacing w:line="440" w:lineRule="exact"/>
              <w:jc w:val="center"/>
              <w:rPr>
                <w:sz w:val="21"/>
                <w:szCs w:val="21"/>
              </w:rPr>
            </w:pPr>
            <w:r>
              <w:rPr>
                <w:rFonts w:hint="eastAsia"/>
                <w:sz w:val="21"/>
                <w:szCs w:val="21"/>
              </w:rPr>
              <w:t>TCR5000</w:t>
            </w:r>
          </w:p>
        </w:tc>
        <w:tc>
          <w:tcPr>
            <w:tcW w:w="2498" w:type="dxa"/>
            <w:tcBorders>
              <w:top w:val="single" w:color="auto" w:sz="12" w:space="0"/>
              <w:bottom w:val="single" w:color="auto" w:sz="4" w:space="0"/>
            </w:tcBorders>
            <w:shd w:val="clear" w:color="auto" w:fill="auto"/>
          </w:tcPr>
          <w:p w14:paraId="32E5A1E2">
            <w:pPr>
              <w:widowControl w:val="0"/>
              <w:spacing w:line="440" w:lineRule="exact"/>
              <w:jc w:val="center"/>
              <w:rPr>
                <w:sz w:val="21"/>
                <w:szCs w:val="21"/>
              </w:rPr>
            </w:pPr>
            <w:r>
              <w:rPr>
                <w:rFonts w:hint="eastAsia"/>
                <w:sz w:val="21"/>
                <w:szCs w:val="21"/>
              </w:rPr>
              <w:t>功能</w:t>
            </w:r>
          </w:p>
        </w:tc>
      </w:tr>
      <w:tr w14:paraId="1FB5B7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top w:val="single" w:color="auto" w:sz="4" w:space="0"/>
            </w:tcBorders>
            <w:shd w:val="clear" w:color="auto" w:fill="auto"/>
          </w:tcPr>
          <w:p w14:paraId="0808ACE4">
            <w:pPr>
              <w:widowControl w:val="0"/>
              <w:spacing w:line="440" w:lineRule="exact"/>
              <w:jc w:val="center"/>
              <w:rPr>
                <w:sz w:val="21"/>
                <w:szCs w:val="21"/>
              </w:rPr>
            </w:pPr>
            <w:r>
              <w:rPr>
                <w:rFonts w:hint="eastAsia"/>
                <w:sz w:val="21"/>
                <w:szCs w:val="21"/>
              </w:rPr>
              <w:t>PA5</w:t>
            </w:r>
          </w:p>
        </w:tc>
        <w:tc>
          <w:tcPr>
            <w:tcW w:w="3058" w:type="dxa"/>
            <w:tcBorders>
              <w:top w:val="single" w:color="auto" w:sz="4" w:space="0"/>
            </w:tcBorders>
            <w:shd w:val="clear" w:color="auto" w:fill="auto"/>
          </w:tcPr>
          <w:p w14:paraId="4FDD4FBD">
            <w:pPr>
              <w:widowControl w:val="0"/>
              <w:spacing w:line="440" w:lineRule="exact"/>
              <w:jc w:val="center"/>
              <w:rPr>
                <w:sz w:val="21"/>
                <w:szCs w:val="21"/>
              </w:rPr>
            </w:pPr>
            <w:r>
              <w:rPr>
                <w:rFonts w:hint="eastAsia"/>
                <w:sz w:val="21"/>
                <w:szCs w:val="21"/>
              </w:rPr>
              <w:t>DO</w:t>
            </w:r>
          </w:p>
        </w:tc>
        <w:tc>
          <w:tcPr>
            <w:tcW w:w="2498" w:type="dxa"/>
            <w:tcBorders>
              <w:top w:val="single" w:color="auto" w:sz="4" w:space="0"/>
            </w:tcBorders>
            <w:shd w:val="clear" w:color="auto" w:fill="auto"/>
          </w:tcPr>
          <w:p w14:paraId="7848E63D">
            <w:pPr>
              <w:widowControl w:val="0"/>
              <w:spacing w:line="440" w:lineRule="exact"/>
              <w:jc w:val="center"/>
              <w:rPr>
                <w:sz w:val="21"/>
                <w:szCs w:val="21"/>
              </w:rPr>
            </w:pPr>
            <w:r>
              <w:rPr>
                <w:rFonts w:hint="eastAsia"/>
                <w:sz w:val="21"/>
                <w:szCs w:val="21"/>
              </w:rPr>
              <w:t>数字输出引脚</w:t>
            </w:r>
          </w:p>
        </w:tc>
      </w:tr>
      <w:tr w14:paraId="19E864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194EC289">
            <w:pPr>
              <w:widowControl w:val="0"/>
              <w:spacing w:line="440" w:lineRule="exact"/>
              <w:jc w:val="center"/>
              <w:rPr>
                <w:sz w:val="21"/>
                <w:szCs w:val="21"/>
              </w:rPr>
            </w:pPr>
            <w:r>
              <w:rPr>
                <w:rFonts w:hint="eastAsia"/>
                <w:sz w:val="21"/>
                <w:szCs w:val="21"/>
              </w:rPr>
              <w:t>3.3V</w:t>
            </w:r>
          </w:p>
        </w:tc>
        <w:tc>
          <w:tcPr>
            <w:tcW w:w="3058" w:type="dxa"/>
            <w:shd w:val="clear" w:color="auto" w:fill="auto"/>
          </w:tcPr>
          <w:p w14:paraId="7D89CB58">
            <w:pPr>
              <w:widowControl w:val="0"/>
              <w:spacing w:line="440" w:lineRule="exact"/>
              <w:jc w:val="center"/>
              <w:rPr>
                <w:sz w:val="21"/>
                <w:szCs w:val="21"/>
              </w:rPr>
            </w:pPr>
            <w:r>
              <w:rPr>
                <w:rFonts w:hint="eastAsia"/>
                <w:sz w:val="21"/>
                <w:szCs w:val="21"/>
              </w:rPr>
              <w:t>VCC</w:t>
            </w:r>
          </w:p>
        </w:tc>
        <w:tc>
          <w:tcPr>
            <w:tcW w:w="2498" w:type="dxa"/>
            <w:shd w:val="clear" w:color="auto" w:fill="auto"/>
          </w:tcPr>
          <w:p w14:paraId="2A4AFD69">
            <w:pPr>
              <w:widowControl w:val="0"/>
              <w:spacing w:line="440" w:lineRule="exact"/>
              <w:jc w:val="center"/>
              <w:rPr>
                <w:sz w:val="21"/>
                <w:szCs w:val="21"/>
              </w:rPr>
            </w:pPr>
            <w:r>
              <w:rPr>
                <w:rFonts w:hint="eastAsia"/>
                <w:sz w:val="21"/>
                <w:szCs w:val="21"/>
              </w:rPr>
              <w:t>电源</w:t>
            </w:r>
          </w:p>
        </w:tc>
      </w:tr>
      <w:tr w14:paraId="0ACE30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03574985">
            <w:pPr>
              <w:widowControl w:val="0"/>
              <w:spacing w:line="440" w:lineRule="exact"/>
              <w:jc w:val="center"/>
              <w:rPr>
                <w:sz w:val="21"/>
                <w:szCs w:val="21"/>
              </w:rPr>
            </w:pPr>
            <w:r>
              <w:rPr>
                <w:rFonts w:hint="eastAsia"/>
                <w:sz w:val="21"/>
                <w:szCs w:val="21"/>
              </w:rPr>
              <w:t>GND</w:t>
            </w:r>
          </w:p>
        </w:tc>
        <w:tc>
          <w:tcPr>
            <w:tcW w:w="3058" w:type="dxa"/>
            <w:shd w:val="clear" w:color="auto" w:fill="auto"/>
          </w:tcPr>
          <w:p w14:paraId="46AC37E0">
            <w:pPr>
              <w:widowControl w:val="0"/>
              <w:spacing w:line="440" w:lineRule="exact"/>
              <w:jc w:val="center"/>
              <w:rPr>
                <w:sz w:val="21"/>
                <w:szCs w:val="21"/>
              </w:rPr>
            </w:pPr>
            <w:r>
              <w:rPr>
                <w:rFonts w:hint="eastAsia"/>
                <w:sz w:val="21"/>
                <w:szCs w:val="21"/>
              </w:rPr>
              <w:t>GND</w:t>
            </w:r>
          </w:p>
        </w:tc>
        <w:tc>
          <w:tcPr>
            <w:tcW w:w="2498" w:type="dxa"/>
            <w:shd w:val="clear" w:color="auto" w:fill="auto"/>
          </w:tcPr>
          <w:p w14:paraId="57E86DEE">
            <w:pPr>
              <w:widowControl w:val="0"/>
              <w:spacing w:line="440" w:lineRule="exact"/>
              <w:jc w:val="center"/>
              <w:rPr>
                <w:sz w:val="21"/>
                <w:szCs w:val="21"/>
              </w:rPr>
            </w:pPr>
            <w:r>
              <w:rPr>
                <w:rFonts w:hint="eastAsia"/>
                <w:sz w:val="21"/>
                <w:szCs w:val="21"/>
              </w:rPr>
              <w:t>电源地</w:t>
            </w:r>
          </w:p>
        </w:tc>
      </w:tr>
      <w:tr w14:paraId="7C19E5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bottom w:val="single" w:color="auto" w:sz="12" w:space="0"/>
            </w:tcBorders>
            <w:shd w:val="clear" w:color="auto" w:fill="auto"/>
          </w:tcPr>
          <w:p w14:paraId="232103CC">
            <w:pPr>
              <w:widowControl w:val="0"/>
              <w:spacing w:line="440" w:lineRule="exact"/>
              <w:jc w:val="center"/>
              <w:rPr>
                <w:sz w:val="21"/>
                <w:szCs w:val="21"/>
              </w:rPr>
            </w:pPr>
          </w:p>
        </w:tc>
        <w:tc>
          <w:tcPr>
            <w:tcW w:w="3058" w:type="dxa"/>
            <w:tcBorders>
              <w:bottom w:val="single" w:color="auto" w:sz="12" w:space="0"/>
            </w:tcBorders>
            <w:shd w:val="clear" w:color="auto" w:fill="auto"/>
          </w:tcPr>
          <w:p w14:paraId="449B778F">
            <w:pPr>
              <w:widowControl w:val="0"/>
              <w:spacing w:line="440" w:lineRule="exact"/>
              <w:jc w:val="center"/>
              <w:rPr>
                <w:sz w:val="21"/>
                <w:szCs w:val="21"/>
              </w:rPr>
            </w:pPr>
            <w:r>
              <w:rPr>
                <w:rFonts w:hint="eastAsia"/>
                <w:sz w:val="21"/>
                <w:szCs w:val="21"/>
              </w:rPr>
              <w:t>AO</w:t>
            </w:r>
          </w:p>
        </w:tc>
        <w:tc>
          <w:tcPr>
            <w:tcW w:w="2498" w:type="dxa"/>
            <w:tcBorders>
              <w:bottom w:val="single" w:color="auto" w:sz="12" w:space="0"/>
            </w:tcBorders>
            <w:shd w:val="clear" w:color="auto" w:fill="auto"/>
          </w:tcPr>
          <w:p w14:paraId="1B46899C">
            <w:pPr>
              <w:widowControl w:val="0"/>
              <w:spacing w:line="440" w:lineRule="exact"/>
              <w:jc w:val="center"/>
              <w:rPr>
                <w:sz w:val="21"/>
                <w:szCs w:val="21"/>
              </w:rPr>
            </w:pPr>
            <w:r>
              <w:rPr>
                <w:rFonts w:hint="eastAsia"/>
                <w:sz w:val="21"/>
                <w:szCs w:val="21"/>
              </w:rPr>
              <w:t>模拟输出引脚</w:t>
            </w:r>
          </w:p>
        </w:tc>
      </w:tr>
    </w:tbl>
    <w:p w14:paraId="087E0388">
      <w:pPr>
        <w:spacing w:line="440" w:lineRule="exact"/>
        <w:ind w:firstLine="480" w:firstLineChars="200"/>
      </w:pPr>
    </w:p>
    <w:p w14:paraId="655A1BFF">
      <w:pPr>
        <w:spacing w:line="440" w:lineRule="exact"/>
        <w:ind w:firstLine="480" w:firstLineChars="200"/>
      </w:pPr>
      <w:r>
        <w:rPr>
          <w:rFonts w:hint="eastAsia"/>
        </w:rPr>
        <w:t>TCRT5000红外模块的优势包括高灵敏度与可检测行，并且支持双输出模式，即数字信号输出（DO），提供高低电平，本项目所使用的检测电平为低电平，即前方出现物体则输出低电平，模拟信号输出（AO），输出连续电压值，这与反射光的强度相关。由于它的低功耗和抗环境干扰能力强的特性，它被广泛应用于红外智能检测，以及机器人、智能小车等的红外避障导航。</w:t>
      </w:r>
    </w:p>
    <w:p w14:paraId="4CF0EA31">
      <w:pPr>
        <w:spacing w:line="440" w:lineRule="exact"/>
      </w:pPr>
      <w:r>
        <w:rPr>
          <w:rFonts w:hint="eastAsia"/>
        </w:rPr>
        <w:t>5.SG90舵机驱动模块介绍</w:t>
      </w:r>
    </w:p>
    <w:p w14:paraId="51552A7F">
      <w:pPr>
        <w:spacing w:line="440" w:lineRule="exact"/>
        <w:ind w:firstLine="480"/>
      </w:pPr>
      <w:r>
        <w:rPr>
          <w:rFonts w:hint="eastAsia"/>
        </w:rPr>
        <w:t>SG90是一款常见的微型舵机，即舵机服务于电机，广泛应用于机器人、遥控模型、智能家居等场景，其核心功能是通过输入PWM（脉冲调制宽度）信号控制输出轴旋转角度，通常为0°~180°。</w:t>
      </w:r>
    </w:p>
    <w:p w14:paraId="4B4C3C07">
      <w:pPr>
        <w:spacing w:line="440" w:lineRule="exact"/>
        <w:ind w:firstLine="480"/>
      </w:pPr>
      <w:r>
        <w:rPr>
          <w:rFonts w:hint="eastAsia"/>
        </w:rPr>
        <w:t>SG90舵机的工作原理可以概括如下：其内部设定有一个基准电压。当单片机TIM3通道发出的PWM信号传入舵机时，该信号会与基准电压进行比较，进而产生一个电压差。这一电压差随后被输送至电机驱动芯片，依据其正负值，驱动芯片将指令电机进行正转或反转。在启动旋转过程中，舵机内部的级联减速齿轮会带动电位器进行旋转，直至电压差归零，此时电机将停止转动。通常SG90的控制以一个约20ms的时基脉冲为基础，而脉冲的高电平部分通常维持在0.5ms~2.5ms的范围内。</w:t>
      </w:r>
    </w:p>
    <w:p w14:paraId="46A7B5FA">
      <w:pPr>
        <w:spacing w:line="440" w:lineRule="exact"/>
        <w:ind w:firstLine="480"/>
      </w:pPr>
      <w:r>
        <w:rPr>
          <w:rFonts w:hint="eastAsia"/>
        </w:rPr>
        <w:t>SG90舵机实物如图3.9所示：</w:t>
      </w:r>
    </w:p>
    <w:p w14:paraId="2AFD2511">
      <w:pPr>
        <w:spacing w:line="440" w:lineRule="exact"/>
        <w:ind w:firstLine="480"/>
      </w:pPr>
    </w:p>
    <w:p w14:paraId="075413F5">
      <w:pPr>
        <w:spacing w:line="440" w:lineRule="atLeast"/>
        <w:jc w:val="center"/>
      </w:pPr>
      <w:r>
        <w:drawing>
          <wp:inline distT="0" distB="0" distL="0" distR="0">
            <wp:extent cx="2174875" cy="1590040"/>
            <wp:effectExtent l="0" t="0" r="0" b="0"/>
            <wp:docPr id="9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174875" cy="1590040"/>
                    </a:xfrm>
                    <a:prstGeom prst="rect">
                      <a:avLst/>
                    </a:prstGeom>
                    <a:noFill/>
                    <a:ln>
                      <a:noFill/>
                    </a:ln>
                  </pic:spPr>
                </pic:pic>
              </a:graphicData>
            </a:graphic>
          </wp:inline>
        </w:drawing>
      </w:r>
    </w:p>
    <w:p w14:paraId="6859138F">
      <w:pPr>
        <w:spacing w:line="440" w:lineRule="exact"/>
        <w:jc w:val="center"/>
        <w:rPr>
          <w:sz w:val="21"/>
          <w:szCs w:val="21"/>
        </w:rPr>
      </w:pPr>
    </w:p>
    <w:p w14:paraId="4C83D092">
      <w:pPr>
        <w:spacing w:line="440" w:lineRule="exact"/>
        <w:jc w:val="center"/>
        <w:rPr>
          <w:sz w:val="21"/>
          <w:szCs w:val="21"/>
        </w:rPr>
      </w:pPr>
      <w:r>
        <w:rPr>
          <w:rFonts w:hint="eastAsia"/>
          <w:sz w:val="21"/>
          <w:szCs w:val="21"/>
        </w:rPr>
        <w:t>图3.9  SG90舵机</w:t>
      </w:r>
    </w:p>
    <w:p w14:paraId="77E5513E">
      <w:pPr>
        <w:spacing w:line="440" w:lineRule="exact"/>
      </w:pPr>
    </w:p>
    <w:p w14:paraId="336AC06B">
      <w:pPr>
        <w:pStyle w:val="3"/>
        <w:spacing w:before="120"/>
      </w:pPr>
      <w:bookmarkStart w:id="35" w:name="_Toc468117599"/>
      <w:bookmarkStart w:id="36" w:name="_Toc18500"/>
      <w:bookmarkStart w:id="37" w:name="_Toc216894839"/>
      <w:bookmarkStart w:id="38" w:name="_Toc198563257"/>
      <w:r>
        <w:rPr>
          <w:rFonts w:hint="eastAsia"/>
        </w:rPr>
        <w:t xml:space="preserve">3.3 </w:t>
      </w:r>
      <w:bookmarkEnd w:id="35"/>
      <w:bookmarkEnd w:id="36"/>
      <w:bookmarkEnd w:id="37"/>
      <w:r>
        <w:rPr>
          <w:rFonts w:hint="eastAsia"/>
        </w:rPr>
        <w:t>开发环境搭建</w:t>
      </w:r>
      <w:bookmarkEnd w:id="38"/>
    </w:p>
    <w:p w14:paraId="21649D51">
      <w:pPr>
        <w:spacing w:line="440" w:lineRule="exact"/>
        <w:ind w:firstLine="480" w:firstLineChars="200"/>
      </w:pPr>
      <w:r>
        <w:rPr>
          <w:rFonts w:hint="eastAsia"/>
        </w:rPr>
        <w:t>本项目所使用的开发环境主要包括</w:t>
      </w:r>
      <w:r>
        <w:t>keil</w:t>
      </w:r>
      <w:r>
        <w:rPr>
          <w:rFonts w:hint="eastAsia"/>
        </w:rPr>
        <w:t xml:space="preserve"> 5和天问block。</w:t>
      </w:r>
    </w:p>
    <w:p w14:paraId="2BF3FB1A">
      <w:pPr>
        <w:spacing w:line="440" w:lineRule="exact"/>
        <w:ind w:firstLine="480" w:firstLineChars="200"/>
      </w:pPr>
      <w:r>
        <w:t>K</w:t>
      </w:r>
      <w:r>
        <w:rPr>
          <w:rFonts w:hint="eastAsia"/>
        </w:rPr>
        <w:t xml:space="preserve">eil </w:t>
      </w:r>
      <w:r>
        <w:t>uVision</w:t>
      </w:r>
      <w:r>
        <w:rPr>
          <w:rFonts w:hint="eastAsia"/>
        </w:rPr>
        <w:t xml:space="preserve"> 5（即</w:t>
      </w:r>
      <w:r>
        <w:t>keil</w:t>
      </w:r>
      <w:r>
        <w:rPr>
          <w:rFonts w:hint="eastAsia"/>
        </w:rPr>
        <w:t xml:space="preserve"> 5）是一款集成开发环境（IDE）,主要用于嵌入式系统开发，特别是基于ARM-Cortex-M系列微控制器的应用程序开发。</w:t>
      </w:r>
    </w:p>
    <w:p w14:paraId="49F4E3A5">
      <w:pPr>
        <w:spacing w:line="440" w:lineRule="exact"/>
        <w:ind w:firstLine="480" w:firstLineChars="200"/>
      </w:pPr>
      <w:r>
        <w:t>K</w:t>
      </w:r>
      <w:r>
        <w:rPr>
          <w:rFonts w:hint="eastAsia"/>
        </w:rPr>
        <w:t>eil 5提供了编译器、调试器、模拟器等一系列开发工具，方便开发者进行代码编写、编译、调试和下载到目标硬件中。而且它支持多种开发语音，包括C、C++和汇编语言，并且它提供了丰富的库函数和外部资源（例如本项目所需要的外部中断和库函数），因此可以简化开发过程。它的调试能力也非常强大，在编译查错时可以帮助我们快速找到报错位置并解决程序问题。因此</w:t>
      </w:r>
      <w:r>
        <w:t>keil</w:t>
      </w:r>
      <w:r>
        <w:rPr>
          <w:rFonts w:hint="eastAsia"/>
        </w:rPr>
        <w:t xml:space="preserve"> 5是嵌入式系统开发中不可或缺的一款重要工具。</w:t>
      </w:r>
    </w:p>
    <w:p w14:paraId="4577CCB7">
      <w:pPr>
        <w:spacing w:line="440" w:lineRule="exact"/>
        <w:ind w:firstLine="480" w:firstLineChars="200"/>
      </w:pPr>
      <w:r>
        <w:rPr>
          <w:rFonts w:hint="eastAsia"/>
        </w:rPr>
        <w:t>它的安装程序如图3.10所示：</w:t>
      </w:r>
    </w:p>
    <w:p w14:paraId="1FF56E3C">
      <w:pPr>
        <w:spacing w:line="440" w:lineRule="atLeast"/>
        <w:jc w:val="center"/>
      </w:pPr>
      <w:r>
        <w:drawing>
          <wp:inline distT="0" distB="0" distL="0" distR="0">
            <wp:extent cx="716915" cy="864870"/>
            <wp:effectExtent l="0" t="0" r="0" b="0"/>
            <wp:docPr id="1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716915" cy="864870"/>
                    </a:xfrm>
                    <a:prstGeom prst="rect">
                      <a:avLst/>
                    </a:prstGeom>
                    <a:noFill/>
                    <a:ln>
                      <a:noFill/>
                    </a:ln>
                  </pic:spPr>
                </pic:pic>
              </a:graphicData>
            </a:graphic>
          </wp:inline>
        </w:drawing>
      </w:r>
    </w:p>
    <w:p w14:paraId="70B74CA6">
      <w:pPr>
        <w:spacing w:line="440" w:lineRule="exact"/>
        <w:ind w:left="-2" w:leftChars="-1" w:firstLine="1"/>
        <w:jc w:val="center"/>
        <w:rPr>
          <w:sz w:val="21"/>
          <w:szCs w:val="21"/>
        </w:rPr>
      </w:pPr>
    </w:p>
    <w:p w14:paraId="2592C0E6">
      <w:pPr>
        <w:spacing w:line="440" w:lineRule="exact"/>
        <w:ind w:left="-2" w:leftChars="-1" w:firstLine="1"/>
        <w:jc w:val="center"/>
        <w:rPr>
          <w:sz w:val="21"/>
          <w:szCs w:val="21"/>
        </w:rPr>
      </w:pPr>
      <w:r>
        <w:rPr>
          <w:rFonts w:hint="eastAsia"/>
          <w:sz w:val="21"/>
          <w:szCs w:val="21"/>
        </w:rPr>
        <w:t xml:space="preserve">图3.10  </w:t>
      </w:r>
      <w:r>
        <w:rPr>
          <w:sz w:val="21"/>
          <w:szCs w:val="21"/>
        </w:rPr>
        <w:t>keil</w:t>
      </w:r>
      <w:r>
        <w:rPr>
          <w:rFonts w:hint="eastAsia"/>
          <w:sz w:val="21"/>
          <w:szCs w:val="21"/>
        </w:rPr>
        <w:t xml:space="preserve"> 5开发环境</w:t>
      </w:r>
    </w:p>
    <w:p w14:paraId="09FF0DE0">
      <w:pPr>
        <w:spacing w:line="440" w:lineRule="exact"/>
        <w:ind w:firstLine="480" w:firstLineChars="200"/>
      </w:pPr>
    </w:p>
    <w:p w14:paraId="18C40772">
      <w:pPr>
        <w:spacing w:line="440" w:lineRule="exact"/>
        <w:ind w:firstLine="480" w:firstLineChars="200"/>
      </w:pPr>
      <w:r>
        <w:rPr>
          <w:rFonts w:hint="eastAsia"/>
        </w:rPr>
        <w:t>天问block是一个基于区块链技术的数字身份验证和数据交换平台，它支持STC全系列8位单片机、32位ARM等的单片机开发，提供项目创建、云保存、代码编写、调试配置、程序下载等功能，适用于STC系列单片机、多种型号ASRPRO语音开发板等的开发。其中ASRPRO芯片是一个低成本的离线语音应用方案开发的一款通用、便携、高性能的语音识别芯片，采用了第三代DNPU技术，能支持语音识别、声纹识别、语音增强和语音检测等功能，具有强劲的回声消除和环境噪声抑制能力。本项目所使用的是ASRPRO01开发芯片。</w:t>
      </w:r>
    </w:p>
    <w:p w14:paraId="335E5551">
      <w:pPr>
        <w:spacing w:line="440" w:lineRule="exact"/>
        <w:ind w:firstLine="420"/>
      </w:pPr>
      <w:r>
        <w:rPr>
          <w:rFonts w:hint="eastAsia"/>
        </w:rPr>
        <w:t>它的开发程序如图3.11所示：</w:t>
      </w:r>
    </w:p>
    <w:p w14:paraId="44FBC10B">
      <w:pPr>
        <w:spacing w:line="440" w:lineRule="exact"/>
        <w:ind w:firstLine="420"/>
      </w:pPr>
    </w:p>
    <w:p w14:paraId="09299AD1">
      <w:pPr>
        <w:spacing w:line="440" w:lineRule="atLeast"/>
        <w:jc w:val="center"/>
      </w:pPr>
      <w:r>
        <w:drawing>
          <wp:inline distT="0" distB="0" distL="0" distR="0">
            <wp:extent cx="848360" cy="947420"/>
            <wp:effectExtent l="0" t="0" r="0" b="0"/>
            <wp:docPr id="1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848360" cy="947420"/>
                    </a:xfrm>
                    <a:prstGeom prst="rect">
                      <a:avLst/>
                    </a:prstGeom>
                    <a:noFill/>
                    <a:ln>
                      <a:noFill/>
                    </a:ln>
                  </pic:spPr>
                </pic:pic>
              </a:graphicData>
            </a:graphic>
          </wp:inline>
        </w:drawing>
      </w:r>
    </w:p>
    <w:p w14:paraId="1B3DFA9A">
      <w:pPr>
        <w:spacing w:line="440" w:lineRule="exact"/>
        <w:jc w:val="center"/>
        <w:rPr>
          <w:sz w:val="21"/>
          <w:szCs w:val="21"/>
        </w:rPr>
      </w:pPr>
    </w:p>
    <w:p w14:paraId="508783D9">
      <w:pPr>
        <w:spacing w:line="440" w:lineRule="exact"/>
        <w:jc w:val="center"/>
        <w:rPr>
          <w:sz w:val="21"/>
          <w:szCs w:val="21"/>
        </w:rPr>
      </w:pPr>
      <w:r>
        <w:rPr>
          <w:rFonts w:hint="eastAsia"/>
          <w:sz w:val="21"/>
          <w:szCs w:val="21"/>
        </w:rPr>
        <w:t>图3.11  天问block编译环境</w:t>
      </w:r>
    </w:p>
    <w:p w14:paraId="1C21C640">
      <w:pPr>
        <w:spacing w:line="440" w:lineRule="exact"/>
        <w:jc w:val="center"/>
        <w:rPr>
          <w:sz w:val="21"/>
          <w:szCs w:val="21"/>
        </w:rPr>
      </w:pPr>
    </w:p>
    <w:p w14:paraId="79DA064D">
      <w:pPr>
        <w:pStyle w:val="3"/>
        <w:spacing w:before="120"/>
      </w:pPr>
      <w:bookmarkStart w:id="39" w:name="_Toc195704953"/>
      <w:bookmarkStart w:id="40" w:name="_Toc19477"/>
      <w:bookmarkStart w:id="41" w:name="_Toc216894840"/>
      <w:bookmarkStart w:id="42" w:name="_Toc468117600"/>
      <w:bookmarkStart w:id="43" w:name="_Toc198563258"/>
      <w:r>
        <w:rPr>
          <w:rFonts w:hint="eastAsia"/>
        </w:rPr>
        <w:t xml:space="preserve">3.4 </w:t>
      </w:r>
      <w:bookmarkEnd w:id="39"/>
      <w:bookmarkEnd w:id="40"/>
      <w:bookmarkEnd w:id="41"/>
      <w:bookmarkEnd w:id="42"/>
      <w:r>
        <w:rPr>
          <w:rFonts w:hint="eastAsia"/>
        </w:rPr>
        <w:t>可行性分析</w:t>
      </w:r>
      <w:bookmarkEnd w:id="43"/>
    </w:p>
    <w:p w14:paraId="3C30BC72">
      <w:pPr>
        <w:spacing w:line="440" w:lineRule="exact"/>
        <w:ind w:firstLine="480" w:firstLineChars="200"/>
      </w:pPr>
      <w:r>
        <w:rPr>
          <w:rFonts w:hint="eastAsia"/>
        </w:rPr>
        <w:t>基于第二章的需求分析，包括市场需求以及功能需求，以及上述所使用的设备和开发环境，现对本项目进行如下的系统可行性和经济可行性分析：</w:t>
      </w:r>
    </w:p>
    <w:p w14:paraId="34BA40A6">
      <w:pPr>
        <w:pStyle w:val="4"/>
        <w:spacing w:before="120"/>
      </w:pPr>
      <w:bookmarkStart w:id="44" w:name="_Toc198563259"/>
      <w:r>
        <w:rPr>
          <w:rFonts w:hint="eastAsia"/>
        </w:rPr>
        <w:t>3.4.1 系统可行性分析</w:t>
      </w:r>
      <w:bookmarkEnd w:id="44"/>
    </w:p>
    <w:p w14:paraId="684EF4F9">
      <w:pPr>
        <w:spacing w:line="440" w:lineRule="exact"/>
        <w:ind w:firstLine="480" w:firstLineChars="200"/>
      </w:pPr>
      <w:r>
        <w:rPr>
          <w:rFonts w:hint="eastAsia"/>
        </w:rPr>
        <w:t>核心控制器可行性：STM32F103主频在72MHZ，与SG90舵机所需要的主频相同，</w:t>
      </w:r>
      <w:bookmarkStart w:id="126" w:name="_GoBack"/>
      <w:bookmarkEnd w:id="126"/>
      <w:r>
        <w:rPr>
          <w:rFonts w:hint="eastAsia"/>
        </w:rPr>
        <w:t>实测的时钟偏差率较低，可以不再手动调节，并且基于ASR01，STM32的语音频谱分析可实现20ms内，因此满足了离线语音实时性需求。</w:t>
      </w:r>
    </w:p>
    <w:p w14:paraId="3818D80A">
      <w:pPr>
        <w:spacing w:line="440" w:lineRule="exact"/>
        <w:ind w:firstLine="480" w:firstLineChars="200"/>
      </w:pPr>
      <w:r>
        <w:rPr>
          <w:rFonts w:hint="eastAsia"/>
        </w:rPr>
        <w:t>ASR语音模块的适配性：因为ASR01的内置降噪功能，该模块可以实现在安静环境下95%以上的识别准确率，通过USART3异步串口与主控单元通信，可以构建主从式处理架构，可直接输出识别结果（例如苹果皮、尘土等），因此降低了主控芯片的运算压力。</w:t>
      </w:r>
    </w:p>
    <w:p w14:paraId="2C24BA78">
      <w:pPr>
        <w:spacing w:line="440" w:lineRule="exact"/>
        <w:ind w:firstLine="480" w:firstLineChars="200"/>
      </w:pPr>
      <w:r>
        <w:rPr>
          <w:rFonts w:hint="eastAsia"/>
        </w:rPr>
        <w:t>开发环境支持：</w:t>
      </w:r>
      <w:r>
        <w:t>keil</w:t>
      </w:r>
      <w:r>
        <w:rPr>
          <w:rFonts w:hint="eastAsia"/>
        </w:rPr>
        <w:t xml:space="preserve"> 5提供完善的STM32固件库和调试工具，适用于底层驱动开发，例如PWM占空比控制与舵机驱动、ADC采样速率控制与读取红外信号；天问block，图形化编程简化语音交互逻辑，并且自带超过200条指令的IP库，降低了语音训练成本，支持一键生成C代码并与</w:t>
      </w:r>
      <w:r>
        <w:t>keil</w:t>
      </w:r>
      <w:r>
        <w:rPr>
          <w:rFonts w:hint="eastAsia"/>
        </w:rPr>
        <w:t xml:space="preserve"> 5工程集成。</w:t>
      </w:r>
    </w:p>
    <w:p w14:paraId="18126856">
      <w:pPr>
        <w:spacing w:line="440" w:lineRule="exact"/>
        <w:ind w:firstLine="480" w:firstLineChars="200"/>
      </w:pPr>
      <w:r>
        <w:rPr>
          <w:rFonts w:hint="eastAsia"/>
        </w:rPr>
        <w:t>数据安全与政策合规架构：语音数据支持本地处理、WIFI模块仅传输分类结果，符合《网络安全法》和《个人信息保护法》</w:t>
      </w:r>
      <w:r>
        <w:rPr>
          <w:vertAlign w:val="superscript"/>
        </w:rPr>
        <w:fldChar w:fldCharType="begin"/>
      </w:r>
      <w:r>
        <w:rPr>
          <w:vertAlign w:val="superscript"/>
        </w:rPr>
        <w:instrText xml:space="preserve"> </w:instrText>
      </w:r>
      <w:r>
        <w:rPr>
          <w:rFonts w:hint="eastAsia"/>
          <w:vertAlign w:val="superscript"/>
        </w:rPr>
        <w:instrText xml:space="preserve">REF _Ref197681694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。若是想对本项目进行升级更新，WIFI模块也可以烧录OTA固件。根据中国《“十四五”循环经济发展规划》，明确要求推广智能垃圾桶分类设备，本项目符合政策补贴方向。</w:t>
      </w:r>
    </w:p>
    <w:p w14:paraId="15395D72">
      <w:pPr>
        <w:pStyle w:val="4"/>
        <w:spacing w:before="120"/>
      </w:pPr>
      <w:bookmarkStart w:id="45" w:name="_Toc198563260"/>
      <w:r>
        <w:rPr>
          <w:rFonts w:hint="eastAsia"/>
        </w:rPr>
        <w:t>3.4.2 经济可行性分析</w:t>
      </w:r>
      <w:bookmarkEnd w:id="45"/>
    </w:p>
    <w:p w14:paraId="12152036">
      <w:pPr>
        <w:spacing w:line="440" w:lineRule="exact"/>
        <w:ind w:firstLine="480" w:firstLineChars="200"/>
      </w:pPr>
      <w:r>
        <w:rPr>
          <w:rFonts w:hint="eastAsia"/>
        </w:rPr>
        <w:t>（1）成本估算</w:t>
      </w:r>
    </w:p>
    <w:p w14:paraId="4B68BB33">
      <w:pPr>
        <w:spacing w:line="440" w:lineRule="exact"/>
        <w:jc w:val="center"/>
        <w:rPr>
          <w:sz w:val="21"/>
          <w:szCs w:val="21"/>
        </w:rPr>
      </w:pPr>
      <w:r>
        <w:rPr>
          <w:sz w:val="21"/>
          <w:szCs w:val="21"/>
        </w:rPr>
        <w:br w:type="page"/>
      </w:r>
      <w:r>
        <w:rPr>
          <w:rFonts w:hint="eastAsia"/>
          <w:sz w:val="21"/>
          <w:szCs w:val="21"/>
        </w:rPr>
        <w:t>表3.4 项目成本估计</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3"/>
        <w:gridCol w:w="3058"/>
        <w:gridCol w:w="2498"/>
      </w:tblGrid>
      <w:tr w14:paraId="049A05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top w:val="single" w:color="auto" w:sz="12" w:space="0"/>
              <w:bottom w:val="single" w:color="auto" w:sz="4" w:space="0"/>
            </w:tcBorders>
            <w:shd w:val="clear" w:color="auto" w:fill="auto"/>
          </w:tcPr>
          <w:p w14:paraId="0BE281C0">
            <w:pPr>
              <w:widowControl w:val="0"/>
              <w:spacing w:line="440" w:lineRule="exact"/>
              <w:jc w:val="center"/>
              <w:rPr>
                <w:sz w:val="21"/>
                <w:szCs w:val="21"/>
              </w:rPr>
            </w:pPr>
            <w:r>
              <w:rPr>
                <w:rFonts w:hint="eastAsia"/>
                <w:sz w:val="21"/>
                <w:szCs w:val="21"/>
              </w:rPr>
              <w:t>模块</w:t>
            </w:r>
          </w:p>
        </w:tc>
        <w:tc>
          <w:tcPr>
            <w:tcW w:w="3058" w:type="dxa"/>
            <w:tcBorders>
              <w:top w:val="single" w:color="auto" w:sz="12" w:space="0"/>
              <w:bottom w:val="single" w:color="auto" w:sz="4" w:space="0"/>
            </w:tcBorders>
            <w:shd w:val="clear" w:color="auto" w:fill="auto"/>
          </w:tcPr>
          <w:p w14:paraId="0B985DA6">
            <w:pPr>
              <w:widowControl w:val="0"/>
              <w:spacing w:line="440" w:lineRule="exact"/>
              <w:jc w:val="center"/>
              <w:rPr>
                <w:sz w:val="21"/>
                <w:szCs w:val="21"/>
              </w:rPr>
            </w:pPr>
            <w:r>
              <w:rPr>
                <w:rFonts w:hint="eastAsia"/>
                <w:sz w:val="21"/>
                <w:szCs w:val="21"/>
              </w:rPr>
              <w:t>成本（人民币）</w:t>
            </w:r>
          </w:p>
        </w:tc>
        <w:tc>
          <w:tcPr>
            <w:tcW w:w="2498" w:type="dxa"/>
            <w:tcBorders>
              <w:top w:val="single" w:color="auto" w:sz="12" w:space="0"/>
              <w:bottom w:val="single" w:color="auto" w:sz="4" w:space="0"/>
            </w:tcBorders>
            <w:shd w:val="clear" w:color="auto" w:fill="auto"/>
          </w:tcPr>
          <w:p w14:paraId="6F4D53F0">
            <w:pPr>
              <w:widowControl w:val="0"/>
              <w:spacing w:line="440" w:lineRule="exact"/>
              <w:jc w:val="center"/>
              <w:rPr>
                <w:sz w:val="21"/>
                <w:szCs w:val="21"/>
              </w:rPr>
            </w:pPr>
            <w:r>
              <w:rPr>
                <w:rFonts w:hint="eastAsia"/>
                <w:sz w:val="21"/>
                <w:szCs w:val="21"/>
              </w:rPr>
              <w:t>说明</w:t>
            </w:r>
          </w:p>
        </w:tc>
      </w:tr>
      <w:tr w14:paraId="30EAE3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top w:val="single" w:color="auto" w:sz="4" w:space="0"/>
            </w:tcBorders>
            <w:shd w:val="clear" w:color="auto" w:fill="auto"/>
          </w:tcPr>
          <w:p w14:paraId="23D53ECF">
            <w:pPr>
              <w:widowControl w:val="0"/>
              <w:spacing w:line="440" w:lineRule="exact"/>
              <w:jc w:val="center"/>
              <w:rPr>
                <w:sz w:val="21"/>
                <w:szCs w:val="21"/>
              </w:rPr>
            </w:pPr>
            <w:r>
              <w:rPr>
                <w:rFonts w:hint="eastAsia"/>
                <w:sz w:val="21"/>
                <w:szCs w:val="21"/>
              </w:rPr>
              <w:t>STM32F103</w:t>
            </w:r>
          </w:p>
        </w:tc>
        <w:tc>
          <w:tcPr>
            <w:tcW w:w="3058" w:type="dxa"/>
            <w:tcBorders>
              <w:top w:val="single" w:color="auto" w:sz="4" w:space="0"/>
            </w:tcBorders>
            <w:shd w:val="clear" w:color="auto" w:fill="auto"/>
          </w:tcPr>
          <w:p w14:paraId="46D75394">
            <w:pPr>
              <w:widowControl w:val="0"/>
              <w:spacing w:line="440" w:lineRule="exact"/>
              <w:jc w:val="center"/>
              <w:rPr>
                <w:sz w:val="21"/>
                <w:szCs w:val="21"/>
              </w:rPr>
            </w:pPr>
            <w:r>
              <w:rPr>
                <w:rFonts w:hint="eastAsia"/>
                <w:sz w:val="21"/>
                <w:szCs w:val="21"/>
              </w:rPr>
              <w:t>45</w:t>
            </w:r>
          </w:p>
        </w:tc>
        <w:tc>
          <w:tcPr>
            <w:tcW w:w="2498" w:type="dxa"/>
            <w:tcBorders>
              <w:top w:val="single" w:color="auto" w:sz="4" w:space="0"/>
            </w:tcBorders>
            <w:shd w:val="clear" w:color="auto" w:fill="auto"/>
          </w:tcPr>
          <w:p w14:paraId="4DAE4070">
            <w:pPr>
              <w:widowControl w:val="0"/>
              <w:spacing w:line="440" w:lineRule="exact"/>
              <w:jc w:val="center"/>
              <w:rPr>
                <w:sz w:val="21"/>
                <w:szCs w:val="21"/>
              </w:rPr>
            </w:pPr>
            <w:r>
              <w:rPr>
                <w:rFonts w:hint="eastAsia"/>
                <w:sz w:val="21"/>
                <w:szCs w:val="21"/>
              </w:rPr>
              <w:t>核心控制器</w:t>
            </w:r>
          </w:p>
        </w:tc>
      </w:tr>
      <w:tr w14:paraId="094322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3E1B058D">
            <w:pPr>
              <w:widowControl w:val="0"/>
              <w:spacing w:line="440" w:lineRule="exact"/>
              <w:jc w:val="center"/>
              <w:rPr>
                <w:sz w:val="21"/>
                <w:szCs w:val="21"/>
              </w:rPr>
            </w:pPr>
            <w:r>
              <w:rPr>
                <w:rFonts w:hint="eastAsia"/>
                <w:sz w:val="21"/>
                <w:szCs w:val="21"/>
              </w:rPr>
              <w:t>ASR01</w:t>
            </w:r>
          </w:p>
        </w:tc>
        <w:tc>
          <w:tcPr>
            <w:tcW w:w="3058" w:type="dxa"/>
            <w:shd w:val="clear" w:color="auto" w:fill="auto"/>
          </w:tcPr>
          <w:p w14:paraId="2DB0CCE3">
            <w:pPr>
              <w:widowControl w:val="0"/>
              <w:spacing w:line="440" w:lineRule="exact"/>
              <w:jc w:val="center"/>
              <w:rPr>
                <w:sz w:val="21"/>
                <w:szCs w:val="21"/>
              </w:rPr>
            </w:pPr>
            <w:r>
              <w:rPr>
                <w:rFonts w:hint="eastAsia"/>
                <w:sz w:val="21"/>
                <w:szCs w:val="21"/>
              </w:rPr>
              <w:t>40</w:t>
            </w:r>
          </w:p>
        </w:tc>
        <w:tc>
          <w:tcPr>
            <w:tcW w:w="2498" w:type="dxa"/>
            <w:shd w:val="clear" w:color="auto" w:fill="auto"/>
          </w:tcPr>
          <w:p w14:paraId="72B0F20F">
            <w:pPr>
              <w:widowControl w:val="0"/>
              <w:spacing w:line="440" w:lineRule="exact"/>
              <w:jc w:val="center"/>
              <w:rPr>
                <w:sz w:val="21"/>
                <w:szCs w:val="21"/>
              </w:rPr>
            </w:pPr>
            <w:r>
              <w:rPr>
                <w:rFonts w:hint="eastAsia"/>
                <w:sz w:val="21"/>
                <w:szCs w:val="21"/>
              </w:rPr>
              <w:t>指令存储，串口通信</w:t>
            </w:r>
          </w:p>
        </w:tc>
      </w:tr>
      <w:tr w14:paraId="561DF7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6F852A24">
            <w:pPr>
              <w:widowControl w:val="0"/>
              <w:spacing w:line="440" w:lineRule="exact"/>
              <w:jc w:val="center"/>
              <w:rPr>
                <w:sz w:val="21"/>
                <w:szCs w:val="21"/>
              </w:rPr>
            </w:pPr>
            <w:r>
              <w:rPr>
                <w:rFonts w:hint="eastAsia"/>
                <w:sz w:val="21"/>
                <w:szCs w:val="21"/>
              </w:rPr>
              <w:t>TCRT5000</w:t>
            </w:r>
          </w:p>
        </w:tc>
        <w:tc>
          <w:tcPr>
            <w:tcW w:w="3058" w:type="dxa"/>
            <w:shd w:val="clear" w:color="auto" w:fill="auto"/>
          </w:tcPr>
          <w:p w14:paraId="62AE98D1">
            <w:pPr>
              <w:widowControl w:val="0"/>
              <w:spacing w:line="440" w:lineRule="exact"/>
              <w:jc w:val="center"/>
              <w:rPr>
                <w:sz w:val="21"/>
                <w:szCs w:val="21"/>
              </w:rPr>
            </w:pPr>
            <w:r>
              <w:rPr>
                <w:rFonts w:hint="eastAsia"/>
                <w:sz w:val="21"/>
                <w:szCs w:val="21"/>
              </w:rPr>
              <w:t>5元/个</w:t>
            </w:r>
          </w:p>
        </w:tc>
        <w:tc>
          <w:tcPr>
            <w:tcW w:w="2498" w:type="dxa"/>
            <w:shd w:val="clear" w:color="auto" w:fill="auto"/>
          </w:tcPr>
          <w:p w14:paraId="5F297FF0">
            <w:pPr>
              <w:widowControl w:val="0"/>
              <w:spacing w:line="440" w:lineRule="exact"/>
              <w:jc w:val="center"/>
              <w:rPr>
                <w:sz w:val="21"/>
                <w:szCs w:val="21"/>
              </w:rPr>
            </w:pPr>
            <w:r>
              <w:rPr>
                <w:rFonts w:hint="eastAsia"/>
                <w:sz w:val="21"/>
                <w:szCs w:val="21"/>
              </w:rPr>
              <w:t>位置检测</w:t>
            </w:r>
          </w:p>
        </w:tc>
      </w:tr>
      <w:tr w14:paraId="455B86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56A31CA7">
            <w:pPr>
              <w:widowControl w:val="0"/>
              <w:spacing w:line="440" w:lineRule="exact"/>
              <w:jc w:val="center"/>
              <w:rPr>
                <w:sz w:val="21"/>
                <w:szCs w:val="21"/>
              </w:rPr>
            </w:pPr>
            <w:r>
              <w:rPr>
                <w:rFonts w:hint="eastAsia"/>
                <w:sz w:val="21"/>
                <w:szCs w:val="21"/>
              </w:rPr>
              <w:t>SG90</w:t>
            </w:r>
          </w:p>
        </w:tc>
        <w:tc>
          <w:tcPr>
            <w:tcW w:w="3058" w:type="dxa"/>
            <w:shd w:val="clear" w:color="auto" w:fill="auto"/>
          </w:tcPr>
          <w:p w14:paraId="4A8F1AAB">
            <w:pPr>
              <w:widowControl w:val="0"/>
              <w:spacing w:line="440" w:lineRule="exact"/>
              <w:jc w:val="center"/>
              <w:rPr>
                <w:sz w:val="21"/>
                <w:szCs w:val="21"/>
              </w:rPr>
            </w:pPr>
            <w:r>
              <w:rPr>
                <w:rFonts w:hint="eastAsia"/>
                <w:sz w:val="21"/>
                <w:szCs w:val="21"/>
              </w:rPr>
              <w:t>10元/个</w:t>
            </w:r>
          </w:p>
        </w:tc>
        <w:tc>
          <w:tcPr>
            <w:tcW w:w="2498" w:type="dxa"/>
            <w:shd w:val="clear" w:color="auto" w:fill="auto"/>
          </w:tcPr>
          <w:p w14:paraId="6EFEF074">
            <w:pPr>
              <w:widowControl w:val="0"/>
              <w:spacing w:line="440" w:lineRule="exact"/>
              <w:jc w:val="center"/>
              <w:rPr>
                <w:sz w:val="21"/>
                <w:szCs w:val="21"/>
              </w:rPr>
            </w:pPr>
            <w:r>
              <w:rPr>
                <w:rFonts w:hint="eastAsia"/>
                <w:sz w:val="21"/>
                <w:szCs w:val="21"/>
              </w:rPr>
              <w:t>控制垃圾桶盖</w:t>
            </w:r>
          </w:p>
        </w:tc>
      </w:tr>
      <w:tr w14:paraId="2A695E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633B409C">
            <w:pPr>
              <w:widowControl w:val="0"/>
              <w:spacing w:line="440" w:lineRule="exact"/>
              <w:jc w:val="center"/>
              <w:rPr>
                <w:sz w:val="21"/>
                <w:szCs w:val="21"/>
              </w:rPr>
            </w:pPr>
            <w:r>
              <w:rPr>
                <w:rFonts w:hint="eastAsia"/>
                <w:sz w:val="21"/>
                <w:szCs w:val="21"/>
              </w:rPr>
              <w:t>ESP01</w:t>
            </w:r>
          </w:p>
        </w:tc>
        <w:tc>
          <w:tcPr>
            <w:tcW w:w="3058" w:type="dxa"/>
            <w:shd w:val="clear" w:color="auto" w:fill="auto"/>
          </w:tcPr>
          <w:p w14:paraId="732A934F">
            <w:pPr>
              <w:widowControl w:val="0"/>
              <w:spacing w:line="440" w:lineRule="exact"/>
              <w:jc w:val="center"/>
              <w:rPr>
                <w:sz w:val="21"/>
                <w:szCs w:val="21"/>
              </w:rPr>
            </w:pPr>
            <w:r>
              <w:rPr>
                <w:rFonts w:hint="eastAsia"/>
                <w:sz w:val="21"/>
                <w:szCs w:val="21"/>
              </w:rPr>
              <w:t>15</w:t>
            </w:r>
          </w:p>
        </w:tc>
        <w:tc>
          <w:tcPr>
            <w:tcW w:w="2498" w:type="dxa"/>
            <w:shd w:val="clear" w:color="auto" w:fill="auto"/>
          </w:tcPr>
          <w:p w14:paraId="43623A74">
            <w:pPr>
              <w:widowControl w:val="0"/>
              <w:spacing w:line="440" w:lineRule="exact"/>
              <w:jc w:val="center"/>
              <w:rPr>
                <w:sz w:val="21"/>
                <w:szCs w:val="21"/>
              </w:rPr>
            </w:pPr>
            <w:r>
              <w:rPr>
                <w:rFonts w:hint="eastAsia"/>
                <w:sz w:val="21"/>
                <w:szCs w:val="21"/>
              </w:rPr>
              <w:t>支持OTA固件更新</w:t>
            </w:r>
          </w:p>
        </w:tc>
      </w:tr>
      <w:tr w14:paraId="2307B9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275F8B26">
            <w:pPr>
              <w:widowControl w:val="0"/>
              <w:spacing w:line="440" w:lineRule="exact"/>
              <w:jc w:val="center"/>
              <w:rPr>
                <w:sz w:val="21"/>
                <w:szCs w:val="21"/>
              </w:rPr>
            </w:pPr>
            <w:r>
              <w:rPr>
                <w:rFonts w:hint="eastAsia"/>
                <w:sz w:val="21"/>
                <w:szCs w:val="21"/>
              </w:rPr>
              <w:t>其他零部件</w:t>
            </w:r>
          </w:p>
        </w:tc>
        <w:tc>
          <w:tcPr>
            <w:tcW w:w="3058" w:type="dxa"/>
            <w:shd w:val="clear" w:color="auto" w:fill="auto"/>
          </w:tcPr>
          <w:p w14:paraId="1769E9AE">
            <w:pPr>
              <w:widowControl w:val="0"/>
              <w:spacing w:line="440" w:lineRule="exact"/>
              <w:jc w:val="center"/>
              <w:rPr>
                <w:sz w:val="21"/>
                <w:szCs w:val="21"/>
              </w:rPr>
            </w:pPr>
            <w:r>
              <w:rPr>
                <w:rFonts w:hint="eastAsia"/>
                <w:sz w:val="21"/>
                <w:szCs w:val="21"/>
              </w:rPr>
              <w:t>65</w:t>
            </w:r>
          </w:p>
        </w:tc>
        <w:tc>
          <w:tcPr>
            <w:tcW w:w="2498" w:type="dxa"/>
            <w:shd w:val="clear" w:color="auto" w:fill="auto"/>
          </w:tcPr>
          <w:p w14:paraId="55366684">
            <w:pPr>
              <w:widowControl w:val="0"/>
              <w:spacing w:line="440" w:lineRule="exact"/>
              <w:jc w:val="center"/>
              <w:rPr>
                <w:sz w:val="21"/>
                <w:szCs w:val="21"/>
              </w:rPr>
            </w:pPr>
            <w:r>
              <w:rPr>
                <w:rFonts w:hint="eastAsia"/>
                <w:sz w:val="21"/>
                <w:szCs w:val="21"/>
              </w:rPr>
              <w:t>零件必需品</w:t>
            </w:r>
          </w:p>
        </w:tc>
      </w:tr>
      <w:tr w14:paraId="15E5BE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bottom w:val="single" w:color="auto" w:sz="12" w:space="0"/>
            </w:tcBorders>
            <w:shd w:val="clear" w:color="auto" w:fill="auto"/>
          </w:tcPr>
          <w:p w14:paraId="7A657F9A">
            <w:pPr>
              <w:widowControl w:val="0"/>
              <w:spacing w:line="440" w:lineRule="exact"/>
              <w:jc w:val="center"/>
              <w:rPr>
                <w:sz w:val="21"/>
                <w:szCs w:val="21"/>
              </w:rPr>
            </w:pPr>
            <w:r>
              <w:rPr>
                <w:rFonts w:hint="eastAsia"/>
                <w:sz w:val="21"/>
                <w:szCs w:val="21"/>
              </w:rPr>
              <w:t>合计</w:t>
            </w:r>
          </w:p>
        </w:tc>
        <w:tc>
          <w:tcPr>
            <w:tcW w:w="3058" w:type="dxa"/>
            <w:tcBorders>
              <w:bottom w:val="single" w:color="auto" w:sz="12" w:space="0"/>
            </w:tcBorders>
            <w:shd w:val="clear" w:color="auto" w:fill="auto"/>
          </w:tcPr>
          <w:p w14:paraId="22DD380D">
            <w:pPr>
              <w:widowControl w:val="0"/>
              <w:spacing w:line="440" w:lineRule="exact"/>
              <w:jc w:val="center"/>
              <w:rPr>
                <w:sz w:val="21"/>
                <w:szCs w:val="21"/>
              </w:rPr>
            </w:pPr>
            <w:r>
              <w:rPr>
                <w:rFonts w:hint="eastAsia"/>
                <w:sz w:val="21"/>
                <w:szCs w:val="21"/>
              </w:rPr>
              <w:t>225</w:t>
            </w:r>
          </w:p>
        </w:tc>
        <w:tc>
          <w:tcPr>
            <w:tcW w:w="2498" w:type="dxa"/>
            <w:tcBorders>
              <w:bottom w:val="single" w:color="auto" w:sz="12" w:space="0"/>
            </w:tcBorders>
            <w:shd w:val="clear" w:color="auto" w:fill="auto"/>
          </w:tcPr>
          <w:p w14:paraId="1BBBFD01">
            <w:pPr>
              <w:widowControl w:val="0"/>
              <w:spacing w:line="440" w:lineRule="exact"/>
              <w:jc w:val="center"/>
              <w:rPr>
                <w:sz w:val="21"/>
                <w:szCs w:val="21"/>
              </w:rPr>
            </w:pPr>
          </w:p>
        </w:tc>
      </w:tr>
    </w:tbl>
    <w:p w14:paraId="29C12BAB">
      <w:pPr>
        <w:ind w:firstLine="480" w:firstLineChars="200"/>
      </w:pPr>
    </w:p>
    <w:p w14:paraId="72B50759">
      <w:pPr>
        <w:spacing w:line="440" w:lineRule="exact"/>
        <w:ind w:firstLine="480" w:firstLineChars="200"/>
      </w:pPr>
      <w:r>
        <w:rPr>
          <w:rFonts w:hint="eastAsia"/>
        </w:rPr>
        <w:t>（2）收益与市场潜力</w:t>
      </w:r>
    </w:p>
    <w:p w14:paraId="25E7E56F">
      <w:pPr>
        <w:spacing w:line="440" w:lineRule="exact"/>
        <w:ind w:firstLine="480" w:firstLineChars="200"/>
      </w:pPr>
      <w:r>
        <w:rPr>
          <w:rFonts w:hint="eastAsia"/>
        </w:rPr>
        <w:t>目标场景集中在家庭、社区垃圾站、学校等，因此针对不同场景设计不同需求是必要条件，中国垃圾分类设备市场规模预计2025年超200亿元。根据语音识别功能能力预估售价，功能越显著，售价越高，最高可以实现成本的三倍。</w:t>
      </w:r>
    </w:p>
    <w:p w14:paraId="4C598FCA">
      <w:pPr>
        <w:spacing w:line="440" w:lineRule="exact"/>
        <w:ind w:firstLine="480" w:firstLineChars="200"/>
      </w:pPr>
      <w:r>
        <w:rPr>
          <w:rFonts w:hint="eastAsia"/>
        </w:rPr>
        <w:t>本项目在技术上是根据STM32+ASR01的轻量化方案，可以实现低成本语音识别与垃圾分类的控制，站点设置分为两种：若是只设置一个站点，则对于单个设备的存储量和语音指令量需求更大，成本则是150元—250元；若是设置多个站点，则对于每台设备的存储量和语音指令量需求就会比单一站点的更小，每台成本在50元—150元。市场定价具备一定的竞争力，只要符合政策支持方向，是可以优先开发原型机的。</w:t>
      </w:r>
    </w:p>
    <w:p w14:paraId="22EE28A1">
      <w:pPr>
        <w:spacing w:line="440" w:lineRule="exact"/>
        <w:ind w:firstLine="480" w:firstLineChars="200"/>
      </w:pPr>
    </w:p>
    <w:p w14:paraId="25995FB6">
      <w:pPr>
        <w:pStyle w:val="3"/>
        <w:spacing w:before="120"/>
      </w:pPr>
      <w:bookmarkStart w:id="46" w:name="_Toc198563261"/>
      <w:r>
        <w:rPr>
          <w:rFonts w:hint="eastAsia"/>
        </w:rPr>
        <w:t>3.5 本章小结</w:t>
      </w:r>
      <w:bookmarkEnd w:id="46"/>
    </w:p>
    <w:p w14:paraId="07F99DF1">
      <w:pPr>
        <w:spacing w:line="440" w:lineRule="exact"/>
        <w:ind w:firstLine="480" w:firstLineChars="200"/>
      </w:pPr>
      <w:r>
        <w:rPr>
          <w:rFonts w:hint="eastAsia"/>
        </w:rPr>
        <w:t>这一章主要介绍了系统的软硬件整体框架，罗列出了需要使用的硬件模块并对它们进行了介绍和优势说明，然后将主要使用的开发环境进行了介绍。根据第二章的需求分析、使用的模块和使用的开发环境对本项目进行了可行性分析。</w:t>
      </w:r>
    </w:p>
    <w:p w14:paraId="0E2CCB58">
      <w:pPr>
        <w:pStyle w:val="2"/>
      </w:pPr>
      <w:r>
        <w:br w:type="page"/>
      </w:r>
      <w:bookmarkStart w:id="47" w:name="_Toc468117601"/>
      <w:bookmarkStart w:id="48" w:name="_Toc19387"/>
      <w:bookmarkStart w:id="49" w:name="_Toc198563262"/>
      <w:r>
        <w:rPr>
          <w:rFonts w:hint="eastAsia"/>
        </w:rPr>
        <w:t xml:space="preserve">第4章  </w:t>
      </w:r>
      <w:bookmarkEnd w:id="47"/>
      <w:bookmarkEnd w:id="48"/>
      <w:r>
        <w:rPr>
          <w:rFonts w:hint="eastAsia"/>
        </w:rPr>
        <w:t>系统硬件方案设计</w:t>
      </w:r>
      <w:bookmarkEnd w:id="49"/>
    </w:p>
    <w:p w14:paraId="6781A990">
      <w:pPr>
        <w:pStyle w:val="3"/>
        <w:spacing w:before="120"/>
      </w:pPr>
      <w:bookmarkStart w:id="50" w:name="_Toc468117602"/>
      <w:bookmarkStart w:id="51" w:name="_Toc22376"/>
      <w:bookmarkStart w:id="52" w:name="_Toc198563263"/>
      <w:r>
        <w:rPr>
          <w:rFonts w:hint="eastAsia"/>
        </w:rPr>
        <w:t xml:space="preserve">4.1 </w:t>
      </w:r>
      <w:bookmarkEnd w:id="50"/>
      <w:bookmarkEnd w:id="51"/>
      <w:r>
        <w:rPr>
          <w:rFonts w:hint="eastAsia"/>
        </w:rPr>
        <w:t>STM32主控模块</w:t>
      </w:r>
      <w:bookmarkEnd w:id="52"/>
    </w:p>
    <w:p w14:paraId="7452D4CC">
      <w:pPr>
        <w:spacing w:line="440" w:lineRule="exact"/>
        <w:ind w:firstLine="501" w:firstLineChars="209"/>
      </w:pPr>
      <w:r>
        <w:rPr>
          <w:rFonts w:hint="eastAsia"/>
        </w:rPr>
        <w:t>（1）主控模块</w:t>
      </w:r>
    </w:p>
    <w:p w14:paraId="28BA8DFF">
      <w:pPr>
        <w:spacing w:line="440" w:lineRule="exact"/>
        <w:ind w:firstLine="501" w:firstLineChars="209"/>
      </w:pPr>
      <w:r>
        <w:rPr>
          <w:rFonts w:hint="eastAsia"/>
        </w:rPr>
        <w:t>STM32F103C8T6引脚原理如图4.1所示：</w:t>
      </w:r>
    </w:p>
    <w:p w14:paraId="40671C3B">
      <w:pPr>
        <w:spacing w:line="440" w:lineRule="exact"/>
        <w:ind w:firstLine="501" w:firstLineChars="209"/>
      </w:pPr>
    </w:p>
    <w:p w14:paraId="17E63B18">
      <w:pPr>
        <w:spacing w:line="440" w:lineRule="atLeast"/>
        <w:jc w:val="center"/>
      </w:pPr>
      <w:r>
        <w:drawing>
          <wp:inline distT="0" distB="0" distL="0" distR="0">
            <wp:extent cx="3427095" cy="3344545"/>
            <wp:effectExtent l="0" t="0" r="0" b="0"/>
            <wp:docPr id="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427095" cy="3344545"/>
                    </a:xfrm>
                    <a:prstGeom prst="rect">
                      <a:avLst/>
                    </a:prstGeom>
                    <a:noFill/>
                    <a:ln>
                      <a:noFill/>
                    </a:ln>
                  </pic:spPr>
                </pic:pic>
              </a:graphicData>
            </a:graphic>
          </wp:inline>
        </w:drawing>
      </w:r>
    </w:p>
    <w:p w14:paraId="6E580893">
      <w:pPr>
        <w:spacing w:line="440" w:lineRule="exact"/>
        <w:jc w:val="center"/>
        <w:rPr>
          <w:sz w:val="21"/>
          <w:szCs w:val="21"/>
        </w:rPr>
      </w:pPr>
    </w:p>
    <w:p w14:paraId="7675B7D2">
      <w:pPr>
        <w:spacing w:line="440" w:lineRule="exact"/>
        <w:jc w:val="center"/>
        <w:rPr>
          <w:sz w:val="21"/>
          <w:szCs w:val="21"/>
        </w:rPr>
      </w:pPr>
      <w:r>
        <w:rPr>
          <w:rFonts w:hint="eastAsia"/>
          <w:sz w:val="21"/>
          <w:szCs w:val="21"/>
        </w:rPr>
        <w:t>图4.1  STM32F103C8T6引脚示意图</w:t>
      </w:r>
    </w:p>
    <w:p w14:paraId="1D19E4A8">
      <w:pPr>
        <w:spacing w:line="440" w:lineRule="exact"/>
        <w:ind w:firstLine="501" w:firstLineChars="209"/>
      </w:pPr>
    </w:p>
    <w:p w14:paraId="0565D421">
      <w:pPr>
        <w:spacing w:line="440" w:lineRule="exact"/>
        <w:ind w:firstLine="501" w:firstLineChars="209"/>
      </w:pPr>
      <w:r>
        <w:rPr>
          <w:rFonts w:hint="eastAsia"/>
        </w:rPr>
        <w:t>STM32F103C8T6拥有丰富的引脚资源和GPIO引脚组，其中的一些还有复用功能。它的内部通常设置有3.3V的电源，因此可以作为自带的电源给其他通信模块通电。</w:t>
      </w:r>
    </w:p>
    <w:p w14:paraId="2E87BA53">
      <w:pPr>
        <w:spacing w:line="440" w:lineRule="exact"/>
        <w:ind w:firstLine="501" w:firstLineChars="209"/>
      </w:pPr>
      <w:r>
        <w:rPr>
          <w:rFonts w:hint="eastAsia"/>
        </w:rPr>
        <w:t>它的通信接口也包含了I2C、USART等通信协议。</w:t>
      </w:r>
    </w:p>
    <w:p w14:paraId="2803CECE">
      <w:pPr>
        <w:spacing w:line="440" w:lineRule="exact"/>
        <w:ind w:firstLine="501" w:firstLineChars="209"/>
      </w:pPr>
      <w:r>
        <w:rPr>
          <w:rFonts w:hint="eastAsia"/>
        </w:rPr>
        <w:t>主控单元与其它模块通信的工作流程图如图4.2所示：</w:t>
      </w:r>
    </w:p>
    <w:p w14:paraId="352187B5">
      <w:pPr>
        <w:spacing w:line="440" w:lineRule="exact"/>
        <w:ind w:firstLine="501" w:firstLineChars="209"/>
      </w:pPr>
    </w:p>
    <w:p w14:paraId="6260008C">
      <w:pPr>
        <w:spacing w:line="440" w:lineRule="exact"/>
        <w:ind w:firstLine="501" w:firstLineChars="209"/>
      </w:pPr>
    </w:p>
    <w:p w14:paraId="7CD3279E">
      <w:pPr>
        <w:spacing w:line="440" w:lineRule="exact"/>
      </w:pPr>
    </w:p>
    <w:p w14:paraId="4BA3C8DE">
      <w:pPr>
        <w:spacing w:line="440" w:lineRule="atLeast"/>
        <w:jc w:val="center"/>
      </w:pPr>
      <w:r>
        <w:drawing>
          <wp:inline distT="0" distB="0" distL="0" distR="0">
            <wp:extent cx="5395595" cy="2776220"/>
            <wp:effectExtent l="0" t="0" r="0" b="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395595" cy="2776220"/>
                    </a:xfrm>
                    <a:prstGeom prst="rect">
                      <a:avLst/>
                    </a:prstGeom>
                    <a:noFill/>
                    <a:ln>
                      <a:noFill/>
                    </a:ln>
                  </pic:spPr>
                </pic:pic>
              </a:graphicData>
            </a:graphic>
          </wp:inline>
        </w:drawing>
      </w:r>
    </w:p>
    <w:p w14:paraId="3C1F57C9">
      <w:pPr>
        <w:spacing w:line="440" w:lineRule="exact"/>
        <w:jc w:val="center"/>
        <w:rPr>
          <w:sz w:val="21"/>
          <w:szCs w:val="21"/>
        </w:rPr>
      </w:pPr>
    </w:p>
    <w:p w14:paraId="655DB8D9">
      <w:pPr>
        <w:spacing w:line="440" w:lineRule="exact"/>
        <w:jc w:val="center"/>
        <w:rPr>
          <w:sz w:val="21"/>
          <w:szCs w:val="21"/>
        </w:rPr>
      </w:pPr>
      <w:r>
        <w:rPr>
          <w:rFonts w:hint="eastAsia"/>
          <w:sz w:val="21"/>
          <w:szCs w:val="21"/>
        </w:rPr>
        <w:t>图4.2  主控单元工作流程图</w:t>
      </w:r>
    </w:p>
    <w:p w14:paraId="5789529E">
      <w:pPr>
        <w:spacing w:line="440" w:lineRule="exact"/>
        <w:ind w:firstLine="501" w:firstLineChars="209"/>
      </w:pPr>
    </w:p>
    <w:p w14:paraId="4A3365EB">
      <w:pPr>
        <w:spacing w:line="440" w:lineRule="exact"/>
        <w:ind w:firstLine="501" w:firstLineChars="209"/>
      </w:pPr>
      <w:r>
        <w:rPr>
          <w:rFonts w:hint="eastAsia"/>
        </w:rPr>
        <w:t>首先给STM32主控单元插上电源，然后按一次复位按键，语音模块和按键模块会根据电平变化，给舵机传输PWM波形信号，SG90舵机再根据PWM信号与基准信号做对比形成角度差来转动，其工作模式分为两种：一是按键控制，若用户知道所丢弃的垃圾属于什么垃圾，则可以通过按键直接控制垃圾桶的打开，四个按键分别对应四种垃圾类别；若用户不知道所丢弃的垃圾属于什么类别，则可以呼叫“垃圾桶”使其进入工作状态，然后说出所丢弃的垃圾的名称，若能识别，则会控制舵机打开对应的垃圾桶盖。当垃圾桶内的垃圾达到溢满状态时，红外传感器可以检测，并控制蜂鸣器发出警报，同时云平台会接收来自单片机的信息，并发送给APP端，用以告诉工作人员及时处理。</w:t>
      </w:r>
    </w:p>
    <w:p w14:paraId="30D9BF24">
      <w:pPr>
        <w:spacing w:line="440" w:lineRule="exact"/>
        <w:ind w:firstLine="501" w:firstLineChars="209"/>
      </w:pPr>
      <w:r>
        <w:rPr>
          <w:rFonts w:hint="eastAsia"/>
        </w:rPr>
        <w:t>（2）复位电路</w:t>
      </w:r>
    </w:p>
    <w:p w14:paraId="2C868898">
      <w:pPr>
        <w:spacing w:line="440" w:lineRule="exact"/>
        <w:ind w:firstLine="501" w:firstLineChars="209"/>
      </w:pPr>
      <w:r>
        <w:rPr>
          <w:rFonts w:hint="eastAsia"/>
        </w:rPr>
        <w:t>复位电路是微控制器的一个重要组成部分，将微控制器重置到其初始启动状态。主要作用是在系统上电、掉电或异常情况下，将微控制器的寄存器和功能恢复到初始状态，从而可以安全地重新开始执行代码，通常包括外部复位电路和上拉电阻、电容等元件，以确保复位的可靠性和稳定性。</w:t>
      </w:r>
    </w:p>
    <w:p w14:paraId="4032F1C1">
      <w:pPr>
        <w:spacing w:line="440" w:lineRule="exact"/>
        <w:ind w:firstLine="501" w:firstLineChars="209"/>
      </w:pPr>
      <w:r>
        <w:rPr>
          <w:rFonts w:hint="eastAsia"/>
        </w:rPr>
        <w:t>复位过程中，所有的I/O引脚将被配置为默认状态，大多数寄存器将被设置为它们的默认复位值。微控制器停止执行当前程序并重新启动，开始从其预设的启动地址执行代码。</w:t>
      </w:r>
    </w:p>
    <w:p w14:paraId="7D715E57">
      <w:pPr>
        <w:spacing w:line="440" w:lineRule="exact"/>
        <w:ind w:firstLine="501" w:firstLineChars="209"/>
      </w:pPr>
      <w:r>
        <w:rPr>
          <w:rFonts w:hint="eastAsia"/>
        </w:rPr>
        <w:t>复位电路原理图如图4.3所示：</w:t>
      </w:r>
    </w:p>
    <w:p w14:paraId="013D18A9">
      <w:pPr>
        <w:spacing w:line="440" w:lineRule="exact"/>
        <w:ind w:firstLine="501" w:firstLineChars="209"/>
      </w:pPr>
    </w:p>
    <w:p w14:paraId="1FE7B1FC">
      <w:pPr>
        <w:spacing w:line="440" w:lineRule="atLeast"/>
        <w:jc w:val="center"/>
      </w:pPr>
      <w:r>
        <w:drawing>
          <wp:inline distT="0" distB="0" distL="0" distR="0">
            <wp:extent cx="1787525" cy="1927860"/>
            <wp:effectExtent l="0" t="0" r="0" b="0"/>
            <wp:docPr id="1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787525" cy="1927860"/>
                    </a:xfrm>
                    <a:prstGeom prst="rect">
                      <a:avLst/>
                    </a:prstGeom>
                    <a:noFill/>
                    <a:ln>
                      <a:noFill/>
                    </a:ln>
                  </pic:spPr>
                </pic:pic>
              </a:graphicData>
            </a:graphic>
          </wp:inline>
        </w:drawing>
      </w:r>
    </w:p>
    <w:p w14:paraId="1D337C4B">
      <w:pPr>
        <w:spacing w:line="440" w:lineRule="exact"/>
        <w:jc w:val="center"/>
        <w:rPr>
          <w:sz w:val="21"/>
          <w:szCs w:val="21"/>
        </w:rPr>
      </w:pPr>
    </w:p>
    <w:p w14:paraId="16A3D8EE">
      <w:pPr>
        <w:spacing w:line="440" w:lineRule="exact"/>
        <w:jc w:val="center"/>
        <w:rPr>
          <w:sz w:val="21"/>
          <w:szCs w:val="21"/>
        </w:rPr>
      </w:pPr>
      <w:r>
        <w:rPr>
          <w:rFonts w:hint="eastAsia"/>
          <w:sz w:val="21"/>
          <w:szCs w:val="21"/>
        </w:rPr>
        <w:t>图4.3  复位电路原理图</w:t>
      </w:r>
    </w:p>
    <w:p w14:paraId="26C5F346">
      <w:pPr>
        <w:spacing w:line="440" w:lineRule="exact"/>
        <w:ind w:firstLine="501" w:firstLineChars="209"/>
      </w:pPr>
    </w:p>
    <w:p w14:paraId="1312873B">
      <w:pPr>
        <w:spacing w:line="440" w:lineRule="exact"/>
        <w:ind w:firstLine="501" w:firstLineChars="209"/>
      </w:pPr>
      <w:r>
        <w:rPr>
          <w:rFonts w:hint="eastAsia"/>
        </w:rPr>
        <w:t>（3）时钟电路</w:t>
      </w:r>
    </w:p>
    <w:p w14:paraId="48DAA681">
      <w:pPr>
        <w:spacing w:line="440" w:lineRule="exact"/>
        <w:ind w:firstLine="501" w:firstLineChars="209"/>
      </w:pPr>
      <w:r>
        <w:rPr>
          <w:rFonts w:hint="eastAsia"/>
        </w:rPr>
        <w:t>时钟电路是微控制器的关键组成部分，提供了系统运行时所需的时钟信号，为微控制器的各个部分提供同步的时钟信号。控制着微控制器的指令执行速度、外设的工作频率以及系统的整体性能。</w:t>
      </w:r>
    </w:p>
    <w:p w14:paraId="073290AD">
      <w:pPr>
        <w:spacing w:line="440" w:lineRule="exact"/>
        <w:ind w:firstLine="501" w:firstLineChars="209"/>
      </w:pPr>
      <w:r>
        <w:rPr>
          <w:rFonts w:hint="eastAsia"/>
        </w:rPr>
        <w:t>时钟电路原理图如图4.4所示：</w:t>
      </w:r>
    </w:p>
    <w:p w14:paraId="39E4E48F">
      <w:pPr>
        <w:spacing w:line="440" w:lineRule="exact"/>
        <w:ind w:firstLine="501" w:firstLineChars="209"/>
      </w:pPr>
    </w:p>
    <w:p w14:paraId="1D212621">
      <w:pPr>
        <w:spacing w:line="440" w:lineRule="atLeast"/>
        <w:jc w:val="center"/>
      </w:pPr>
      <w:r>
        <w:drawing>
          <wp:inline distT="0" distB="0" distL="0" distR="0">
            <wp:extent cx="2339340" cy="1046480"/>
            <wp:effectExtent l="0" t="0" r="0" b="0"/>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339340" cy="1046480"/>
                    </a:xfrm>
                    <a:prstGeom prst="rect">
                      <a:avLst/>
                    </a:prstGeom>
                    <a:noFill/>
                    <a:ln>
                      <a:noFill/>
                    </a:ln>
                  </pic:spPr>
                </pic:pic>
              </a:graphicData>
            </a:graphic>
          </wp:inline>
        </w:drawing>
      </w:r>
    </w:p>
    <w:p w14:paraId="75282EBA">
      <w:pPr>
        <w:spacing w:line="440" w:lineRule="exact"/>
        <w:ind w:left="-2" w:leftChars="-1" w:firstLine="1"/>
        <w:jc w:val="center"/>
        <w:rPr>
          <w:sz w:val="21"/>
          <w:szCs w:val="21"/>
        </w:rPr>
      </w:pPr>
    </w:p>
    <w:p w14:paraId="1BC09436">
      <w:pPr>
        <w:spacing w:line="440" w:lineRule="exact"/>
        <w:ind w:left="-2" w:leftChars="-1" w:firstLine="1"/>
        <w:jc w:val="center"/>
        <w:rPr>
          <w:sz w:val="21"/>
          <w:szCs w:val="21"/>
        </w:rPr>
      </w:pPr>
      <w:r>
        <w:rPr>
          <w:rFonts w:hint="eastAsia"/>
          <w:sz w:val="21"/>
          <w:szCs w:val="21"/>
        </w:rPr>
        <w:t>图4.4  时钟电路原理图</w:t>
      </w:r>
    </w:p>
    <w:p w14:paraId="1B7E5D89">
      <w:pPr>
        <w:spacing w:line="440" w:lineRule="exact"/>
        <w:ind w:firstLine="480" w:firstLineChars="200"/>
      </w:pPr>
    </w:p>
    <w:p w14:paraId="59D7182D">
      <w:pPr>
        <w:spacing w:line="440" w:lineRule="exact"/>
        <w:ind w:firstLine="480" w:firstLineChars="200"/>
      </w:pPr>
      <w:r>
        <w:rPr>
          <w:rFonts w:hint="eastAsia"/>
        </w:rPr>
        <w:t>（4）内置电源</w:t>
      </w:r>
    </w:p>
    <w:p w14:paraId="2BC75429">
      <w:pPr>
        <w:spacing w:line="440" w:lineRule="exact"/>
        <w:ind w:firstLine="480" w:firstLineChars="200"/>
      </w:pPr>
      <w:r>
        <w:rPr>
          <w:rFonts w:hint="eastAsia"/>
        </w:rPr>
        <w:t>电源对电子设备的重要性不言而喻，它是保证系统稳定运行的基础，也是系统元器件不被损坏的前提，而保证系统能稳定运行后，又有低功耗的要求。STM32 有专门的电源管理外设监控电源并管理设备的运行模式，确保系统正常运行，并尽量降低器件的功耗。</w:t>
      </w:r>
    </w:p>
    <w:p w14:paraId="18F46C42">
      <w:pPr>
        <w:spacing w:line="440" w:lineRule="exact"/>
        <w:ind w:firstLine="480" w:firstLineChars="200"/>
      </w:pPr>
      <w:r>
        <w:rPr>
          <w:rFonts w:hint="eastAsia"/>
        </w:rPr>
        <w:t>STM32的内部电源稳压电路原理图如图4.5所示：</w:t>
      </w:r>
    </w:p>
    <w:p w14:paraId="73E9DEC3">
      <w:pPr>
        <w:spacing w:line="440" w:lineRule="exact"/>
        <w:ind w:firstLine="480" w:firstLineChars="200"/>
      </w:pPr>
    </w:p>
    <w:p w14:paraId="6E13E748">
      <w:pPr>
        <w:spacing w:line="440" w:lineRule="atLeast"/>
        <w:jc w:val="center"/>
      </w:pPr>
      <w:r>
        <w:drawing>
          <wp:inline distT="0" distB="0" distL="0" distR="0">
            <wp:extent cx="3822065" cy="1474470"/>
            <wp:effectExtent l="0" t="0" r="0" b="0"/>
            <wp:docPr id="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22065" cy="1474470"/>
                    </a:xfrm>
                    <a:prstGeom prst="rect">
                      <a:avLst/>
                    </a:prstGeom>
                    <a:noFill/>
                    <a:ln>
                      <a:noFill/>
                    </a:ln>
                  </pic:spPr>
                </pic:pic>
              </a:graphicData>
            </a:graphic>
          </wp:inline>
        </w:drawing>
      </w:r>
    </w:p>
    <w:p w14:paraId="03E46FFE">
      <w:pPr>
        <w:spacing w:line="440" w:lineRule="exact"/>
        <w:jc w:val="center"/>
        <w:rPr>
          <w:sz w:val="21"/>
          <w:szCs w:val="21"/>
        </w:rPr>
      </w:pPr>
    </w:p>
    <w:p w14:paraId="0C9CAC85">
      <w:pPr>
        <w:spacing w:line="440" w:lineRule="exact"/>
        <w:jc w:val="center"/>
        <w:rPr>
          <w:sz w:val="21"/>
          <w:szCs w:val="21"/>
        </w:rPr>
      </w:pPr>
      <w:r>
        <w:rPr>
          <w:rFonts w:hint="eastAsia"/>
          <w:sz w:val="21"/>
          <w:szCs w:val="21"/>
        </w:rPr>
        <w:t>图4.5  稳压原理图</w:t>
      </w:r>
    </w:p>
    <w:p w14:paraId="71932B6D">
      <w:pPr>
        <w:spacing w:line="440" w:lineRule="exact"/>
        <w:ind w:firstLine="480" w:firstLineChars="200"/>
      </w:pPr>
    </w:p>
    <w:p w14:paraId="35F5EEE2">
      <w:pPr>
        <w:spacing w:line="440" w:lineRule="exact"/>
        <w:ind w:firstLine="480" w:firstLineChars="200"/>
      </w:pPr>
      <w:r>
        <w:rPr>
          <w:rFonts w:hint="eastAsia"/>
        </w:rPr>
        <w:t>程序启动选择电路如图4.6所示：</w:t>
      </w:r>
    </w:p>
    <w:p w14:paraId="36DA185D">
      <w:pPr>
        <w:spacing w:line="440" w:lineRule="exact"/>
      </w:pPr>
    </w:p>
    <w:p w14:paraId="67E56D77">
      <w:pPr>
        <w:spacing w:line="440" w:lineRule="atLeast"/>
        <w:jc w:val="center"/>
      </w:pPr>
      <w:r>
        <w:drawing>
          <wp:inline distT="0" distB="0" distL="0" distR="0">
            <wp:extent cx="2289810" cy="873125"/>
            <wp:effectExtent l="0" t="0" r="0" b="0"/>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289810" cy="873125"/>
                    </a:xfrm>
                    <a:prstGeom prst="rect">
                      <a:avLst/>
                    </a:prstGeom>
                    <a:noFill/>
                    <a:ln>
                      <a:noFill/>
                    </a:ln>
                  </pic:spPr>
                </pic:pic>
              </a:graphicData>
            </a:graphic>
          </wp:inline>
        </w:drawing>
      </w:r>
    </w:p>
    <w:p w14:paraId="09FD3F62">
      <w:pPr>
        <w:spacing w:line="440" w:lineRule="exact"/>
        <w:jc w:val="center"/>
        <w:rPr>
          <w:sz w:val="21"/>
          <w:szCs w:val="21"/>
        </w:rPr>
      </w:pPr>
    </w:p>
    <w:p w14:paraId="67A56B95">
      <w:pPr>
        <w:spacing w:line="440" w:lineRule="exact"/>
        <w:jc w:val="center"/>
        <w:rPr>
          <w:sz w:val="21"/>
          <w:szCs w:val="21"/>
        </w:rPr>
      </w:pPr>
      <w:r>
        <w:rPr>
          <w:rFonts w:hint="eastAsia"/>
          <w:sz w:val="21"/>
          <w:szCs w:val="21"/>
        </w:rPr>
        <w:t>图4.6  程序启动原理图</w:t>
      </w:r>
    </w:p>
    <w:p w14:paraId="501D2EE9">
      <w:pPr>
        <w:spacing w:line="440" w:lineRule="exact"/>
        <w:ind w:firstLine="420" w:firstLineChars="200"/>
        <w:rPr>
          <w:sz w:val="21"/>
          <w:szCs w:val="21"/>
        </w:rPr>
      </w:pPr>
    </w:p>
    <w:p w14:paraId="0A9D7D2F">
      <w:pPr>
        <w:pStyle w:val="3"/>
        <w:spacing w:before="120"/>
      </w:pPr>
      <w:bookmarkStart w:id="53" w:name="_Toc468117603"/>
      <w:bookmarkStart w:id="54" w:name="_Toc20653"/>
      <w:bookmarkStart w:id="55" w:name="_Toc198563264"/>
      <w:r>
        <w:rPr>
          <w:rFonts w:hint="eastAsia"/>
        </w:rPr>
        <w:t xml:space="preserve">4.2 </w:t>
      </w:r>
      <w:bookmarkEnd w:id="53"/>
      <w:bookmarkEnd w:id="54"/>
      <w:r>
        <w:rPr>
          <w:rFonts w:hint="eastAsia"/>
        </w:rPr>
        <w:t>语音识别模块</w:t>
      </w:r>
      <w:bookmarkEnd w:id="55"/>
    </w:p>
    <w:p w14:paraId="56D83410">
      <w:pPr>
        <w:tabs>
          <w:tab w:val="left" w:pos="360"/>
          <w:tab w:val="clear" w:pos="377"/>
        </w:tabs>
        <w:spacing w:line="440" w:lineRule="exact"/>
        <w:ind w:firstLine="501" w:firstLineChars="209"/>
      </w:pPr>
      <w:r>
        <w:rPr>
          <w:rFonts w:hint="eastAsia"/>
        </w:rPr>
        <w:t>ASRPRO01语音识别模块引脚原理如图4.7所示：</w:t>
      </w:r>
    </w:p>
    <w:p w14:paraId="3F52284C">
      <w:pPr>
        <w:tabs>
          <w:tab w:val="left" w:pos="360"/>
          <w:tab w:val="clear" w:pos="377"/>
        </w:tabs>
        <w:spacing w:line="440" w:lineRule="exact"/>
        <w:ind w:firstLine="501" w:firstLineChars="209"/>
      </w:pPr>
    </w:p>
    <w:p w14:paraId="4DE0C752">
      <w:pPr>
        <w:tabs>
          <w:tab w:val="left" w:pos="360"/>
          <w:tab w:val="clear" w:pos="377"/>
        </w:tabs>
        <w:spacing w:line="440" w:lineRule="atLeast"/>
        <w:jc w:val="center"/>
      </w:pPr>
      <w:r>
        <w:drawing>
          <wp:inline distT="0" distB="0" distL="0" distR="0">
            <wp:extent cx="2948940" cy="2924175"/>
            <wp:effectExtent l="0" t="0" r="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948940" cy="2924175"/>
                    </a:xfrm>
                    <a:prstGeom prst="rect">
                      <a:avLst/>
                    </a:prstGeom>
                    <a:noFill/>
                    <a:ln>
                      <a:noFill/>
                    </a:ln>
                  </pic:spPr>
                </pic:pic>
              </a:graphicData>
            </a:graphic>
          </wp:inline>
        </w:drawing>
      </w:r>
    </w:p>
    <w:p w14:paraId="568F6D9B">
      <w:pPr>
        <w:tabs>
          <w:tab w:val="left" w:pos="360"/>
          <w:tab w:val="clear" w:pos="377"/>
        </w:tabs>
        <w:spacing w:line="440" w:lineRule="exact"/>
        <w:jc w:val="center"/>
        <w:rPr>
          <w:sz w:val="21"/>
          <w:szCs w:val="21"/>
        </w:rPr>
      </w:pPr>
    </w:p>
    <w:p w14:paraId="434B7B37">
      <w:pPr>
        <w:tabs>
          <w:tab w:val="left" w:pos="360"/>
          <w:tab w:val="clear" w:pos="377"/>
        </w:tabs>
        <w:spacing w:line="440" w:lineRule="exact"/>
        <w:jc w:val="center"/>
        <w:rPr>
          <w:sz w:val="21"/>
          <w:szCs w:val="21"/>
        </w:rPr>
      </w:pPr>
      <w:r>
        <w:rPr>
          <w:rFonts w:hint="eastAsia"/>
          <w:sz w:val="21"/>
          <w:szCs w:val="21"/>
        </w:rPr>
        <w:t>图4.7  ASRPRO01引脚原理图</w:t>
      </w:r>
    </w:p>
    <w:p w14:paraId="41C2D26F">
      <w:pPr>
        <w:tabs>
          <w:tab w:val="left" w:pos="360"/>
          <w:tab w:val="clear" w:pos="377"/>
        </w:tabs>
        <w:spacing w:line="440" w:lineRule="exact"/>
        <w:ind w:firstLine="501" w:firstLineChars="209"/>
      </w:pPr>
    </w:p>
    <w:p w14:paraId="6A0FC3EA">
      <w:pPr>
        <w:tabs>
          <w:tab w:val="left" w:pos="360"/>
          <w:tab w:val="clear" w:pos="377"/>
        </w:tabs>
        <w:spacing w:line="440" w:lineRule="exact"/>
        <w:ind w:firstLine="501" w:firstLineChars="209"/>
      </w:pPr>
      <w:r>
        <w:rPr>
          <w:rFonts w:hint="eastAsia"/>
        </w:rPr>
        <w:t>ASRPRO01模块的VCC和GND分别接到单片机的5V和GND引脚，TXD引脚接到单片机的RXD（即上图的PB11），RXD引脚接到单片机的TXD(即上图中的PB10)，以确保单片机和ASRPRO01语音模块的双向通信。扬声器的正负极分别接到该模块的SPK+和SPK-引脚。</w:t>
      </w:r>
    </w:p>
    <w:p w14:paraId="79DBCECE">
      <w:pPr>
        <w:tabs>
          <w:tab w:val="left" w:pos="360"/>
          <w:tab w:val="clear" w:pos="377"/>
        </w:tabs>
        <w:spacing w:line="440" w:lineRule="exact"/>
        <w:ind w:firstLine="501" w:firstLineChars="209"/>
      </w:pPr>
      <w:r>
        <w:rPr>
          <w:rFonts w:hint="eastAsia"/>
        </w:rPr>
        <w:t>该模块的工作流程如下图4.8所示：</w:t>
      </w:r>
    </w:p>
    <w:p w14:paraId="24F9846A">
      <w:pPr>
        <w:tabs>
          <w:tab w:val="left" w:pos="360"/>
          <w:tab w:val="clear" w:pos="377"/>
        </w:tabs>
        <w:spacing w:line="440" w:lineRule="exact"/>
      </w:pPr>
    </w:p>
    <w:p w14:paraId="13599FCB">
      <w:pPr>
        <w:tabs>
          <w:tab w:val="left" w:pos="360"/>
          <w:tab w:val="clear" w:pos="377"/>
        </w:tabs>
        <w:spacing w:line="240" w:lineRule="auto"/>
      </w:pPr>
      <w:r>
        <w:drawing>
          <wp:inline distT="0" distB="0" distL="0" distR="0">
            <wp:extent cx="5717540" cy="437515"/>
            <wp:effectExtent l="0" t="0" r="0" b="0"/>
            <wp:docPr id="7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717540" cy="437515"/>
                    </a:xfrm>
                    <a:prstGeom prst="rect">
                      <a:avLst/>
                    </a:prstGeom>
                    <a:noFill/>
                    <a:ln>
                      <a:noFill/>
                    </a:ln>
                  </pic:spPr>
                </pic:pic>
              </a:graphicData>
            </a:graphic>
          </wp:inline>
        </w:drawing>
      </w:r>
    </w:p>
    <w:p w14:paraId="02A5352A">
      <w:pPr>
        <w:tabs>
          <w:tab w:val="left" w:pos="360"/>
          <w:tab w:val="clear" w:pos="377"/>
        </w:tabs>
        <w:spacing w:line="440" w:lineRule="exact"/>
        <w:jc w:val="center"/>
        <w:rPr>
          <w:sz w:val="21"/>
          <w:szCs w:val="21"/>
        </w:rPr>
      </w:pPr>
    </w:p>
    <w:p w14:paraId="7053E015">
      <w:pPr>
        <w:tabs>
          <w:tab w:val="left" w:pos="360"/>
          <w:tab w:val="clear" w:pos="377"/>
        </w:tabs>
        <w:spacing w:line="440" w:lineRule="exact"/>
        <w:jc w:val="center"/>
        <w:rPr>
          <w:sz w:val="21"/>
          <w:szCs w:val="21"/>
        </w:rPr>
      </w:pPr>
      <w:r>
        <w:rPr>
          <w:rFonts w:hint="eastAsia"/>
          <w:sz w:val="21"/>
          <w:szCs w:val="21"/>
        </w:rPr>
        <w:t>图4.8  语音模块工作流程</w:t>
      </w:r>
    </w:p>
    <w:p w14:paraId="5CC88A10">
      <w:pPr>
        <w:tabs>
          <w:tab w:val="left" w:pos="360"/>
          <w:tab w:val="clear" w:pos="377"/>
        </w:tabs>
        <w:spacing w:line="440" w:lineRule="exact"/>
        <w:ind w:firstLine="501" w:firstLineChars="209"/>
      </w:pPr>
    </w:p>
    <w:p w14:paraId="146576C9">
      <w:pPr>
        <w:tabs>
          <w:tab w:val="left" w:pos="360"/>
          <w:tab w:val="clear" w:pos="377"/>
        </w:tabs>
        <w:spacing w:line="440" w:lineRule="exact"/>
        <w:ind w:firstLine="501" w:firstLineChars="209"/>
      </w:pPr>
      <w:r>
        <w:rPr>
          <w:rFonts w:hint="eastAsia"/>
        </w:rPr>
        <w:t>该模块由ASRPRO01语音模块作为主控模块，首先要在天问block开发环境里选择ASRPRO作为主要训练芯片，然后需要在该环境里配置其GPIO模块、PWM模块、ADC模块、定时器、串口等，将串口波特率设置为9600，将以上部分配置完成后即可在线训练，通过串口烧录进单片机并进行多次训练，以达到更高的识别准确率。</w:t>
      </w:r>
    </w:p>
    <w:p w14:paraId="138AB0DF">
      <w:pPr>
        <w:tabs>
          <w:tab w:val="left" w:pos="360"/>
          <w:tab w:val="clear" w:pos="377"/>
        </w:tabs>
        <w:spacing w:line="440" w:lineRule="exact"/>
        <w:ind w:firstLine="501" w:firstLineChars="209"/>
      </w:pPr>
      <w:r>
        <w:rPr>
          <w:rFonts w:hint="eastAsia"/>
        </w:rPr>
        <w:t>训练结束后用户呼出语音指令，ASRPRO01语音模块根据指令进行识别，并通过串口与STM32和扬声器进行通信，STM32进而控制其他模块，扬声器进行语音播报。初步估计训练次数越多识别准确率越高，详细数据在第六章系统测试给出。</w:t>
      </w:r>
    </w:p>
    <w:p w14:paraId="4AB02929">
      <w:pPr>
        <w:pStyle w:val="3"/>
        <w:spacing w:before="120"/>
      </w:pPr>
      <w:bookmarkStart w:id="56" w:name="_Toc198563265"/>
      <w:r>
        <w:rPr>
          <w:rFonts w:hint="eastAsia"/>
        </w:rPr>
        <w:t>4.3 舵机驱动模块</w:t>
      </w:r>
      <w:bookmarkEnd w:id="56"/>
    </w:p>
    <w:p w14:paraId="742C2906">
      <w:pPr>
        <w:tabs>
          <w:tab w:val="left" w:pos="360"/>
          <w:tab w:val="clear" w:pos="377"/>
        </w:tabs>
        <w:spacing w:line="440" w:lineRule="exact"/>
        <w:ind w:firstLine="480" w:firstLineChars="200"/>
      </w:pPr>
      <w:r>
        <w:rPr>
          <w:rFonts w:hint="eastAsia"/>
        </w:rPr>
        <w:t>SG90舵机驱动电路原理图如图4.9所示：</w:t>
      </w:r>
    </w:p>
    <w:p w14:paraId="4180E9F2">
      <w:pPr>
        <w:tabs>
          <w:tab w:val="left" w:pos="360"/>
          <w:tab w:val="clear" w:pos="377"/>
        </w:tabs>
        <w:spacing w:line="440" w:lineRule="exact"/>
        <w:ind w:firstLine="480" w:firstLineChars="200"/>
      </w:pPr>
    </w:p>
    <w:p w14:paraId="5B838AFC">
      <w:pPr>
        <w:tabs>
          <w:tab w:val="left" w:pos="360"/>
          <w:tab w:val="clear" w:pos="377"/>
        </w:tabs>
        <w:spacing w:line="240" w:lineRule="auto"/>
      </w:pPr>
      <w:r>
        <w:drawing>
          <wp:inline distT="0" distB="0" distL="0" distR="0">
            <wp:extent cx="5158740" cy="1525905"/>
            <wp:effectExtent l="0" t="0" r="3810" b="0"/>
            <wp:docPr id="8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14158" cy="1542582"/>
                    </a:xfrm>
                    <a:prstGeom prst="rect">
                      <a:avLst/>
                    </a:prstGeom>
                    <a:noFill/>
                  </pic:spPr>
                </pic:pic>
              </a:graphicData>
            </a:graphic>
          </wp:inline>
        </w:drawing>
      </w:r>
    </w:p>
    <w:p w14:paraId="36E75F28">
      <w:pPr>
        <w:tabs>
          <w:tab w:val="left" w:pos="360"/>
          <w:tab w:val="clear" w:pos="377"/>
        </w:tabs>
        <w:spacing w:line="240" w:lineRule="auto"/>
      </w:pPr>
    </w:p>
    <w:p w14:paraId="650F9970">
      <w:pPr>
        <w:tabs>
          <w:tab w:val="left" w:pos="360"/>
          <w:tab w:val="clear" w:pos="377"/>
        </w:tabs>
        <w:spacing w:line="440" w:lineRule="exact"/>
        <w:jc w:val="center"/>
        <w:rPr>
          <w:sz w:val="21"/>
          <w:szCs w:val="21"/>
        </w:rPr>
      </w:pPr>
      <w:r>
        <w:rPr>
          <w:rFonts w:hint="eastAsia"/>
          <w:sz w:val="21"/>
          <w:szCs w:val="21"/>
        </w:rPr>
        <w:t>图4.9  4个舵机原理图</w:t>
      </w:r>
    </w:p>
    <w:p w14:paraId="227E37E7">
      <w:pPr>
        <w:tabs>
          <w:tab w:val="left" w:pos="360"/>
          <w:tab w:val="clear" w:pos="377"/>
        </w:tabs>
        <w:spacing w:line="440" w:lineRule="exact"/>
        <w:ind w:firstLine="480" w:firstLineChars="200"/>
      </w:pPr>
    </w:p>
    <w:p w14:paraId="5F336711">
      <w:pPr>
        <w:tabs>
          <w:tab w:val="left" w:pos="360"/>
          <w:tab w:val="clear" w:pos="377"/>
        </w:tabs>
        <w:spacing w:line="440" w:lineRule="exact"/>
        <w:ind w:firstLine="480" w:firstLineChars="200"/>
      </w:pPr>
      <w:r>
        <w:rPr>
          <w:rFonts w:hint="eastAsia"/>
        </w:rPr>
        <w:t>该模块的GND接地，VCC接上5V电源，IN接口即为PWM信号线，分别与单片机的PB1、PB0、PA1、PA0接口相连。</w:t>
      </w:r>
    </w:p>
    <w:p w14:paraId="5205E253">
      <w:pPr>
        <w:tabs>
          <w:tab w:val="left" w:pos="360"/>
          <w:tab w:val="clear" w:pos="377"/>
        </w:tabs>
        <w:spacing w:line="440" w:lineRule="exact"/>
        <w:ind w:firstLine="480" w:firstLineChars="200"/>
      </w:pPr>
      <w:bookmarkStart w:id="57" w:name="_Hlk197086644"/>
      <w:r>
        <w:rPr>
          <w:rFonts w:hint="eastAsia"/>
        </w:rPr>
        <w:t>SG90的工作流程如图4.10流程图所示：</w:t>
      </w:r>
    </w:p>
    <w:p w14:paraId="46C85A40">
      <w:pPr>
        <w:tabs>
          <w:tab w:val="left" w:pos="360"/>
          <w:tab w:val="clear" w:pos="377"/>
        </w:tabs>
        <w:spacing w:line="440" w:lineRule="exact"/>
        <w:ind w:firstLine="480" w:firstLineChars="200"/>
      </w:pPr>
    </w:p>
    <w:bookmarkEnd w:id="57"/>
    <w:p w14:paraId="0F3B29C3">
      <w:pPr>
        <w:tabs>
          <w:tab w:val="left" w:pos="360"/>
          <w:tab w:val="clear" w:pos="377"/>
        </w:tabs>
        <w:spacing w:line="440" w:lineRule="atLeast"/>
        <w:jc w:val="center"/>
      </w:pPr>
      <w:r>
        <w:drawing>
          <wp:inline distT="0" distB="0" distL="0" distR="0">
            <wp:extent cx="1301750" cy="2504440"/>
            <wp:effectExtent l="0" t="0" r="0" b="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301750" cy="2504440"/>
                    </a:xfrm>
                    <a:prstGeom prst="rect">
                      <a:avLst/>
                    </a:prstGeom>
                    <a:noFill/>
                    <a:ln>
                      <a:noFill/>
                    </a:ln>
                  </pic:spPr>
                </pic:pic>
              </a:graphicData>
            </a:graphic>
          </wp:inline>
        </w:drawing>
      </w:r>
    </w:p>
    <w:p w14:paraId="6BBDCF84">
      <w:pPr>
        <w:tabs>
          <w:tab w:val="left" w:pos="360"/>
          <w:tab w:val="clear" w:pos="377"/>
        </w:tabs>
        <w:spacing w:line="440" w:lineRule="exact"/>
        <w:jc w:val="center"/>
        <w:rPr>
          <w:sz w:val="21"/>
          <w:szCs w:val="21"/>
        </w:rPr>
      </w:pPr>
      <w:r>
        <w:rPr>
          <w:rFonts w:hint="eastAsia"/>
          <w:sz w:val="21"/>
          <w:szCs w:val="21"/>
        </w:rPr>
        <w:t>图4.10  舵机工作流程图</w:t>
      </w:r>
    </w:p>
    <w:p w14:paraId="6BCEE533">
      <w:pPr>
        <w:tabs>
          <w:tab w:val="left" w:pos="360"/>
          <w:tab w:val="clear" w:pos="377"/>
        </w:tabs>
        <w:spacing w:line="440" w:lineRule="exact"/>
      </w:pPr>
      <w:r>
        <w:rPr>
          <w:rFonts w:hint="eastAsia"/>
        </w:rPr>
        <w:t>其中基准电路产生的基准信号如下表4.1所示：</w:t>
      </w:r>
    </w:p>
    <w:p w14:paraId="7B3BC53E">
      <w:pPr>
        <w:tabs>
          <w:tab w:val="left" w:pos="360"/>
          <w:tab w:val="clear" w:pos="377"/>
        </w:tabs>
        <w:spacing w:line="440" w:lineRule="exact"/>
        <w:ind w:firstLine="480" w:firstLineChars="200"/>
      </w:pPr>
    </w:p>
    <w:p w14:paraId="3F0AD522">
      <w:pPr>
        <w:tabs>
          <w:tab w:val="left" w:pos="360"/>
          <w:tab w:val="clear" w:pos="377"/>
        </w:tabs>
        <w:spacing w:line="440" w:lineRule="exact"/>
        <w:jc w:val="center"/>
        <w:rPr>
          <w:sz w:val="21"/>
          <w:szCs w:val="21"/>
        </w:rPr>
      </w:pPr>
      <w:r>
        <w:rPr>
          <w:rFonts w:hint="eastAsia"/>
          <w:sz w:val="21"/>
          <w:szCs w:val="21"/>
        </w:rPr>
        <w:t>表4.1  转动角度关系表</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3"/>
        <w:gridCol w:w="3058"/>
        <w:gridCol w:w="2498"/>
      </w:tblGrid>
      <w:tr w14:paraId="76DBCF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top w:val="single" w:color="auto" w:sz="12" w:space="0"/>
              <w:bottom w:val="single" w:color="auto" w:sz="4" w:space="0"/>
            </w:tcBorders>
            <w:shd w:val="clear" w:color="auto" w:fill="auto"/>
          </w:tcPr>
          <w:p w14:paraId="1D9F4BB3">
            <w:pPr>
              <w:widowControl w:val="0"/>
              <w:tabs>
                <w:tab w:val="left" w:pos="360"/>
                <w:tab w:val="clear" w:pos="377"/>
              </w:tabs>
              <w:spacing w:line="440" w:lineRule="exact"/>
              <w:jc w:val="center"/>
              <w:rPr>
                <w:sz w:val="21"/>
                <w:szCs w:val="21"/>
              </w:rPr>
            </w:pPr>
            <w:r>
              <w:rPr>
                <w:rFonts w:hint="eastAsia"/>
                <w:sz w:val="21"/>
                <w:szCs w:val="21"/>
              </w:rPr>
              <w:t>方波宽度</w:t>
            </w:r>
          </w:p>
        </w:tc>
        <w:tc>
          <w:tcPr>
            <w:tcW w:w="3058" w:type="dxa"/>
            <w:tcBorders>
              <w:top w:val="single" w:color="auto" w:sz="12" w:space="0"/>
              <w:bottom w:val="single" w:color="auto" w:sz="4" w:space="0"/>
            </w:tcBorders>
            <w:shd w:val="clear" w:color="auto" w:fill="auto"/>
          </w:tcPr>
          <w:p w14:paraId="0327DD69">
            <w:pPr>
              <w:widowControl w:val="0"/>
              <w:tabs>
                <w:tab w:val="left" w:pos="360"/>
                <w:tab w:val="clear" w:pos="377"/>
              </w:tabs>
              <w:spacing w:line="440" w:lineRule="exact"/>
              <w:jc w:val="center"/>
              <w:rPr>
                <w:sz w:val="21"/>
                <w:szCs w:val="21"/>
              </w:rPr>
            </w:pPr>
            <w:r>
              <w:rPr>
                <w:rFonts w:hint="eastAsia"/>
                <w:sz w:val="21"/>
                <w:szCs w:val="21"/>
              </w:rPr>
              <w:t>转动角度</w:t>
            </w:r>
          </w:p>
        </w:tc>
        <w:tc>
          <w:tcPr>
            <w:tcW w:w="2498" w:type="dxa"/>
            <w:tcBorders>
              <w:top w:val="single" w:color="auto" w:sz="12" w:space="0"/>
              <w:bottom w:val="single" w:color="auto" w:sz="4" w:space="0"/>
            </w:tcBorders>
            <w:shd w:val="clear" w:color="auto" w:fill="auto"/>
          </w:tcPr>
          <w:p w14:paraId="2B65AE48">
            <w:pPr>
              <w:widowControl w:val="0"/>
              <w:tabs>
                <w:tab w:val="left" w:pos="360"/>
                <w:tab w:val="clear" w:pos="377"/>
              </w:tabs>
              <w:spacing w:line="440" w:lineRule="exact"/>
              <w:jc w:val="center"/>
              <w:rPr>
                <w:sz w:val="21"/>
                <w:szCs w:val="21"/>
              </w:rPr>
            </w:pPr>
            <w:r>
              <w:rPr>
                <w:rFonts w:hint="eastAsia"/>
                <w:sz w:val="21"/>
                <w:szCs w:val="21"/>
              </w:rPr>
              <w:t>占空比</w:t>
            </w:r>
          </w:p>
        </w:tc>
      </w:tr>
      <w:tr w14:paraId="631F95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top w:val="single" w:color="auto" w:sz="4" w:space="0"/>
            </w:tcBorders>
            <w:shd w:val="clear" w:color="auto" w:fill="auto"/>
          </w:tcPr>
          <w:p w14:paraId="69ABE6CE">
            <w:pPr>
              <w:widowControl w:val="0"/>
              <w:tabs>
                <w:tab w:val="left" w:pos="360"/>
                <w:tab w:val="clear" w:pos="377"/>
              </w:tabs>
              <w:spacing w:line="440" w:lineRule="exact"/>
              <w:jc w:val="center"/>
              <w:rPr>
                <w:sz w:val="21"/>
                <w:szCs w:val="21"/>
              </w:rPr>
            </w:pPr>
            <w:r>
              <w:rPr>
                <w:rFonts w:hint="eastAsia"/>
                <w:sz w:val="21"/>
                <w:szCs w:val="21"/>
              </w:rPr>
              <w:t>0.5MS</w:t>
            </w:r>
          </w:p>
        </w:tc>
        <w:tc>
          <w:tcPr>
            <w:tcW w:w="3058" w:type="dxa"/>
            <w:tcBorders>
              <w:top w:val="single" w:color="auto" w:sz="4" w:space="0"/>
            </w:tcBorders>
            <w:shd w:val="clear" w:color="auto" w:fill="auto"/>
          </w:tcPr>
          <w:p w14:paraId="02C24B2D">
            <w:pPr>
              <w:widowControl w:val="0"/>
              <w:tabs>
                <w:tab w:val="left" w:pos="360"/>
                <w:tab w:val="clear" w:pos="377"/>
              </w:tabs>
              <w:spacing w:line="440" w:lineRule="exact"/>
              <w:jc w:val="center"/>
              <w:rPr>
                <w:sz w:val="21"/>
                <w:szCs w:val="21"/>
              </w:rPr>
            </w:pPr>
            <w:r>
              <w:rPr>
                <w:rFonts w:hint="eastAsia"/>
                <w:sz w:val="21"/>
                <w:szCs w:val="21"/>
              </w:rPr>
              <w:t>0°</w:t>
            </w:r>
          </w:p>
        </w:tc>
        <w:tc>
          <w:tcPr>
            <w:tcW w:w="2498" w:type="dxa"/>
            <w:tcBorders>
              <w:top w:val="single" w:color="auto" w:sz="4" w:space="0"/>
            </w:tcBorders>
            <w:shd w:val="clear" w:color="auto" w:fill="auto"/>
          </w:tcPr>
          <w:p w14:paraId="72CAA4C2">
            <w:pPr>
              <w:widowControl w:val="0"/>
              <w:tabs>
                <w:tab w:val="left" w:pos="360"/>
                <w:tab w:val="clear" w:pos="377"/>
              </w:tabs>
              <w:spacing w:line="440" w:lineRule="exact"/>
              <w:jc w:val="center"/>
              <w:rPr>
                <w:sz w:val="21"/>
                <w:szCs w:val="21"/>
              </w:rPr>
            </w:pPr>
            <w:r>
              <w:rPr>
                <w:rFonts w:hint="eastAsia"/>
                <w:sz w:val="21"/>
                <w:szCs w:val="21"/>
              </w:rPr>
              <w:t>2.5%</w:t>
            </w:r>
          </w:p>
        </w:tc>
      </w:tr>
      <w:tr w14:paraId="2B7AB6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4DA9A826">
            <w:pPr>
              <w:widowControl w:val="0"/>
              <w:tabs>
                <w:tab w:val="left" w:pos="360"/>
                <w:tab w:val="clear" w:pos="377"/>
              </w:tabs>
              <w:spacing w:line="440" w:lineRule="exact"/>
              <w:jc w:val="center"/>
              <w:rPr>
                <w:sz w:val="21"/>
                <w:szCs w:val="21"/>
              </w:rPr>
            </w:pPr>
            <w:r>
              <w:rPr>
                <w:rFonts w:hint="eastAsia"/>
                <w:sz w:val="21"/>
                <w:szCs w:val="21"/>
              </w:rPr>
              <w:t>1MS</w:t>
            </w:r>
          </w:p>
        </w:tc>
        <w:tc>
          <w:tcPr>
            <w:tcW w:w="3058" w:type="dxa"/>
            <w:shd w:val="clear" w:color="auto" w:fill="auto"/>
          </w:tcPr>
          <w:p w14:paraId="00A48F61">
            <w:pPr>
              <w:widowControl w:val="0"/>
              <w:tabs>
                <w:tab w:val="left" w:pos="360"/>
                <w:tab w:val="clear" w:pos="377"/>
              </w:tabs>
              <w:spacing w:line="440" w:lineRule="exact"/>
              <w:jc w:val="center"/>
              <w:rPr>
                <w:sz w:val="21"/>
                <w:szCs w:val="21"/>
              </w:rPr>
            </w:pPr>
            <w:r>
              <w:rPr>
                <w:rFonts w:hint="eastAsia"/>
                <w:sz w:val="21"/>
                <w:szCs w:val="21"/>
              </w:rPr>
              <w:t>45°</w:t>
            </w:r>
          </w:p>
        </w:tc>
        <w:tc>
          <w:tcPr>
            <w:tcW w:w="2498" w:type="dxa"/>
            <w:shd w:val="clear" w:color="auto" w:fill="auto"/>
          </w:tcPr>
          <w:p w14:paraId="441D19FC">
            <w:pPr>
              <w:widowControl w:val="0"/>
              <w:tabs>
                <w:tab w:val="left" w:pos="360"/>
                <w:tab w:val="clear" w:pos="377"/>
              </w:tabs>
              <w:spacing w:line="440" w:lineRule="exact"/>
              <w:jc w:val="center"/>
              <w:rPr>
                <w:sz w:val="21"/>
                <w:szCs w:val="21"/>
              </w:rPr>
            </w:pPr>
            <w:r>
              <w:rPr>
                <w:rFonts w:hint="eastAsia"/>
                <w:sz w:val="21"/>
                <w:szCs w:val="21"/>
              </w:rPr>
              <w:t>5.0%</w:t>
            </w:r>
          </w:p>
        </w:tc>
      </w:tr>
      <w:tr w14:paraId="3591A9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1DBE35BB">
            <w:pPr>
              <w:widowControl w:val="0"/>
              <w:tabs>
                <w:tab w:val="left" w:pos="360"/>
                <w:tab w:val="clear" w:pos="377"/>
              </w:tabs>
              <w:spacing w:line="440" w:lineRule="exact"/>
              <w:jc w:val="center"/>
              <w:rPr>
                <w:sz w:val="21"/>
                <w:szCs w:val="21"/>
              </w:rPr>
            </w:pPr>
            <w:r>
              <w:rPr>
                <w:rFonts w:hint="eastAsia"/>
                <w:sz w:val="21"/>
                <w:szCs w:val="21"/>
              </w:rPr>
              <w:t>1.5MS</w:t>
            </w:r>
          </w:p>
        </w:tc>
        <w:tc>
          <w:tcPr>
            <w:tcW w:w="3058" w:type="dxa"/>
            <w:shd w:val="clear" w:color="auto" w:fill="auto"/>
          </w:tcPr>
          <w:p w14:paraId="25201396">
            <w:pPr>
              <w:widowControl w:val="0"/>
              <w:tabs>
                <w:tab w:val="left" w:pos="360"/>
                <w:tab w:val="clear" w:pos="377"/>
              </w:tabs>
              <w:spacing w:line="440" w:lineRule="exact"/>
              <w:jc w:val="center"/>
              <w:rPr>
                <w:sz w:val="21"/>
                <w:szCs w:val="21"/>
              </w:rPr>
            </w:pPr>
            <w:r>
              <w:rPr>
                <w:rFonts w:hint="eastAsia"/>
                <w:sz w:val="21"/>
                <w:szCs w:val="21"/>
              </w:rPr>
              <w:t>90°</w:t>
            </w:r>
          </w:p>
        </w:tc>
        <w:tc>
          <w:tcPr>
            <w:tcW w:w="2498" w:type="dxa"/>
            <w:shd w:val="clear" w:color="auto" w:fill="auto"/>
          </w:tcPr>
          <w:p w14:paraId="5A9C345D">
            <w:pPr>
              <w:widowControl w:val="0"/>
              <w:tabs>
                <w:tab w:val="left" w:pos="360"/>
                <w:tab w:val="clear" w:pos="377"/>
              </w:tabs>
              <w:spacing w:line="440" w:lineRule="exact"/>
              <w:jc w:val="center"/>
              <w:rPr>
                <w:sz w:val="21"/>
                <w:szCs w:val="21"/>
              </w:rPr>
            </w:pPr>
            <w:r>
              <w:rPr>
                <w:rFonts w:hint="eastAsia"/>
                <w:sz w:val="21"/>
                <w:szCs w:val="21"/>
              </w:rPr>
              <w:t>7.5%</w:t>
            </w:r>
          </w:p>
        </w:tc>
      </w:tr>
      <w:tr w14:paraId="173100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shd w:val="clear" w:color="auto" w:fill="auto"/>
          </w:tcPr>
          <w:p w14:paraId="30236BC8">
            <w:pPr>
              <w:widowControl w:val="0"/>
              <w:tabs>
                <w:tab w:val="left" w:pos="360"/>
                <w:tab w:val="clear" w:pos="377"/>
              </w:tabs>
              <w:spacing w:line="440" w:lineRule="exact"/>
              <w:jc w:val="center"/>
              <w:rPr>
                <w:sz w:val="21"/>
                <w:szCs w:val="21"/>
              </w:rPr>
            </w:pPr>
            <w:r>
              <w:rPr>
                <w:rFonts w:hint="eastAsia"/>
                <w:sz w:val="21"/>
                <w:szCs w:val="21"/>
              </w:rPr>
              <w:t>2MS</w:t>
            </w:r>
          </w:p>
        </w:tc>
        <w:tc>
          <w:tcPr>
            <w:tcW w:w="3058" w:type="dxa"/>
            <w:shd w:val="clear" w:color="auto" w:fill="auto"/>
          </w:tcPr>
          <w:p w14:paraId="59EAA967">
            <w:pPr>
              <w:widowControl w:val="0"/>
              <w:tabs>
                <w:tab w:val="left" w:pos="360"/>
                <w:tab w:val="clear" w:pos="377"/>
              </w:tabs>
              <w:spacing w:line="440" w:lineRule="exact"/>
              <w:jc w:val="center"/>
              <w:rPr>
                <w:sz w:val="21"/>
                <w:szCs w:val="21"/>
              </w:rPr>
            </w:pPr>
            <w:r>
              <w:rPr>
                <w:rFonts w:hint="eastAsia"/>
                <w:sz w:val="21"/>
                <w:szCs w:val="21"/>
              </w:rPr>
              <w:t>135°</w:t>
            </w:r>
          </w:p>
        </w:tc>
        <w:tc>
          <w:tcPr>
            <w:tcW w:w="2498" w:type="dxa"/>
            <w:shd w:val="clear" w:color="auto" w:fill="auto"/>
          </w:tcPr>
          <w:p w14:paraId="1A71B4C7">
            <w:pPr>
              <w:widowControl w:val="0"/>
              <w:tabs>
                <w:tab w:val="left" w:pos="360"/>
                <w:tab w:val="clear" w:pos="377"/>
              </w:tabs>
              <w:spacing w:line="440" w:lineRule="exact"/>
              <w:jc w:val="center"/>
              <w:rPr>
                <w:sz w:val="21"/>
                <w:szCs w:val="21"/>
              </w:rPr>
            </w:pPr>
            <w:r>
              <w:rPr>
                <w:rFonts w:hint="eastAsia"/>
                <w:sz w:val="21"/>
                <w:szCs w:val="21"/>
              </w:rPr>
              <w:t>10.0%</w:t>
            </w:r>
          </w:p>
        </w:tc>
      </w:tr>
      <w:tr w14:paraId="222F7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3" w:type="dxa"/>
            <w:tcBorders>
              <w:bottom w:val="single" w:color="auto" w:sz="12" w:space="0"/>
            </w:tcBorders>
            <w:shd w:val="clear" w:color="auto" w:fill="auto"/>
          </w:tcPr>
          <w:p w14:paraId="4DE9152E">
            <w:pPr>
              <w:widowControl w:val="0"/>
              <w:tabs>
                <w:tab w:val="left" w:pos="360"/>
                <w:tab w:val="clear" w:pos="377"/>
              </w:tabs>
              <w:spacing w:line="440" w:lineRule="exact"/>
              <w:jc w:val="center"/>
              <w:rPr>
                <w:sz w:val="21"/>
                <w:szCs w:val="21"/>
              </w:rPr>
            </w:pPr>
            <w:r>
              <w:rPr>
                <w:rFonts w:hint="eastAsia"/>
                <w:sz w:val="21"/>
                <w:szCs w:val="21"/>
              </w:rPr>
              <w:t>2.5MS</w:t>
            </w:r>
          </w:p>
        </w:tc>
        <w:tc>
          <w:tcPr>
            <w:tcW w:w="3058" w:type="dxa"/>
            <w:tcBorders>
              <w:bottom w:val="single" w:color="auto" w:sz="12" w:space="0"/>
            </w:tcBorders>
            <w:shd w:val="clear" w:color="auto" w:fill="auto"/>
          </w:tcPr>
          <w:p w14:paraId="01DE7489">
            <w:pPr>
              <w:widowControl w:val="0"/>
              <w:tabs>
                <w:tab w:val="left" w:pos="360"/>
                <w:tab w:val="clear" w:pos="377"/>
              </w:tabs>
              <w:spacing w:line="440" w:lineRule="exact"/>
              <w:jc w:val="center"/>
              <w:rPr>
                <w:sz w:val="21"/>
                <w:szCs w:val="21"/>
              </w:rPr>
            </w:pPr>
            <w:r>
              <w:rPr>
                <w:rFonts w:hint="eastAsia"/>
                <w:sz w:val="21"/>
                <w:szCs w:val="21"/>
              </w:rPr>
              <w:t>180°</w:t>
            </w:r>
          </w:p>
        </w:tc>
        <w:tc>
          <w:tcPr>
            <w:tcW w:w="2498" w:type="dxa"/>
            <w:tcBorders>
              <w:bottom w:val="single" w:color="auto" w:sz="12" w:space="0"/>
            </w:tcBorders>
            <w:shd w:val="clear" w:color="auto" w:fill="auto"/>
          </w:tcPr>
          <w:p w14:paraId="4E2951AF">
            <w:pPr>
              <w:widowControl w:val="0"/>
              <w:tabs>
                <w:tab w:val="left" w:pos="360"/>
                <w:tab w:val="clear" w:pos="377"/>
              </w:tabs>
              <w:spacing w:line="440" w:lineRule="exact"/>
              <w:jc w:val="center"/>
              <w:rPr>
                <w:sz w:val="21"/>
                <w:szCs w:val="21"/>
              </w:rPr>
            </w:pPr>
            <w:r>
              <w:rPr>
                <w:rFonts w:hint="eastAsia"/>
                <w:sz w:val="21"/>
                <w:szCs w:val="21"/>
              </w:rPr>
              <w:t>12.5%</w:t>
            </w:r>
          </w:p>
        </w:tc>
      </w:tr>
    </w:tbl>
    <w:p w14:paraId="12DA1122">
      <w:pPr>
        <w:tabs>
          <w:tab w:val="left" w:pos="360"/>
          <w:tab w:val="clear" w:pos="377"/>
        </w:tabs>
        <w:spacing w:line="440" w:lineRule="exact"/>
        <w:ind w:firstLine="480" w:firstLineChars="200"/>
      </w:pPr>
    </w:p>
    <w:p w14:paraId="52D0136D">
      <w:pPr>
        <w:tabs>
          <w:tab w:val="left" w:pos="360"/>
          <w:tab w:val="clear" w:pos="377"/>
        </w:tabs>
        <w:spacing w:line="440" w:lineRule="exact"/>
      </w:pPr>
      <w:r>
        <w:rPr>
          <w:rFonts w:hint="eastAsia"/>
        </w:rPr>
        <w:t>信号比较的电位差实际上就是通过改变占空比来实现舵机驱动转动角度的控制的。</w:t>
      </w:r>
    </w:p>
    <w:p w14:paraId="138620C8">
      <w:pPr>
        <w:tabs>
          <w:tab w:val="left" w:pos="360"/>
          <w:tab w:val="clear" w:pos="377"/>
        </w:tabs>
        <w:spacing w:line="440" w:lineRule="exact"/>
      </w:pPr>
      <w:r>
        <w:rPr>
          <w:rFonts w:hint="eastAsia"/>
        </w:rPr>
        <w:t>因此，依据以上理解，可以根据角度和高电平的时间（即方波宽度）推断一个公式：</w:t>
      </w:r>
    </w:p>
    <w:p w14:paraId="511FDB40">
      <w:pPr>
        <w:tabs>
          <w:tab w:val="left" w:pos="360"/>
          <w:tab w:val="clear" w:pos="377"/>
        </w:tabs>
        <w:spacing w:line="440" w:lineRule="exact"/>
      </w:pPr>
    </w:p>
    <w:p w14:paraId="5287E14C">
      <w:pPr>
        <w:tabs>
          <w:tab w:val="left" w:pos="360"/>
          <w:tab w:val="clear" w:pos="377"/>
        </w:tabs>
        <w:spacing w:line="440" w:lineRule="exact"/>
        <w:ind w:firstLine="480" w:firstLineChars="200"/>
        <w:jc w:val="right"/>
        <w:rPr>
          <w:iCs/>
        </w:rPr>
      </w:pPr>
      <m:oMath>
        <m:r>
          <m:rPr>
            <m:sty m:val="p"/>
          </m:rPr>
          <w:rPr>
            <w:rFonts w:hint="eastAsia" w:ascii="Cambria Math" w:hAnsi="Cambria Math"/>
          </w:rPr>
          <m:t xml:space="preserve">PWM的高电平时间 </m:t>
        </m:r>
        <m:r>
          <m:rPr>
            <m:sty m:val="p"/>
          </m:rPr>
          <w:rPr>
            <w:rFonts w:ascii="Cambria Math" w:hAnsi="Cambria Math"/>
          </w:rPr>
          <m:t>=</m:t>
        </m:r>
        <m:r>
          <m:rPr>
            <m:sty m:val="p"/>
          </m:rPr>
          <w:rPr>
            <w:rFonts w:hint="eastAsia" w:ascii="Cambria Math" w:hAnsi="Cambria Math"/>
          </w:rPr>
          <m:t xml:space="preserve"> 0.5ms </m:t>
        </m:r>
        <m:r>
          <m:rPr>
            <m:sty m:val="p"/>
          </m:rPr>
          <w:rPr>
            <w:rFonts w:ascii="Cambria Math" w:hAnsi="Cambria Math"/>
          </w:rPr>
          <m:t>+</m:t>
        </m:r>
        <m:d>
          <m:dPr>
            <m:begChr m:val="（"/>
            <m:endChr m:val="）"/>
            <m:ctrlPr>
              <w:rPr>
                <w:rFonts w:ascii="Cambria Math" w:hAnsi="Cambria Math"/>
                <w:iCs/>
              </w:rPr>
            </m:ctrlPr>
          </m:dPr>
          <m:e>
            <m:r>
              <m:rPr>
                <m:sty m:val="p"/>
              </m:rPr>
              <w:rPr>
                <w:rFonts w:hint="eastAsia" w:ascii="Cambria Math" w:hAnsi="Cambria Math"/>
              </w:rPr>
              <m:t xml:space="preserve"> 转动角度 </m:t>
            </m:r>
            <m:r>
              <m:rPr>
                <m:sty m:val="p"/>
              </m:rPr>
              <w:rPr>
                <w:rFonts w:ascii="Cambria Math" w:hAnsi="Cambria Math"/>
              </w:rPr>
              <m:t>÷</m:t>
            </m:r>
            <m:r>
              <m:rPr>
                <m:sty m:val="p"/>
              </m:rPr>
              <w:rPr>
                <w:rFonts w:hint="eastAsia" w:ascii="Cambria Math" w:hAnsi="Cambria Math"/>
              </w:rPr>
              <m:t xml:space="preserve"> 180°</m:t>
            </m:r>
            <m:ctrlPr>
              <w:rPr>
                <w:rFonts w:ascii="Cambria Math" w:hAnsi="Cambria Math"/>
                <w:iCs/>
              </w:rPr>
            </m:ctrlPr>
          </m:e>
        </m:d>
        <m:r>
          <m:rPr>
            <m:sty m:val="p"/>
          </m:rPr>
          <w:rPr>
            <w:rFonts w:ascii="Cambria Math" w:hAnsi="Cambria Math"/>
          </w:rPr>
          <m:t>×</m:t>
        </m:r>
        <m:r>
          <m:rPr>
            <m:sty m:val="p"/>
          </m:rPr>
          <w:rPr>
            <w:rFonts w:hint="eastAsia" w:ascii="Cambria Math" w:hAnsi="Cambria Math"/>
          </w:rPr>
          <m:t xml:space="preserve"> 2ms</m:t>
        </m:r>
        <m:r>
          <m:rPr>
            <m:sty m:val="p"/>
          </m:rPr>
          <w:rPr>
            <w:rFonts w:ascii="Cambria Math" w:hAnsi="Cambria Math"/>
          </w:rPr>
          <m:t xml:space="preserve">      </m:t>
        </m:r>
      </m:oMath>
      <w:r>
        <w:rPr>
          <w:rFonts w:hint="eastAsia"/>
          <w:iCs/>
        </w:rPr>
        <w:t>（4.1）</w:t>
      </w:r>
    </w:p>
    <w:p w14:paraId="27CF5971">
      <w:pPr>
        <w:tabs>
          <w:tab w:val="left" w:pos="360"/>
          <w:tab w:val="clear" w:pos="377"/>
        </w:tabs>
        <w:wordWrap w:val="0"/>
        <w:spacing w:line="440" w:lineRule="exact"/>
        <w:ind w:right="240" w:firstLine="480" w:firstLineChars="200"/>
        <w:jc w:val="right"/>
      </w:pPr>
      <w:r>
        <w:rPr>
          <w:rFonts w:hint="eastAsia"/>
          <w:iCs/>
        </w:rPr>
        <w:t xml:space="preserve">   </w:t>
      </w:r>
    </w:p>
    <w:p w14:paraId="0831EFBA">
      <w:pPr>
        <w:pStyle w:val="3"/>
        <w:spacing w:before="120"/>
      </w:pPr>
      <w:bookmarkStart w:id="58" w:name="_Toc198563266"/>
      <w:r>
        <w:rPr>
          <w:rFonts w:hint="eastAsia"/>
        </w:rPr>
        <w:t>4.4 按键模块</w:t>
      </w:r>
      <w:bookmarkEnd w:id="58"/>
    </w:p>
    <w:p w14:paraId="7EC667C4">
      <w:pPr>
        <w:tabs>
          <w:tab w:val="left" w:pos="360"/>
          <w:tab w:val="clear" w:pos="377"/>
        </w:tabs>
        <w:spacing w:line="440" w:lineRule="exact"/>
        <w:ind w:firstLine="480" w:firstLineChars="200"/>
      </w:pPr>
      <w:r>
        <w:rPr>
          <w:rFonts w:hint="eastAsia"/>
        </w:rPr>
        <w:t>按键控制模块的电路图如图4.11所示：</w:t>
      </w:r>
    </w:p>
    <w:p w14:paraId="1C87C90F">
      <w:pPr>
        <w:tabs>
          <w:tab w:val="left" w:pos="360"/>
          <w:tab w:val="clear" w:pos="377"/>
        </w:tabs>
        <w:spacing w:line="440" w:lineRule="exact"/>
        <w:ind w:firstLine="480" w:firstLineChars="200"/>
      </w:pPr>
    </w:p>
    <w:p w14:paraId="20390BDC">
      <w:pPr>
        <w:tabs>
          <w:tab w:val="left" w:pos="360"/>
          <w:tab w:val="clear" w:pos="377"/>
        </w:tabs>
        <w:spacing w:line="440" w:lineRule="atLeast"/>
        <w:jc w:val="center"/>
      </w:pPr>
      <w:r>
        <w:drawing>
          <wp:inline distT="0" distB="0" distL="0" distR="0">
            <wp:extent cx="2421890" cy="215011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421890" cy="2150110"/>
                    </a:xfrm>
                    <a:prstGeom prst="rect">
                      <a:avLst/>
                    </a:prstGeom>
                    <a:noFill/>
                    <a:ln>
                      <a:noFill/>
                    </a:ln>
                  </pic:spPr>
                </pic:pic>
              </a:graphicData>
            </a:graphic>
          </wp:inline>
        </w:drawing>
      </w:r>
    </w:p>
    <w:p w14:paraId="0B73F5D1">
      <w:pPr>
        <w:tabs>
          <w:tab w:val="left" w:pos="360"/>
          <w:tab w:val="clear" w:pos="377"/>
        </w:tabs>
        <w:spacing w:line="440" w:lineRule="exact"/>
        <w:jc w:val="center"/>
        <w:rPr>
          <w:sz w:val="21"/>
          <w:szCs w:val="21"/>
        </w:rPr>
      </w:pPr>
    </w:p>
    <w:p w14:paraId="619635DF">
      <w:pPr>
        <w:tabs>
          <w:tab w:val="left" w:pos="360"/>
          <w:tab w:val="clear" w:pos="377"/>
        </w:tabs>
        <w:spacing w:line="440" w:lineRule="exact"/>
        <w:jc w:val="center"/>
        <w:rPr>
          <w:sz w:val="21"/>
          <w:szCs w:val="21"/>
        </w:rPr>
      </w:pPr>
      <w:r>
        <w:rPr>
          <w:rFonts w:hint="eastAsia"/>
          <w:sz w:val="21"/>
          <w:szCs w:val="21"/>
        </w:rPr>
        <w:t>图4.11  按键原理图</w:t>
      </w:r>
    </w:p>
    <w:p w14:paraId="5A9D912A">
      <w:pPr>
        <w:tabs>
          <w:tab w:val="left" w:pos="360"/>
          <w:tab w:val="clear" w:pos="377"/>
        </w:tabs>
        <w:spacing w:line="440" w:lineRule="exact"/>
        <w:ind w:firstLine="480" w:firstLineChars="200"/>
      </w:pPr>
      <w:r>
        <w:rPr>
          <w:rFonts w:hint="eastAsia"/>
        </w:rPr>
        <w:t>本项目设计了4个按键模块，用以控制4个舵机来开关不同垃圾桶，PB6、PB7、PB8、PB9分别于单片机相连，按键控制的工作原理为：当单片机上电时，与STM32相连的寄存器的IO口默认是高电平。当按键按下时，IO口接地。当寄存器写入一个值时，它会输送到IO口中，同时寄存器会检测这个IO口的电平，并读取到寄存器当中，此时可以通过代码来检测按键是否被按。若按下按键，则单片机会输出PWM</w:t>
      </w:r>
      <w:r>
        <w:t>波形到</w:t>
      </w:r>
      <w:r>
        <w:rPr>
          <w:rFonts w:hint="eastAsia"/>
        </w:rPr>
        <w:t>SG90</w:t>
      </w:r>
      <w:r>
        <w:t>舵机，</w:t>
      </w:r>
      <w:r>
        <w:rPr>
          <w:rFonts w:hint="eastAsia"/>
        </w:rPr>
        <w:t>SG90</w:t>
      </w:r>
      <w:r>
        <w:t>舵机再根据自身工作原理来控制垃圾桶盖的开关。</w:t>
      </w:r>
    </w:p>
    <w:p w14:paraId="69D6DA56">
      <w:pPr>
        <w:tabs>
          <w:tab w:val="left" w:pos="360"/>
          <w:tab w:val="clear" w:pos="377"/>
        </w:tabs>
        <w:spacing w:line="440" w:lineRule="exact"/>
        <w:ind w:firstLine="480" w:firstLineChars="200"/>
      </w:pPr>
      <w:r>
        <w:t>按键控制的工作</w:t>
      </w:r>
      <w:r>
        <w:rPr>
          <w:rFonts w:hint="eastAsia"/>
        </w:rPr>
        <w:t>流程</w:t>
      </w:r>
      <w:r>
        <w:t>如下流程图</w:t>
      </w:r>
      <w:r>
        <w:rPr>
          <w:rFonts w:hint="eastAsia"/>
        </w:rPr>
        <w:t>4.12</w:t>
      </w:r>
      <w:r>
        <w:t>所示：</w:t>
      </w:r>
    </w:p>
    <w:p w14:paraId="72830C86">
      <w:pPr>
        <w:tabs>
          <w:tab w:val="left" w:pos="360"/>
          <w:tab w:val="clear" w:pos="377"/>
        </w:tabs>
        <w:spacing w:line="440" w:lineRule="exact"/>
        <w:ind w:firstLine="480" w:firstLineChars="200"/>
      </w:pPr>
    </w:p>
    <w:p w14:paraId="2884777A">
      <w:pPr>
        <w:tabs>
          <w:tab w:val="left" w:pos="360"/>
          <w:tab w:val="clear" w:pos="377"/>
        </w:tabs>
        <w:spacing w:line="440" w:lineRule="atLeast"/>
        <w:jc w:val="center"/>
      </w:pPr>
      <w:r>
        <w:drawing>
          <wp:inline distT="0" distB="0" distL="0" distR="0">
            <wp:extent cx="2324100" cy="2495550"/>
            <wp:effectExtent l="0" t="0" r="0" b="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327991" cy="2500108"/>
                    </a:xfrm>
                    <a:prstGeom prst="rect">
                      <a:avLst/>
                    </a:prstGeom>
                    <a:noFill/>
                    <a:ln>
                      <a:noFill/>
                    </a:ln>
                  </pic:spPr>
                </pic:pic>
              </a:graphicData>
            </a:graphic>
          </wp:inline>
        </w:drawing>
      </w:r>
    </w:p>
    <w:p w14:paraId="66FE1803">
      <w:pPr>
        <w:tabs>
          <w:tab w:val="left" w:pos="360"/>
          <w:tab w:val="clear" w:pos="377"/>
        </w:tabs>
        <w:spacing w:line="440" w:lineRule="exact"/>
        <w:jc w:val="center"/>
        <w:rPr>
          <w:sz w:val="21"/>
          <w:szCs w:val="21"/>
        </w:rPr>
      </w:pPr>
    </w:p>
    <w:p w14:paraId="7CE85477">
      <w:pPr>
        <w:tabs>
          <w:tab w:val="left" w:pos="360"/>
          <w:tab w:val="clear" w:pos="377"/>
        </w:tabs>
        <w:spacing w:line="440" w:lineRule="exact"/>
        <w:jc w:val="center"/>
        <w:rPr>
          <w:sz w:val="21"/>
          <w:szCs w:val="21"/>
        </w:rPr>
      </w:pPr>
      <w:r>
        <w:rPr>
          <w:sz w:val="21"/>
          <w:szCs w:val="21"/>
        </w:rPr>
        <w:t>图</w:t>
      </w:r>
      <w:r>
        <w:rPr>
          <w:rFonts w:hint="eastAsia"/>
          <w:sz w:val="21"/>
          <w:szCs w:val="21"/>
        </w:rPr>
        <w:t xml:space="preserve">4.12  </w:t>
      </w:r>
      <w:r>
        <w:rPr>
          <w:sz w:val="21"/>
          <w:szCs w:val="21"/>
        </w:rPr>
        <w:t>按键控制原理</w:t>
      </w:r>
    </w:p>
    <w:p w14:paraId="77FD4E91">
      <w:pPr>
        <w:tabs>
          <w:tab w:val="left" w:pos="360"/>
          <w:tab w:val="clear" w:pos="377"/>
        </w:tabs>
        <w:spacing w:line="440" w:lineRule="exact"/>
        <w:rPr>
          <w:sz w:val="21"/>
          <w:szCs w:val="21"/>
        </w:rPr>
      </w:pPr>
    </w:p>
    <w:p w14:paraId="4BBBFBE6">
      <w:pPr>
        <w:pStyle w:val="3"/>
        <w:spacing w:before="120"/>
      </w:pPr>
      <w:bookmarkStart w:id="59" w:name="_Toc198563267"/>
      <w:r>
        <w:rPr>
          <w:rFonts w:hint="eastAsia"/>
        </w:rPr>
        <w:t>4.5 红外传感器检测模块</w:t>
      </w:r>
      <w:bookmarkEnd w:id="59"/>
    </w:p>
    <w:p w14:paraId="05BB7DB3">
      <w:pPr>
        <w:tabs>
          <w:tab w:val="left" w:pos="360"/>
          <w:tab w:val="clear" w:pos="377"/>
        </w:tabs>
        <w:spacing w:line="440" w:lineRule="exact"/>
        <w:ind w:firstLine="480" w:firstLineChars="200"/>
      </w:pPr>
      <w:r>
        <w:rPr>
          <w:rFonts w:hint="eastAsia"/>
        </w:rPr>
        <w:t>TCRT5000</w:t>
      </w:r>
      <w:r>
        <w:t>红外传感器</w:t>
      </w:r>
      <w:r>
        <w:rPr>
          <w:rFonts w:hint="eastAsia"/>
        </w:rPr>
        <w:t>的工作原理为：传感器的红外发射二极管一直在向外发射红外线，当发射出去的红外线没有被反射回来或者被反射回来了，但是强度不够大时，光敏三极管是一直处于关断状态的，即内部开关断开，电路是处于无电状态的，此时模块输出为低电平，指示灯二极管一直处于熄灭状态，当被检测物体出现在检测范围时，红外线被反射回来，并且反射强度足够大，光敏三极管饱和，此时模块输出为高电平，指示二极管就被点亮了。</w:t>
      </w:r>
    </w:p>
    <w:p w14:paraId="07A95E47">
      <w:pPr>
        <w:tabs>
          <w:tab w:val="left" w:pos="360"/>
          <w:tab w:val="clear" w:pos="377"/>
        </w:tabs>
        <w:spacing w:line="440" w:lineRule="exact"/>
      </w:pPr>
    </w:p>
    <w:p w14:paraId="07927AE0">
      <w:pPr>
        <w:tabs>
          <w:tab w:val="left" w:pos="360"/>
          <w:tab w:val="clear" w:pos="377"/>
        </w:tabs>
        <w:spacing w:line="440" w:lineRule="exact"/>
        <w:ind w:firstLine="480" w:firstLineChars="200"/>
      </w:pPr>
      <w:r>
        <w:rPr>
          <w:rFonts w:hint="eastAsia"/>
        </w:rPr>
        <w:t>其电路原理图如图4.13所示：</w:t>
      </w:r>
    </w:p>
    <w:p w14:paraId="198095E1">
      <w:pPr>
        <w:tabs>
          <w:tab w:val="left" w:pos="360"/>
          <w:tab w:val="clear" w:pos="377"/>
        </w:tabs>
        <w:spacing w:line="440" w:lineRule="exact"/>
        <w:ind w:firstLine="480" w:firstLineChars="200"/>
      </w:pPr>
    </w:p>
    <w:p w14:paraId="75029C8C">
      <w:pPr>
        <w:tabs>
          <w:tab w:val="left" w:pos="360"/>
          <w:tab w:val="clear" w:pos="377"/>
        </w:tabs>
        <w:spacing w:line="440" w:lineRule="atLeast"/>
        <w:jc w:val="center"/>
      </w:pPr>
      <w:r>
        <w:drawing>
          <wp:inline distT="0" distB="0" distL="0" distR="0">
            <wp:extent cx="5634990" cy="1631315"/>
            <wp:effectExtent l="0" t="0" r="0" b="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634990" cy="1631315"/>
                    </a:xfrm>
                    <a:prstGeom prst="rect">
                      <a:avLst/>
                    </a:prstGeom>
                    <a:noFill/>
                    <a:ln>
                      <a:noFill/>
                    </a:ln>
                  </pic:spPr>
                </pic:pic>
              </a:graphicData>
            </a:graphic>
          </wp:inline>
        </w:drawing>
      </w:r>
    </w:p>
    <w:p w14:paraId="4D4C66C2">
      <w:pPr>
        <w:tabs>
          <w:tab w:val="left" w:pos="360"/>
          <w:tab w:val="clear" w:pos="377"/>
        </w:tabs>
        <w:spacing w:line="440" w:lineRule="exact"/>
        <w:jc w:val="center"/>
        <w:rPr>
          <w:sz w:val="21"/>
          <w:szCs w:val="21"/>
        </w:rPr>
      </w:pPr>
    </w:p>
    <w:p w14:paraId="003C8F77">
      <w:pPr>
        <w:tabs>
          <w:tab w:val="left" w:pos="360"/>
          <w:tab w:val="clear" w:pos="377"/>
        </w:tabs>
        <w:spacing w:line="440" w:lineRule="exact"/>
        <w:jc w:val="center"/>
        <w:rPr>
          <w:sz w:val="21"/>
          <w:szCs w:val="21"/>
        </w:rPr>
      </w:pPr>
      <w:r>
        <w:rPr>
          <w:rFonts w:hint="eastAsia"/>
          <w:sz w:val="21"/>
          <w:szCs w:val="21"/>
        </w:rPr>
        <w:t>图4.13  红外模块原理图</w:t>
      </w:r>
    </w:p>
    <w:p w14:paraId="2E586B39">
      <w:pPr>
        <w:tabs>
          <w:tab w:val="left" w:pos="360"/>
          <w:tab w:val="clear" w:pos="377"/>
        </w:tabs>
        <w:spacing w:line="440" w:lineRule="exact"/>
        <w:ind w:firstLine="480" w:firstLineChars="200"/>
      </w:pPr>
    </w:p>
    <w:p w14:paraId="11163CE2">
      <w:pPr>
        <w:tabs>
          <w:tab w:val="left" w:pos="360"/>
          <w:tab w:val="clear" w:pos="377"/>
        </w:tabs>
        <w:spacing w:line="440" w:lineRule="exact"/>
        <w:ind w:firstLine="480" w:firstLineChars="200"/>
      </w:pPr>
      <w:r>
        <w:rPr>
          <w:rFonts w:hint="eastAsia"/>
        </w:rPr>
        <w:t>因为有4种垃圾分类，所以需要4个TCRT5000红外模块。</w:t>
      </w:r>
    </w:p>
    <w:p w14:paraId="1D2A5D6E">
      <w:pPr>
        <w:pStyle w:val="3"/>
        <w:spacing w:before="120"/>
      </w:pPr>
      <w:bookmarkStart w:id="60" w:name="_Toc198563268"/>
      <w:r>
        <w:rPr>
          <w:rFonts w:hint="eastAsia"/>
        </w:rPr>
        <w:t>4.6 蜂鸣器报警模块</w:t>
      </w:r>
      <w:bookmarkEnd w:id="60"/>
    </w:p>
    <w:p w14:paraId="7D4F08B1">
      <w:pPr>
        <w:tabs>
          <w:tab w:val="left" w:pos="360"/>
          <w:tab w:val="clear" w:pos="377"/>
        </w:tabs>
        <w:spacing w:line="440" w:lineRule="exact"/>
        <w:ind w:firstLine="480" w:firstLineChars="200"/>
      </w:pPr>
      <w:r>
        <w:rPr>
          <w:rFonts w:hint="eastAsia"/>
        </w:rPr>
        <w:t>蜂鸣器电路原理图如图4.14所示：</w:t>
      </w:r>
    </w:p>
    <w:p w14:paraId="5C0D764B">
      <w:pPr>
        <w:tabs>
          <w:tab w:val="left" w:pos="360"/>
          <w:tab w:val="clear" w:pos="377"/>
        </w:tabs>
        <w:spacing w:line="440" w:lineRule="exact"/>
        <w:ind w:firstLine="480" w:firstLineChars="200"/>
      </w:pPr>
    </w:p>
    <w:p w14:paraId="0B800F2A">
      <w:pPr>
        <w:tabs>
          <w:tab w:val="left" w:pos="360"/>
          <w:tab w:val="clear" w:pos="377"/>
        </w:tabs>
        <w:spacing w:line="440" w:lineRule="atLeast"/>
        <w:jc w:val="center"/>
      </w:pPr>
      <w:r>
        <w:drawing>
          <wp:inline distT="0" distB="0" distL="0" distR="0">
            <wp:extent cx="2446655" cy="1120140"/>
            <wp:effectExtent l="0" t="0" r="0" b="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446655" cy="1120140"/>
                    </a:xfrm>
                    <a:prstGeom prst="rect">
                      <a:avLst/>
                    </a:prstGeom>
                    <a:noFill/>
                    <a:ln>
                      <a:noFill/>
                    </a:ln>
                  </pic:spPr>
                </pic:pic>
              </a:graphicData>
            </a:graphic>
          </wp:inline>
        </w:drawing>
      </w:r>
    </w:p>
    <w:p w14:paraId="6332F7C7">
      <w:pPr>
        <w:tabs>
          <w:tab w:val="left" w:pos="360"/>
          <w:tab w:val="clear" w:pos="377"/>
        </w:tabs>
        <w:spacing w:line="440" w:lineRule="exact"/>
        <w:jc w:val="center"/>
        <w:rPr>
          <w:sz w:val="21"/>
          <w:szCs w:val="21"/>
        </w:rPr>
      </w:pPr>
    </w:p>
    <w:p w14:paraId="4AD271A9">
      <w:pPr>
        <w:tabs>
          <w:tab w:val="left" w:pos="360"/>
          <w:tab w:val="clear" w:pos="377"/>
        </w:tabs>
        <w:spacing w:line="440" w:lineRule="exact"/>
        <w:jc w:val="center"/>
        <w:rPr>
          <w:sz w:val="21"/>
          <w:szCs w:val="21"/>
        </w:rPr>
      </w:pPr>
      <w:r>
        <w:rPr>
          <w:rFonts w:hint="eastAsia"/>
          <w:sz w:val="21"/>
          <w:szCs w:val="21"/>
        </w:rPr>
        <w:t>图4.14  有源蜂鸣器原理图</w:t>
      </w:r>
    </w:p>
    <w:p w14:paraId="065F2B1A">
      <w:pPr>
        <w:tabs>
          <w:tab w:val="left" w:pos="360"/>
          <w:tab w:val="clear" w:pos="377"/>
        </w:tabs>
        <w:spacing w:line="440" w:lineRule="exact"/>
        <w:ind w:firstLine="480" w:firstLineChars="200"/>
      </w:pPr>
    </w:p>
    <w:p w14:paraId="0C053B99">
      <w:pPr>
        <w:tabs>
          <w:tab w:val="left" w:pos="360"/>
          <w:tab w:val="clear" w:pos="377"/>
        </w:tabs>
        <w:spacing w:line="440" w:lineRule="exact"/>
        <w:ind w:firstLine="480" w:firstLineChars="200"/>
      </w:pPr>
      <w:r>
        <w:rPr>
          <w:rFonts w:hint="eastAsia"/>
        </w:rPr>
        <w:t>本项目所使用的是有源蜂鸣器，将正负极接上直流电源后即可持续发生，并且频率固定。蜂鸣器是一种将电信号转化为声音信号的器件，常用来产生按键音、报警音等提示音信号。本项目则是用蜂鸣器来产生红外检测模块的溢满报警提示音。</w:t>
      </w:r>
    </w:p>
    <w:p w14:paraId="6F170D24">
      <w:pPr>
        <w:tabs>
          <w:tab w:val="left" w:pos="360"/>
          <w:tab w:val="clear" w:pos="377"/>
        </w:tabs>
        <w:spacing w:line="440" w:lineRule="exact"/>
        <w:ind w:firstLine="480" w:firstLineChars="200"/>
      </w:pPr>
      <w:r>
        <w:rPr>
          <w:rFonts w:hint="eastAsia"/>
        </w:rPr>
        <w:t>具体工作原理如下：当红外检测模块没有检测到物体时，其内部电路断开，不会产生电源，蜂鸣器也就没有通电，不会发生声音；当红外检测模块检测到物体时，其内部通电，与此同时蜂鸣器接上电源，则会发出警报。</w:t>
      </w:r>
    </w:p>
    <w:p w14:paraId="62602373">
      <w:pPr>
        <w:tabs>
          <w:tab w:val="left" w:pos="360"/>
          <w:tab w:val="clear" w:pos="377"/>
        </w:tabs>
        <w:spacing w:line="440" w:lineRule="exact"/>
        <w:ind w:firstLine="480" w:firstLineChars="200"/>
      </w:pPr>
      <w:r>
        <w:rPr>
          <w:rFonts w:hint="eastAsia"/>
        </w:rPr>
        <w:t>其工作方式流程图如图4.15所示：</w:t>
      </w:r>
    </w:p>
    <w:p w14:paraId="1D3CD8E8">
      <w:pPr>
        <w:tabs>
          <w:tab w:val="left" w:pos="360"/>
          <w:tab w:val="clear" w:pos="377"/>
        </w:tabs>
        <w:spacing w:line="440" w:lineRule="exact"/>
        <w:ind w:firstLine="480" w:firstLineChars="200"/>
      </w:pPr>
    </w:p>
    <w:p w14:paraId="425A05DC">
      <w:pPr>
        <w:tabs>
          <w:tab w:val="left" w:pos="360"/>
          <w:tab w:val="clear" w:pos="377"/>
        </w:tabs>
        <w:spacing w:line="440" w:lineRule="atLeast"/>
        <w:jc w:val="center"/>
      </w:pPr>
      <w:r>
        <w:drawing>
          <wp:inline distT="0" distB="0" distL="0" distR="0">
            <wp:extent cx="2118360" cy="2959100"/>
            <wp:effectExtent l="0" t="0" r="0" b="0"/>
            <wp:docPr id="15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5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119448" cy="2960751"/>
                    </a:xfrm>
                    <a:prstGeom prst="rect">
                      <a:avLst/>
                    </a:prstGeom>
                    <a:noFill/>
                  </pic:spPr>
                </pic:pic>
              </a:graphicData>
            </a:graphic>
          </wp:inline>
        </w:drawing>
      </w:r>
    </w:p>
    <w:p w14:paraId="1DD8BB3B">
      <w:pPr>
        <w:tabs>
          <w:tab w:val="left" w:pos="360"/>
          <w:tab w:val="clear" w:pos="377"/>
        </w:tabs>
        <w:spacing w:line="440" w:lineRule="exact"/>
        <w:jc w:val="center"/>
        <w:rPr>
          <w:sz w:val="21"/>
          <w:szCs w:val="21"/>
        </w:rPr>
      </w:pPr>
    </w:p>
    <w:p w14:paraId="129FB100">
      <w:pPr>
        <w:tabs>
          <w:tab w:val="left" w:pos="360"/>
          <w:tab w:val="clear" w:pos="377"/>
        </w:tabs>
        <w:spacing w:line="440" w:lineRule="exact"/>
        <w:jc w:val="center"/>
        <w:rPr>
          <w:sz w:val="21"/>
          <w:szCs w:val="21"/>
        </w:rPr>
      </w:pPr>
      <w:r>
        <w:rPr>
          <w:rFonts w:hint="eastAsia"/>
          <w:sz w:val="21"/>
          <w:szCs w:val="21"/>
        </w:rPr>
        <w:t>图4.15  蜂鸣器工作原理</w:t>
      </w:r>
    </w:p>
    <w:p w14:paraId="13560BF1">
      <w:pPr>
        <w:tabs>
          <w:tab w:val="left" w:pos="360"/>
          <w:tab w:val="clear" w:pos="377"/>
        </w:tabs>
        <w:spacing w:line="440" w:lineRule="exact"/>
      </w:pPr>
    </w:p>
    <w:p w14:paraId="6714E634">
      <w:pPr>
        <w:pStyle w:val="3"/>
        <w:spacing w:before="120"/>
      </w:pPr>
      <w:bookmarkStart w:id="61" w:name="_Toc198563269"/>
      <w:r>
        <w:rPr>
          <w:rFonts w:hint="eastAsia"/>
        </w:rPr>
        <w:t>4.7 无线传输模块</w:t>
      </w:r>
      <w:bookmarkEnd w:id="61"/>
    </w:p>
    <w:p w14:paraId="27D047F0">
      <w:pPr>
        <w:tabs>
          <w:tab w:val="left" w:pos="360"/>
          <w:tab w:val="clear" w:pos="377"/>
        </w:tabs>
        <w:spacing w:line="440" w:lineRule="exact"/>
        <w:ind w:firstLine="480" w:firstLineChars="200"/>
      </w:pPr>
      <w:r>
        <w:rPr>
          <w:rFonts w:hint="eastAsia"/>
        </w:rPr>
        <w:t>无线传输模块电路原理图如图4.16所示：</w:t>
      </w:r>
    </w:p>
    <w:p w14:paraId="7C647D01">
      <w:pPr>
        <w:tabs>
          <w:tab w:val="left" w:pos="360"/>
          <w:tab w:val="clear" w:pos="377"/>
        </w:tabs>
        <w:spacing w:line="440" w:lineRule="exact"/>
        <w:ind w:firstLine="480" w:firstLineChars="200"/>
      </w:pPr>
    </w:p>
    <w:p w14:paraId="361C7FC2">
      <w:pPr>
        <w:tabs>
          <w:tab w:val="left" w:pos="360"/>
          <w:tab w:val="clear" w:pos="377"/>
        </w:tabs>
        <w:spacing w:line="440" w:lineRule="atLeast"/>
        <w:jc w:val="center"/>
      </w:pPr>
      <w:r>
        <w:drawing>
          <wp:inline distT="0" distB="0" distL="0" distR="0">
            <wp:extent cx="2183130" cy="1672590"/>
            <wp:effectExtent l="0" t="0" r="0" b="0"/>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noChangeArrowheads="1"/>
                    </pic:cNvPicPr>
                  </pic:nvPicPr>
                  <pic:blipFill>
                    <a:blip r:embed="rId50">
                      <a:extLst>
                        <a:ext uri="{28A0092B-C50C-407E-A947-70E740481C1C}">
                          <a14:useLocalDpi xmlns:a14="http://schemas.microsoft.com/office/drawing/2010/main" val="0"/>
                        </a:ext>
                      </a:extLst>
                    </a:blip>
                    <a:srcRect b="11446"/>
                    <a:stretch>
                      <a:fillRect/>
                    </a:stretch>
                  </pic:blipFill>
                  <pic:spPr>
                    <a:xfrm>
                      <a:off x="0" y="0"/>
                      <a:ext cx="2183130" cy="1672590"/>
                    </a:xfrm>
                    <a:prstGeom prst="rect">
                      <a:avLst/>
                    </a:prstGeom>
                    <a:noFill/>
                    <a:ln>
                      <a:noFill/>
                    </a:ln>
                  </pic:spPr>
                </pic:pic>
              </a:graphicData>
            </a:graphic>
          </wp:inline>
        </w:drawing>
      </w:r>
    </w:p>
    <w:p w14:paraId="1A4B763C">
      <w:pPr>
        <w:widowControl w:val="0"/>
        <w:tabs>
          <w:tab w:val="left" w:pos="360"/>
          <w:tab w:val="clear" w:pos="377"/>
        </w:tabs>
        <w:spacing w:line="440" w:lineRule="exact"/>
        <w:jc w:val="center"/>
        <w:rPr>
          <w:sz w:val="21"/>
          <w:szCs w:val="21"/>
        </w:rPr>
      </w:pPr>
    </w:p>
    <w:p w14:paraId="7E5DFAA2">
      <w:pPr>
        <w:widowControl w:val="0"/>
        <w:tabs>
          <w:tab w:val="left" w:pos="360"/>
          <w:tab w:val="clear" w:pos="377"/>
        </w:tabs>
        <w:spacing w:line="440" w:lineRule="exact"/>
        <w:jc w:val="center"/>
        <w:rPr>
          <w:sz w:val="21"/>
          <w:szCs w:val="21"/>
        </w:rPr>
      </w:pPr>
      <w:r>
        <w:rPr>
          <w:rFonts w:hint="eastAsia"/>
          <w:sz w:val="21"/>
          <w:szCs w:val="21"/>
        </w:rPr>
        <w:t>图4.16  无线传输模块原理图</w:t>
      </w:r>
    </w:p>
    <w:p w14:paraId="76650BCA">
      <w:pPr>
        <w:tabs>
          <w:tab w:val="left" w:pos="360"/>
          <w:tab w:val="clear" w:pos="377"/>
        </w:tabs>
        <w:spacing w:line="440" w:lineRule="exact"/>
        <w:ind w:firstLine="480" w:firstLineChars="200"/>
      </w:pPr>
    </w:p>
    <w:p w14:paraId="1D8236CD">
      <w:pPr>
        <w:tabs>
          <w:tab w:val="left" w:pos="360"/>
          <w:tab w:val="clear" w:pos="377"/>
        </w:tabs>
        <w:spacing w:line="440" w:lineRule="exact"/>
        <w:ind w:firstLine="480" w:firstLineChars="200"/>
      </w:pPr>
      <w:r>
        <w:rPr>
          <w:rFonts w:hint="eastAsia"/>
        </w:rPr>
        <w:t>因为ESP01S的通信实际上就是串口的通信，所以需要将单片机的串口与ESP01S的串口连接，并实现双向通信，具体连接为：ESP01S的RX口（实物为1接口）接单片机的PA2口，ESP01S的TX口（实物为8接口）接单片机的PA3口，复位引脚RST（实物为4接口）接单片机的PA1接口，再把电源接口和接地接口接上。</w:t>
      </w:r>
    </w:p>
    <w:p w14:paraId="277D1809">
      <w:pPr>
        <w:tabs>
          <w:tab w:val="left" w:pos="360"/>
          <w:tab w:val="clear" w:pos="377"/>
        </w:tabs>
        <w:spacing w:line="440" w:lineRule="exact"/>
        <w:ind w:firstLine="480" w:firstLineChars="200"/>
      </w:pPr>
      <w:r>
        <w:rPr>
          <w:rFonts w:hint="eastAsia"/>
        </w:rPr>
        <w:t>其具体的工作原理为：ESP01S通过串口发送数据，然后等待接收数据，将接收到的数据进行处理（实际上就是判断接收到的数据是否正确，并返回正误代码），接着连接热点，进而就可以执行后续操作。</w:t>
      </w:r>
    </w:p>
    <w:p w14:paraId="050FE8A4">
      <w:pPr>
        <w:tabs>
          <w:tab w:val="left" w:pos="360"/>
          <w:tab w:val="clear" w:pos="377"/>
        </w:tabs>
        <w:spacing w:line="440" w:lineRule="exact"/>
        <w:ind w:firstLine="480" w:firstLineChars="200"/>
      </w:pPr>
      <w:r>
        <w:rPr>
          <w:rFonts w:hint="eastAsia"/>
        </w:rPr>
        <w:t>一方面通过串口执行AT指令，当esp01s接收到指令后会执行相应的操作，然后将操作结果输入到单片机，单片机再执行相应的操作。另一方面将MQTT固件烧录进ESP01S当中，这样ESP01S就能连上自己的热点，然后在物联网云平台订阅自己的这个产品，就可以在日志里观察到自己的产品执行的指令。</w:t>
      </w:r>
    </w:p>
    <w:p w14:paraId="4FC385A5">
      <w:pPr>
        <w:tabs>
          <w:tab w:val="left" w:pos="360"/>
          <w:tab w:val="clear" w:pos="377"/>
        </w:tabs>
        <w:spacing w:line="440" w:lineRule="exact"/>
        <w:ind w:firstLine="480" w:firstLineChars="200"/>
      </w:pPr>
      <w:r>
        <w:rPr>
          <w:rFonts w:hint="eastAsia"/>
        </w:rPr>
        <w:t>ESP01S的工作流程图如图4.17所示：</w:t>
      </w:r>
    </w:p>
    <w:p w14:paraId="502F9E12">
      <w:pPr>
        <w:tabs>
          <w:tab w:val="left" w:pos="360"/>
          <w:tab w:val="clear" w:pos="377"/>
        </w:tabs>
        <w:spacing w:line="440" w:lineRule="exact"/>
        <w:ind w:firstLine="480" w:firstLineChars="200"/>
      </w:pPr>
    </w:p>
    <w:p w14:paraId="1AEAF378">
      <w:pPr>
        <w:tabs>
          <w:tab w:val="left" w:pos="360"/>
          <w:tab w:val="clear" w:pos="377"/>
        </w:tabs>
        <w:spacing w:line="240" w:lineRule="auto"/>
      </w:pPr>
      <w:r>
        <w:drawing>
          <wp:inline distT="0" distB="0" distL="0" distR="0">
            <wp:extent cx="5186680" cy="3775710"/>
            <wp:effectExtent l="0" t="0" r="0" b="0"/>
            <wp:docPr id="9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186680" cy="3775710"/>
                    </a:xfrm>
                    <a:prstGeom prst="rect">
                      <a:avLst/>
                    </a:prstGeom>
                    <a:noFill/>
                  </pic:spPr>
                </pic:pic>
              </a:graphicData>
            </a:graphic>
          </wp:inline>
        </w:drawing>
      </w:r>
    </w:p>
    <w:p w14:paraId="3CFCCBA3">
      <w:pPr>
        <w:tabs>
          <w:tab w:val="left" w:pos="360"/>
          <w:tab w:val="clear" w:pos="377"/>
        </w:tabs>
        <w:spacing w:line="440" w:lineRule="exact"/>
        <w:jc w:val="center"/>
        <w:rPr>
          <w:sz w:val="21"/>
          <w:szCs w:val="21"/>
        </w:rPr>
      </w:pPr>
    </w:p>
    <w:p w14:paraId="56C55B3F">
      <w:pPr>
        <w:tabs>
          <w:tab w:val="left" w:pos="360"/>
          <w:tab w:val="clear" w:pos="377"/>
        </w:tabs>
        <w:spacing w:line="440" w:lineRule="exact"/>
        <w:jc w:val="center"/>
        <w:rPr>
          <w:sz w:val="21"/>
          <w:szCs w:val="21"/>
        </w:rPr>
      </w:pPr>
      <w:r>
        <w:rPr>
          <w:rFonts w:hint="eastAsia"/>
          <w:sz w:val="21"/>
          <w:szCs w:val="21"/>
        </w:rPr>
        <w:t>图4.17  无线传输模块工作原理</w:t>
      </w:r>
    </w:p>
    <w:p w14:paraId="6C4A724D">
      <w:pPr>
        <w:pStyle w:val="3"/>
        <w:spacing w:before="120"/>
      </w:pPr>
      <w:bookmarkStart w:id="62" w:name="_Toc198563270"/>
      <w:r>
        <w:rPr>
          <w:rFonts w:hint="eastAsia"/>
        </w:rPr>
        <w:t>4.8 本章小结</w:t>
      </w:r>
      <w:bookmarkEnd w:id="62"/>
    </w:p>
    <w:p w14:paraId="7F0FDBD2">
      <w:pPr>
        <w:tabs>
          <w:tab w:val="left" w:pos="360"/>
          <w:tab w:val="clear" w:pos="377"/>
        </w:tabs>
        <w:spacing w:line="440" w:lineRule="exact"/>
        <w:ind w:firstLine="480" w:firstLineChars="200"/>
      </w:pPr>
      <w:r>
        <w:rPr>
          <w:rFonts w:hint="eastAsia"/>
        </w:rPr>
        <w:t>这一章对系统硬件方案设计进行了说明，将使用的模块划分为了不同的小节，在每一小节开始处给出模块的工作原理的同时，绘制出这个模块的电路设计图，并对电路图中的引脚进行了解释。有了电路图后就能对实物连线，并绘制出了每个模块的工作流程图，根据流程图进行系统硬件设计。</w:t>
      </w:r>
    </w:p>
    <w:p w14:paraId="1E70FE34">
      <w:pPr>
        <w:tabs>
          <w:tab w:val="left" w:pos="360"/>
          <w:tab w:val="clear" w:pos="377"/>
        </w:tabs>
        <w:spacing w:line="440" w:lineRule="exact"/>
        <w:ind w:firstLine="480" w:firstLineChars="200"/>
      </w:pPr>
    </w:p>
    <w:p w14:paraId="6FD4CE8E">
      <w:pPr>
        <w:pStyle w:val="2"/>
      </w:pPr>
      <w:r>
        <w:br w:type="page"/>
      </w:r>
      <w:bookmarkStart w:id="63" w:name="_Toc216894843"/>
      <w:bookmarkStart w:id="64" w:name="_Toc7018"/>
      <w:bookmarkStart w:id="65" w:name="_Toc468117604"/>
      <w:bookmarkStart w:id="66" w:name="_Toc198563271"/>
      <w:r>
        <w:rPr>
          <w:rFonts w:hint="eastAsia"/>
        </w:rPr>
        <w:t xml:space="preserve">第5章  </w:t>
      </w:r>
      <w:bookmarkEnd w:id="63"/>
      <w:bookmarkEnd w:id="64"/>
      <w:bookmarkEnd w:id="65"/>
      <w:r>
        <w:rPr>
          <w:rFonts w:hint="eastAsia"/>
        </w:rPr>
        <w:t>系统软件设计方案</w:t>
      </w:r>
      <w:bookmarkEnd w:id="66"/>
    </w:p>
    <w:p w14:paraId="52050A3B">
      <w:pPr>
        <w:pStyle w:val="3"/>
        <w:spacing w:before="120"/>
      </w:pPr>
      <w:bookmarkStart w:id="67" w:name="_Toc195704958"/>
      <w:bookmarkStart w:id="68" w:name="_Toc468117605"/>
      <w:bookmarkStart w:id="69" w:name="_Toc13633"/>
      <w:bookmarkStart w:id="70" w:name="_Toc216894844"/>
      <w:bookmarkStart w:id="71" w:name="_Toc198563272"/>
      <w:r>
        <w:rPr>
          <w:rFonts w:hint="eastAsia"/>
        </w:rPr>
        <w:t xml:space="preserve">5.1 </w:t>
      </w:r>
      <w:bookmarkEnd w:id="67"/>
      <w:bookmarkEnd w:id="68"/>
      <w:bookmarkEnd w:id="69"/>
      <w:bookmarkEnd w:id="70"/>
      <w:r>
        <w:rPr>
          <w:rFonts w:hint="eastAsia"/>
        </w:rPr>
        <w:t>STM32主控模块</w:t>
      </w:r>
      <w:bookmarkEnd w:id="71"/>
    </w:p>
    <w:p w14:paraId="266661F6">
      <w:pPr>
        <w:spacing w:line="440" w:lineRule="exact"/>
        <w:ind w:firstLine="480" w:firstLineChars="200"/>
      </w:pPr>
      <w:r>
        <w:rPr>
          <w:rFonts w:hint="eastAsia"/>
        </w:rPr>
        <w:t>本系统的实现需要各个模块之间交互工作，每个模块之间互相配合，系统的实现流程图如图5.1所示：</w:t>
      </w:r>
    </w:p>
    <w:p w14:paraId="65D836ED">
      <w:pPr>
        <w:spacing w:line="440" w:lineRule="exact"/>
      </w:pPr>
    </w:p>
    <w:p w14:paraId="32BFFD10">
      <w:pPr>
        <w:spacing w:line="240" w:lineRule="auto"/>
      </w:pPr>
      <w:r>
        <w:drawing>
          <wp:inline distT="0" distB="0" distL="0" distR="0">
            <wp:extent cx="5391785" cy="3240405"/>
            <wp:effectExtent l="0" t="0" r="0" b="0"/>
            <wp:docPr id="15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391785" cy="3240405"/>
                    </a:xfrm>
                    <a:prstGeom prst="rect">
                      <a:avLst/>
                    </a:prstGeom>
                    <a:noFill/>
                  </pic:spPr>
                </pic:pic>
              </a:graphicData>
            </a:graphic>
          </wp:inline>
        </w:drawing>
      </w:r>
    </w:p>
    <w:p w14:paraId="0D9277B4">
      <w:pPr>
        <w:spacing w:line="440" w:lineRule="exact"/>
        <w:jc w:val="center"/>
        <w:rPr>
          <w:sz w:val="21"/>
          <w:szCs w:val="21"/>
        </w:rPr>
      </w:pPr>
    </w:p>
    <w:p w14:paraId="0A5C15EC">
      <w:pPr>
        <w:spacing w:line="440" w:lineRule="exact"/>
        <w:jc w:val="center"/>
        <w:rPr>
          <w:sz w:val="21"/>
          <w:szCs w:val="21"/>
        </w:rPr>
      </w:pPr>
      <w:r>
        <w:rPr>
          <w:rFonts w:hint="eastAsia"/>
          <w:sz w:val="21"/>
          <w:szCs w:val="21"/>
        </w:rPr>
        <w:t>图5.1  系统软件设计流程图</w:t>
      </w:r>
    </w:p>
    <w:p w14:paraId="09C1C0AD">
      <w:pPr>
        <w:spacing w:line="440" w:lineRule="exact"/>
        <w:ind w:firstLine="480" w:firstLineChars="200"/>
      </w:pPr>
    </w:p>
    <w:p w14:paraId="69095A54">
      <w:pPr>
        <w:spacing w:line="440" w:lineRule="exact"/>
        <w:ind w:firstLine="480" w:firstLineChars="200"/>
      </w:pPr>
      <w:r>
        <w:rPr>
          <w:rFonts w:hint="eastAsia"/>
        </w:rPr>
        <w:t>以上流程图的具体运行步骤如下：</w:t>
      </w:r>
    </w:p>
    <w:p w14:paraId="26DB2C2C">
      <w:pPr>
        <w:spacing w:line="440" w:lineRule="exact"/>
        <w:ind w:firstLine="480" w:firstLineChars="200"/>
      </w:pPr>
      <w:r>
        <w:rPr>
          <w:rFonts w:hint="eastAsia"/>
        </w:rPr>
        <w:t>（1）首先是系统初始化，初始化工作包括对GPIO口、定时器、ADC、PWM波形定义、舵机角度设置等模块的初始化，另外还需要对部分电平的设置、引脚的连接等进行初始化操作，包括语音模块正负极接口、主控模块与语音模块之间的双向通信、红外检测与蜂鸣器的电平通信等的初始化工作；</w:t>
      </w:r>
    </w:p>
    <w:p w14:paraId="413A5DCA">
      <w:pPr>
        <w:spacing w:line="440" w:lineRule="exact"/>
        <w:ind w:firstLine="480" w:firstLineChars="200"/>
      </w:pPr>
      <w:r>
        <w:rPr>
          <w:rFonts w:hint="eastAsia"/>
        </w:rPr>
        <w:t>（2）模块打开WIFI模式并且连接手机热点，这里要保证烧录的热点名称和热点密码与手机开启的热点名称和密码保持一致，这样才能正确的连上热点，之后会在云平台看到设备的“在线模式”，这里就表示设备可以正常工作了；</w:t>
      </w:r>
    </w:p>
    <w:p w14:paraId="772CE4FF">
      <w:pPr>
        <w:spacing w:line="440" w:lineRule="exact"/>
        <w:ind w:firstLine="480" w:firstLineChars="200"/>
      </w:pPr>
      <w:r>
        <w:rPr>
          <w:rFonts w:hint="eastAsia"/>
        </w:rPr>
        <w:t>（3）语音模块在工作之前需要先呼叫“垃圾桶”以进入工作状态，之后根据呼叫的指令，在已经训练并且识别的指令库里做对比，如能识别，则会给舵机传输PWM波形；</w:t>
      </w:r>
    </w:p>
    <w:p w14:paraId="105A09F1">
      <w:pPr>
        <w:spacing w:line="440" w:lineRule="exact"/>
        <w:ind w:firstLine="480" w:firstLineChars="200"/>
      </w:pPr>
      <w:r>
        <w:rPr>
          <w:rFonts w:hint="eastAsia"/>
        </w:rPr>
        <w:t>（4）按键模块在工作时会检测按键的状态，状态与初始定义不同则会给舵机传输PWM波形信号；</w:t>
      </w:r>
    </w:p>
    <w:p w14:paraId="693C2D67">
      <w:pPr>
        <w:spacing w:line="440" w:lineRule="exact"/>
        <w:ind w:firstLine="480" w:firstLineChars="200"/>
      </w:pPr>
      <w:r>
        <w:rPr>
          <w:rFonts w:hint="eastAsia"/>
        </w:rPr>
        <w:t>（5）舵机会根据传输的PWM波形信号与设置的基准信号做对比，并进行相应的转动操作；</w:t>
      </w:r>
    </w:p>
    <w:p w14:paraId="44A6B3DD">
      <w:pPr>
        <w:spacing w:line="440" w:lineRule="exact"/>
        <w:ind w:firstLine="480" w:firstLineChars="200"/>
      </w:pPr>
      <w:r>
        <w:rPr>
          <w:rFonts w:hint="eastAsia"/>
        </w:rPr>
        <w:t>（6）红外模块会根据设置的阈值进行红外检测，若达到阈值会给蜂鸣器传输低电平信号；</w:t>
      </w:r>
    </w:p>
    <w:p w14:paraId="4A4F1142">
      <w:pPr>
        <w:spacing w:line="440" w:lineRule="exact"/>
        <w:ind w:firstLine="480" w:firstLineChars="200"/>
      </w:pPr>
      <w:r>
        <w:rPr>
          <w:rFonts w:hint="eastAsia"/>
        </w:rPr>
        <w:t>（7）有源蜂鸣器初始时刻为高电平信号，内置电路断路，若接收到低电平信号，内置电路会形成通路并进入工作状态；</w:t>
      </w:r>
    </w:p>
    <w:p w14:paraId="5655E100">
      <w:pPr>
        <w:spacing w:line="440" w:lineRule="exact"/>
        <w:ind w:firstLine="480" w:firstLineChars="200"/>
      </w:pPr>
      <w:r>
        <w:rPr>
          <w:rFonts w:hint="eastAsia"/>
        </w:rPr>
        <w:t>（8）若溢满，手机APP会出现红色溢满警示。若垃圾被处理，数据就会更新。</w:t>
      </w:r>
    </w:p>
    <w:p w14:paraId="37A5968A">
      <w:pPr>
        <w:pStyle w:val="3"/>
        <w:spacing w:before="120"/>
      </w:pPr>
      <w:bookmarkStart w:id="72" w:name="_Toc216894846"/>
      <w:bookmarkStart w:id="73" w:name="_Toc32652"/>
      <w:bookmarkStart w:id="74" w:name="_Toc468117607"/>
      <w:bookmarkStart w:id="75" w:name="_Toc198563273"/>
      <w:r>
        <w:rPr>
          <w:rFonts w:hint="eastAsia"/>
        </w:rPr>
        <w:t xml:space="preserve">5.2 </w:t>
      </w:r>
      <w:bookmarkEnd w:id="72"/>
      <w:bookmarkEnd w:id="73"/>
      <w:bookmarkEnd w:id="74"/>
      <w:r>
        <w:rPr>
          <w:rFonts w:hint="eastAsia"/>
        </w:rPr>
        <w:t>语音识别模块</w:t>
      </w:r>
      <w:bookmarkEnd w:id="75"/>
    </w:p>
    <w:p w14:paraId="668D084B">
      <w:pPr>
        <w:spacing w:line="440" w:lineRule="exact"/>
        <w:ind w:firstLine="480" w:firstLineChars="200"/>
      </w:pPr>
      <w:r>
        <w:rPr>
          <w:rFonts w:hint="eastAsia"/>
        </w:rPr>
        <w:t>本模块使用ASRPRO01芯片与天问block训练平台，依据IP指令库，对语音识别指令进行在线训练。</w:t>
      </w:r>
    </w:p>
    <w:p w14:paraId="4B840F1F">
      <w:pPr>
        <w:pStyle w:val="4"/>
        <w:spacing w:before="120"/>
      </w:pPr>
      <w:bookmarkStart w:id="76" w:name="_Toc195704961"/>
      <w:bookmarkStart w:id="77" w:name="_Toc216894847"/>
      <w:bookmarkStart w:id="78" w:name="_Toc468117608"/>
      <w:bookmarkStart w:id="79" w:name="_Toc24172"/>
      <w:bookmarkStart w:id="80" w:name="_Toc198563274"/>
      <w:r>
        <w:rPr>
          <w:rFonts w:hint="eastAsia"/>
        </w:rPr>
        <w:t xml:space="preserve">5.2.1 </w:t>
      </w:r>
      <w:bookmarkEnd w:id="76"/>
      <w:bookmarkEnd w:id="77"/>
      <w:bookmarkEnd w:id="78"/>
      <w:bookmarkEnd w:id="79"/>
      <w:r>
        <w:rPr>
          <w:rFonts w:hint="eastAsia"/>
        </w:rPr>
        <w:t>关键词提取</w:t>
      </w:r>
      <w:bookmarkEnd w:id="80"/>
    </w:p>
    <w:p w14:paraId="2444E4FE">
      <w:pPr>
        <w:spacing w:line="440" w:lineRule="exact"/>
        <w:ind w:firstLine="480" w:firstLineChars="200"/>
      </w:pPr>
      <w:r>
        <w:rPr>
          <w:rFonts w:hint="eastAsia"/>
        </w:rPr>
        <w:t>因为有4个垃圾桶类别，所以需要定义4个串口来对不同类型的垃圾桶进行区别，分别是01（可回收垃圾），02（厨余垃圾），03（有害垃圾），04（其他垃圾）串口，</w:t>
      </w:r>
    </w:p>
    <w:p w14:paraId="021197C1">
      <w:pPr>
        <w:spacing w:line="440" w:lineRule="exact"/>
        <w:ind w:firstLine="480" w:firstLineChars="200"/>
      </w:pPr>
      <w:r>
        <w:rPr>
          <w:rFonts w:hint="eastAsia"/>
        </w:rPr>
        <w:t>首先需要在天问block里进行图形化配置，完成以后点击生成模型进行在线训练，图形化显示结果如图5.2所示（以可回收垃圾为例）：</w:t>
      </w:r>
    </w:p>
    <w:p w14:paraId="77F7726B">
      <w:pPr>
        <w:spacing w:line="440" w:lineRule="exact"/>
        <w:ind w:firstLine="480" w:firstLineChars="200"/>
      </w:pPr>
    </w:p>
    <w:p w14:paraId="6AED72A0">
      <w:pPr>
        <w:spacing w:line="440" w:lineRule="atLeast"/>
        <w:jc w:val="center"/>
      </w:pPr>
      <w:r>
        <w:drawing>
          <wp:inline distT="0" distB="0" distL="0" distR="0">
            <wp:extent cx="2406650" cy="1510030"/>
            <wp:effectExtent l="0" t="0" r="0" b="0"/>
            <wp:docPr id="15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5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406650" cy="1510030"/>
                    </a:xfrm>
                    <a:prstGeom prst="rect">
                      <a:avLst/>
                    </a:prstGeom>
                    <a:noFill/>
                  </pic:spPr>
                </pic:pic>
              </a:graphicData>
            </a:graphic>
          </wp:inline>
        </w:drawing>
      </w:r>
    </w:p>
    <w:p w14:paraId="72415B8E">
      <w:pPr>
        <w:spacing w:line="440" w:lineRule="exact"/>
        <w:jc w:val="center"/>
        <w:rPr>
          <w:sz w:val="21"/>
          <w:szCs w:val="21"/>
        </w:rPr>
      </w:pPr>
    </w:p>
    <w:p w14:paraId="3253495B">
      <w:pPr>
        <w:spacing w:line="440" w:lineRule="exact"/>
        <w:jc w:val="center"/>
        <w:rPr>
          <w:sz w:val="21"/>
          <w:szCs w:val="21"/>
        </w:rPr>
      </w:pPr>
      <w:r>
        <w:rPr>
          <w:rFonts w:hint="eastAsia"/>
          <w:sz w:val="21"/>
          <w:szCs w:val="21"/>
        </w:rPr>
        <w:t>图5.2  天问block图形化显示</w:t>
      </w:r>
    </w:p>
    <w:p w14:paraId="657AAE38">
      <w:pPr>
        <w:spacing w:line="440" w:lineRule="exact"/>
        <w:ind w:firstLine="480" w:firstLineChars="200"/>
      </w:pPr>
    </w:p>
    <w:p w14:paraId="4031EAD2">
      <w:pPr>
        <w:spacing w:line="440" w:lineRule="exact"/>
        <w:ind w:firstLine="480" w:firstLineChars="200"/>
      </w:pPr>
      <w:r>
        <w:rPr>
          <w:rFonts w:hint="eastAsia"/>
        </w:rPr>
        <w:t>图形化显示训练结果后需要初始化外设（包括GPIO口、PWM输出等），将输出串口写入程序里的代码如图5.3所示：</w:t>
      </w:r>
    </w:p>
    <w:p w14:paraId="1A581FC1">
      <w:pPr>
        <w:spacing w:line="440" w:lineRule="exact"/>
        <w:ind w:firstLine="480" w:firstLineChars="200"/>
      </w:pPr>
    </w:p>
    <w:p w14:paraId="41C6E849">
      <w:pPr>
        <w:spacing w:line="240" w:lineRule="auto"/>
      </w:pPr>
      <w:r>
        <w:drawing>
          <wp:inline distT="0" distB="0" distL="0" distR="0">
            <wp:extent cx="5523230" cy="1305560"/>
            <wp:effectExtent l="0" t="0" r="0" b="0"/>
            <wp:docPr id="10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523230" cy="1305560"/>
                    </a:xfrm>
                    <a:prstGeom prst="rect">
                      <a:avLst/>
                    </a:prstGeom>
                    <a:noFill/>
                  </pic:spPr>
                </pic:pic>
              </a:graphicData>
            </a:graphic>
          </wp:inline>
        </w:drawing>
      </w:r>
    </w:p>
    <w:p w14:paraId="2AD6601A">
      <w:pPr>
        <w:spacing w:line="440" w:lineRule="exact"/>
        <w:jc w:val="center"/>
        <w:rPr>
          <w:sz w:val="21"/>
          <w:szCs w:val="21"/>
        </w:rPr>
      </w:pPr>
    </w:p>
    <w:p w14:paraId="06CA02B4">
      <w:pPr>
        <w:spacing w:line="440" w:lineRule="exact"/>
        <w:jc w:val="center"/>
        <w:rPr>
          <w:sz w:val="21"/>
          <w:szCs w:val="21"/>
        </w:rPr>
      </w:pPr>
      <w:r>
        <w:rPr>
          <w:rFonts w:hint="eastAsia"/>
          <w:sz w:val="21"/>
          <w:szCs w:val="21"/>
        </w:rPr>
        <w:t>图5.3  语音指令词关键代码</w:t>
      </w:r>
    </w:p>
    <w:p w14:paraId="0ED66020">
      <w:pPr>
        <w:spacing w:line="440" w:lineRule="exact"/>
        <w:ind w:firstLine="480" w:firstLineChars="200"/>
      </w:pPr>
    </w:p>
    <w:p w14:paraId="51326FF5">
      <w:pPr>
        <w:spacing w:line="440" w:lineRule="exact"/>
        <w:ind w:firstLine="480" w:firstLineChars="200"/>
      </w:pPr>
      <w:r>
        <w:rPr>
          <w:rFonts w:hint="eastAsia"/>
        </w:rPr>
        <w:t>由图5.3可以得到以下通信流程图：</w:t>
      </w:r>
    </w:p>
    <w:p w14:paraId="16FDFD06">
      <w:pPr>
        <w:spacing w:line="440" w:lineRule="exact"/>
        <w:ind w:firstLine="480" w:firstLineChars="200"/>
      </w:pPr>
    </w:p>
    <w:p w14:paraId="28E07BB0">
      <w:pPr>
        <w:spacing w:line="440" w:lineRule="atLeast"/>
        <w:jc w:val="center"/>
      </w:pPr>
      <w:r>
        <w:drawing>
          <wp:inline distT="0" distB="0" distL="0" distR="0">
            <wp:extent cx="1295400" cy="2910205"/>
            <wp:effectExtent l="0" t="0" r="0" b="4445"/>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308481" cy="2939823"/>
                    </a:xfrm>
                    <a:prstGeom prst="rect">
                      <a:avLst/>
                    </a:prstGeom>
                    <a:noFill/>
                    <a:ln>
                      <a:noFill/>
                    </a:ln>
                  </pic:spPr>
                </pic:pic>
              </a:graphicData>
            </a:graphic>
          </wp:inline>
        </w:drawing>
      </w:r>
    </w:p>
    <w:p w14:paraId="2AB92FF8">
      <w:pPr>
        <w:spacing w:line="440" w:lineRule="exact"/>
        <w:jc w:val="center"/>
        <w:rPr>
          <w:sz w:val="21"/>
          <w:szCs w:val="21"/>
        </w:rPr>
      </w:pPr>
    </w:p>
    <w:p w14:paraId="46F5E4BB">
      <w:pPr>
        <w:spacing w:line="440" w:lineRule="exact"/>
        <w:jc w:val="center"/>
        <w:rPr>
          <w:sz w:val="21"/>
          <w:szCs w:val="21"/>
        </w:rPr>
      </w:pPr>
      <w:r>
        <w:rPr>
          <w:rFonts w:hint="eastAsia"/>
          <w:sz w:val="21"/>
          <w:szCs w:val="21"/>
        </w:rPr>
        <w:t>图5.4  指令识别流程图</w:t>
      </w:r>
    </w:p>
    <w:p w14:paraId="6254B2F2">
      <w:pPr>
        <w:spacing w:line="440" w:lineRule="exact"/>
        <w:ind w:firstLine="480" w:firstLineChars="200"/>
      </w:pPr>
    </w:p>
    <w:p w14:paraId="6661E606">
      <w:pPr>
        <w:spacing w:line="440" w:lineRule="exact"/>
        <w:ind w:firstLine="480" w:firstLineChars="200"/>
      </w:pPr>
      <w:r>
        <w:rPr>
          <w:rFonts w:hint="eastAsia"/>
        </w:rPr>
        <w:t>首先系统接上电源，呼叫“垃圾桶”使其进入工作状态，接着呼叫语音指令，例如“报纸”，语音模块根据训练结果，识别出其为01串口的数据，则会给单片机传输01的通信数据，主函数里的语音模块代码里的外部中断函数就会将数据传到TIM3通道。</w:t>
      </w:r>
    </w:p>
    <w:p w14:paraId="54C25489">
      <w:pPr>
        <w:pStyle w:val="4"/>
        <w:spacing w:before="120"/>
      </w:pPr>
      <w:bookmarkStart w:id="81" w:name="_Toc198563275"/>
      <w:r>
        <w:rPr>
          <w:rFonts w:hint="eastAsia"/>
        </w:rPr>
        <w:t>5.2.2 模块匹配算法</w:t>
      </w:r>
      <w:bookmarkEnd w:id="81"/>
    </w:p>
    <w:p w14:paraId="3E31FC3D">
      <w:pPr>
        <w:spacing w:line="440" w:lineRule="exact"/>
        <w:ind w:firstLine="480" w:firstLineChars="200"/>
      </w:pPr>
      <w:r>
        <w:rPr>
          <w:rFonts w:hint="eastAsia"/>
        </w:rPr>
        <w:t>为了保证语音模块与单片机能实现正常通信，则以下设置需要统一：</w:t>
      </w:r>
    </w:p>
    <w:p w14:paraId="1EA67C4A">
      <w:pPr>
        <w:spacing w:line="440" w:lineRule="exact"/>
        <w:ind w:firstLine="480" w:firstLineChars="200"/>
      </w:pPr>
      <w:r>
        <w:rPr>
          <w:rFonts w:hint="eastAsia"/>
        </w:rPr>
        <w:t>（1）GPIO口模块：设置引脚PB5为语音模块输入，读取引脚PB5，写入为高电平触发中，设置引脚TXD为单片机输出。设置引脚PB6为语音模块输出，RXD为单片机输入。</w:t>
      </w:r>
    </w:p>
    <w:p w14:paraId="73FAEB56">
      <w:pPr>
        <w:spacing w:line="440" w:lineRule="exact"/>
        <w:ind w:firstLine="480" w:firstLineChars="200"/>
      </w:pPr>
      <w:r>
        <w:rPr>
          <w:rFonts w:hint="eastAsia"/>
        </w:rPr>
        <w:t>（2）PWM模块：初始化频率1000，最大占空比1000，初始化占空比500。</w:t>
      </w:r>
    </w:p>
    <w:p w14:paraId="7C2334E1">
      <w:pPr>
        <w:spacing w:line="440" w:lineRule="exact"/>
        <w:ind w:firstLine="480" w:firstLineChars="200"/>
      </w:pPr>
      <w:r>
        <w:rPr>
          <w:rFonts w:hint="eastAsia"/>
        </w:rPr>
        <w:t>（3）初始化USART串口，串口波特率9600。</w:t>
      </w:r>
    </w:p>
    <w:p w14:paraId="6DB098A4">
      <w:pPr>
        <w:spacing w:line="440" w:lineRule="exact"/>
        <w:ind w:firstLine="480" w:firstLineChars="200"/>
      </w:pPr>
      <w:r>
        <w:rPr>
          <w:rFonts w:hint="eastAsia"/>
        </w:rPr>
        <w:t>（4）多线程模块设置为4，单消息长度最长为4。</w:t>
      </w:r>
    </w:p>
    <w:p w14:paraId="2ADCC3FD">
      <w:pPr>
        <w:spacing w:line="440" w:lineRule="exact"/>
        <w:ind w:firstLine="480" w:firstLineChars="200"/>
      </w:pPr>
      <w:r>
        <w:rPr>
          <w:rFonts w:hint="eastAsia"/>
        </w:rPr>
        <w:t>模块匹配算法流程图如图5.5所示：</w:t>
      </w:r>
    </w:p>
    <w:p w14:paraId="725796DA">
      <w:pPr>
        <w:spacing w:line="440" w:lineRule="exact"/>
        <w:ind w:firstLine="480" w:firstLineChars="200"/>
      </w:pPr>
    </w:p>
    <w:p w14:paraId="25431026">
      <w:pPr>
        <w:spacing w:line="440" w:lineRule="atLeast"/>
        <w:jc w:val="center"/>
      </w:pPr>
      <w:r>
        <w:drawing>
          <wp:inline distT="0" distB="0" distL="0" distR="0">
            <wp:extent cx="2239010" cy="3789045"/>
            <wp:effectExtent l="0" t="0" r="0" b="0"/>
            <wp:docPr id="15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239010" cy="3789045"/>
                    </a:xfrm>
                    <a:prstGeom prst="rect">
                      <a:avLst/>
                    </a:prstGeom>
                    <a:noFill/>
                  </pic:spPr>
                </pic:pic>
              </a:graphicData>
            </a:graphic>
          </wp:inline>
        </w:drawing>
      </w:r>
    </w:p>
    <w:p w14:paraId="3A853BEA">
      <w:pPr>
        <w:spacing w:line="440" w:lineRule="exact"/>
        <w:jc w:val="center"/>
        <w:rPr>
          <w:sz w:val="21"/>
          <w:szCs w:val="21"/>
        </w:rPr>
      </w:pPr>
    </w:p>
    <w:p w14:paraId="18CF4B76">
      <w:pPr>
        <w:spacing w:line="440" w:lineRule="exact"/>
        <w:jc w:val="center"/>
        <w:rPr>
          <w:sz w:val="21"/>
          <w:szCs w:val="21"/>
        </w:rPr>
      </w:pPr>
      <w:r>
        <w:rPr>
          <w:rFonts w:hint="eastAsia"/>
          <w:sz w:val="21"/>
          <w:szCs w:val="21"/>
        </w:rPr>
        <w:t>图5.5  语音模块匹配流程图</w:t>
      </w:r>
    </w:p>
    <w:p w14:paraId="638EB68C">
      <w:pPr>
        <w:spacing w:line="440" w:lineRule="exact"/>
      </w:pPr>
    </w:p>
    <w:p w14:paraId="74FDFA0A">
      <w:pPr>
        <w:pStyle w:val="3"/>
        <w:spacing w:before="120"/>
      </w:pPr>
      <w:bookmarkStart w:id="82" w:name="_Toc198563276"/>
      <w:r>
        <w:rPr>
          <w:rFonts w:hint="eastAsia"/>
        </w:rPr>
        <w:t>5.3 按键及舵机驱动模块</w:t>
      </w:r>
      <w:bookmarkEnd w:id="82"/>
    </w:p>
    <w:p w14:paraId="4E6E4206">
      <w:pPr>
        <w:pStyle w:val="4"/>
        <w:spacing w:before="120"/>
      </w:pPr>
      <w:bookmarkStart w:id="83" w:name="_Toc198563277"/>
      <w:r>
        <w:rPr>
          <w:rFonts w:hint="eastAsia"/>
        </w:rPr>
        <w:t>5.3.1 按键模块</w:t>
      </w:r>
      <w:bookmarkEnd w:id="83"/>
      <w:r>
        <w:rPr>
          <w:rFonts w:hint="eastAsia"/>
        </w:rPr>
        <w:t xml:space="preserve"> </w:t>
      </w:r>
    </w:p>
    <w:p w14:paraId="76E7CBB3">
      <w:pPr>
        <w:spacing w:line="440" w:lineRule="exact"/>
        <w:ind w:firstLine="480" w:firstLineChars="200"/>
      </w:pPr>
      <w:r>
        <w:rPr>
          <w:rFonts w:hint="eastAsia"/>
        </w:rPr>
        <w:t>设置4个按键作为控制舵机转动的按键。按键模式设置为上拉输入，即</w:t>
      </w:r>
      <w:r>
        <w:t>GPIO_Mode = GPIO_Mode_IPU</w:t>
      </w:r>
      <w:r>
        <w:rPr>
          <w:rFonts w:hint="eastAsia"/>
        </w:rPr>
        <w:t>，IPU代表IPUP，即引脚上拉。按键电平首先设置为高电平，即“1”，在按键未被按下时，此时不会产生下降沿。在按键被按下之后，高电平引脚会接地（GND）变为低电平“0”，此时由高电平变为低电平会产生一个下降沿，下降沿会触发引脚中断，再根据引脚配置的中断函数向量组就会跳转到中断函数里，中断函数在循环判断是那个引脚发生了中断，然后返回主函数形成PWM波形。</w:t>
      </w:r>
    </w:p>
    <w:p w14:paraId="357E84F8">
      <w:pPr>
        <w:spacing w:line="440" w:lineRule="exact"/>
        <w:ind w:firstLine="480" w:firstLineChars="200"/>
      </w:pPr>
      <w:r>
        <w:rPr>
          <w:rFonts w:hint="eastAsia"/>
        </w:rPr>
        <w:t>具体流程实现如图5.6所示：</w:t>
      </w:r>
    </w:p>
    <w:p w14:paraId="51BFEA25">
      <w:pPr>
        <w:spacing w:line="440" w:lineRule="exact"/>
        <w:ind w:firstLine="480" w:firstLineChars="200"/>
      </w:pPr>
    </w:p>
    <w:p w14:paraId="4A86754B">
      <w:pPr>
        <w:spacing w:line="440" w:lineRule="atLeast"/>
        <w:jc w:val="center"/>
      </w:pPr>
      <w:r>
        <w:drawing>
          <wp:inline distT="0" distB="0" distL="0" distR="0">
            <wp:extent cx="2139315" cy="3022600"/>
            <wp:effectExtent l="0" t="0" r="0" b="0"/>
            <wp:docPr id="15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139315" cy="3022600"/>
                    </a:xfrm>
                    <a:prstGeom prst="rect">
                      <a:avLst/>
                    </a:prstGeom>
                    <a:noFill/>
                  </pic:spPr>
                </pic:pic>
              </a:graphicData>
            </a:graphic>
          </wp:inline>
        </w:drawing>
      </w:r>
    </w:p>
    <w:p w14:paraId="6B1CFB48">
      <w:pPr>
        <w:spacing w:line="440" w:lineRule="exact"/>
        <w:jc w:val="center"/>
        <w:rPr>
          <w:sz w:val="21"/>
          <w:szCs w:val="21"/>
        </w:rPr>
      </w:pPr>
    </w:p>
    <w:p w14:paraId="234E8EA5">
      <w:pPr>
        <w:spacing w:line="440" w:lineRule="exact"/>
        <w:jc w:val="center"/>
        <w:rPr>
          <w:sz w:val="21"/>
          <w:szCs w:val="21"/>
        </w:rPr>
      </w:pPr>
      <w:r>
        <w:rPr>
          <w:rFonts w:hint="eastAsia"/>
          <w:sz w:val="21"/>
          <w:szCs w:val="21"/>
        </w:rPr>
        <w:t>图5.6  按键控制原理流程图</w:t>
      </w:r>
    </w:p>
    <w:p w14:paraId="17C325F6">
      <w:pPr>
        <w:spacing w:line="440" w:lineRule="exact"/>
        <w:ind w:firstLine="480" w:firstLineChars="200"/>
      </w:pPr>
    </w:p>
    <w:p w14:paraId="349415ED">
      <w:pPr>
        <w:pStyle w:val="4"/>
        <w:spacing w:before="120"/>
      </w:pPr>
      <w:bookmarkStart w:id="84" w:name="_Toc198563278"/>
      <w:r>
        <w:rPr>
          <w:rFonts w:hint="eastAsia"/>
        </w:rPr>
        <w:t>5.3.2 按键驱动舵机模块</w:t>
      </w:r>
      <w:bookmarkEnd w:id="84"/>
    </w:p>
    <w:p w14:paraId="6D45522A">
      <w:pPr>
        <w:spacing w:line="440" w:lineRule="exact"/>
        <w:ind w:firstLine="480" w:firstLineChars="200"/>
      </w:pPr>
      <w:r>
        <w:rPr>
          <w:rFonts w:hint="eastAsia"/>
        </w:rPr>
        <w:t>SG90舵机是根据单片机输出的PWM信号与自身设置的基准信号最对比形成电位差，从而转动的。它的参数设置包括PWM频率、PWM占空比、PWM分辨率等。</w:t>
      </w:r>
    </w:p>
    <w:p w14:paraId="176DFB2A">
      <w:pPr>
        <w:spacing w:line="440" w:lineRule="exact"/>
        <w:ind w:firstLine="480" w:firstLineChars="200"/>
      </w:pPr>
      <w:r>
        <w:rPr>
          <w:rFonts w:hint="eastAsia"/>
        </w:rPr>
        <w:t>SG90舵机转动的代码设置如下图5.7所示：</w:t>
      </w:r>
    </w:p>
    <w:p w14:paraId="71492EEE">
      <w:pPr>
        <w:spacing w:line="440" w:lineRule="exact"/>
        <w:ind w:firstLine="480" w:firstLineChars="200"/>
      </w:pPr>
    </w:p>
    <w:p w14:paraId="1F9A54E7">
      <w:pPr>
        <w:spacing w:line="440" w:lineRule="atLeast"/>
        <w:jc w:val="center"/>
      </w:pPr>
      <w:r>
        <w:drawing>
          <wp:inline distT="0" distB="0" distL="0" distR="0">
            <wp:extent cx="3533775" cy="955675"/>
            <wp:effectExtent l="0" t="0" r="0" b="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533775" cy="955675"/>
                    </a:xfrm>
                    <a:prstGeom prst="rect">
                      <a:avLst/>
                    </a:prstGeom>
                    <a:noFill/>
                    <a:ln>
                      <a:noFill/>
                    </a:ln>
                  </pic:spPr>
                </pic:pic>
              </a:graphicData>
            </a:graphic>
          </wp:inline>
        </w:drawing>
      </w:r>
    </w:p>
    <w:p w14:paraId="39954C2D">
      <w:pPr>
        <w:spacing w:line="440" w:lineRule="exact"/>
        <w:jc w:val="center"/>
        <w:rPr>
          <w:sz w:val="21"/>
          <w:szCs w:val="21"/>
        </w:rPr>
      </w:pPr>
    </w:p>
    <w:p w14:paraId="7EB7DFE1">
      <w:pPr>
        <w:spacing w:line="440" w:lineRule="exact"/>
        <w:jc w:val="center"/>
        <w:rPr>
          <w:sz w:val="21"/>
          <w:szCs w:val="21"/>
        </w:rPr>
      </w:pPr>
      <w:r>
        <w:rPr>
          <w:rFonts w:hint="eastAsia"/>
          <w:sz w:val="21"/>
          <w:szCs w:val="21"/>
        </w:rPr>
        <w:t>图5.7  舵机转动角度设置</w:t>
      </w:r>
    </w:p>
    <w:p w14:paraId="6F14C341">
      <w:pPr>
        <w:spacing w:line="440" w:lineRule="exact"/>
        <w:ind w:firstLine="480" w:firstLineChars="200"/>
      </w:pPr>
    </w:p>
    <w:p w14:paraId="0A939305">
      <w:pPr>
        <w:spacing w:line="440" w:lineRule="exact"/>
        <w:ind w:firstLine="480" w:firstLineChars="200"/>
      </w:pPr>
      <w:r>
        <w:rPr>
          <w:rFonts w:hint="eastAsia"/>
        </w:rPr>
        <w:t>因为是控制垃圾桶盖的开关，所以设置90°角度的转动，由外部中断函数形成PWM信号给TIM3定时器的四个通道，每个定时器最多可以有4个通道。</w:t>
      </w:r>
    </w:p>
    <w:p w14:paraId="5A7BEAC6">
      <w:pPr>
        <w:spacing w:line="440" w:lineRule="exact"/>
        <w:ind w:firstLine="480" w:firstLineChars="200"/>
      </w:pPr>
      <w:r>
        <w:rPr>
          <w:rFonts w:hint="eastAsia"/>
        </w:rPr>
        <w:t>驱动原理流程图如图5.8所示：</w:t>
      </w:r>
    </w:p>
    <w:p w14:paraId="5EEAA477">
      <w:pPr>
        <w:spacing w:line="440" w:lineRule="exact"/>
        <w:ind w:firstLine="480" w:firstLineChars="200"/>
      </w:pPr>
    </w:p>
    <w:p w14:paraId="6AB450B4">
      <w:pPr>
        <w:spacing w:line="440" w:lineRule="atLeast"/>
        <w:jc w:val="center"/>
      </w:pPr>
      <w:r>
        <w:drawing>
          <wp:inline distT="0" distB="0" distL="0" distR="0">
            <wp:extent cx="1590040" cy="2347595"/>
            <wp:effectExtent l="0" t="0" r="0" b="0"/>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590040" cy="2347595"/>
                    </a:xfrm>
                    <a:prstGeom prst="rect">
                      <a:avLst/>
                    </a:prstGeom>
                    <a:noFill/>
                    <a:ln>
                      <a:noFill/>
                    </a:ln>
                  </pic:spPr>
                </pic:pic>
              </a:graphicData>
            </a:graphic>
          </wp:inline>
        </w:drawing>
      </w:r>
    </w:p>
    <w:p w14:paraId="7D2B0633">
      <w:pPr>
        <w:spacing w:line="440" w:lineRule="exact"/>
        <w:jc w:val="center"/>
        <w:rPr>
          <w:sz w:val="21"/>
          <w:szCs w:val="21"/>
        </w:rPr>
      </w:pPr>
    </w:p>
    <w:p w14:paraId="228903AD">
      <w:pPr>
        <w:spacing w:line="440" w:lineRule="exact"/>
        <w:jc w:val="center"/>
        <w:rPr>
          <w:sz w:val="21"/>
          <w:szCs w:val="21"/>
        </w:rPr>
      </w:pPr>
      <w:r>
        <w:rPr>
          <w:rFonts w:hint="eastAsia"/>
          <w:sz w:val="21"/>
          <w:szCs w:val="21"/>
        </w:rPr>
        <w:t>图5.8  舵机驱动原理</w:t>
      </w:r>
    </w:p>
    <w:p w14:paraId="7D5EC81B">
      <w:pPr>
        <w:spacing w:line="440" w:lineRule="exact"/>
      </w:pPr>
    </w:p>
    <w:p w14:paraId="382F9FDB">
      <w:pPr>
        <w:pStyle w:val="3"/>
        <w:spacing w:before="120"/>
      </w:pPr>
      <w:bookmarkStart w:id="85" w:name="_Toc198563279"/>
      <w:r>
        <w:rPr>
          <w:rFonts w:hint="eastAsia"/>
        </w:rPr>
        <w:t>5.4 红外检测与溢满报警模块</w:t>
      </w:r>
      <w:bookmarkEnd w:id="85"/>
    </w:p>
    <w:p w14:paraId="28749562">
      <w:pPr>
        <w:spacing w:line="440" w:lineRule="exact"/>
        <w:ind w:firstLine="480" w:firstLineChars="200"/>
      </w:pPr>
      <w:r>
        <w:rPr>
          <w:rFonts w:hint="eastAsia"/>
        </w:rPr>
        <w:t>蜂鸣器报警模块与红外检测模块是一起工作的，当红外发射器前方没有东西时，内部电平是高电平“1”，有源蜂鸣器内置电路处于断路；当红外发射器前方有东西时，红外发射器收到返回的红外光，此时高电平会转变为低电平“0”，红外模块会形成电源给蜂鸣器供电，有源蜂鸣器内置电路通路，则会发出警报。</w:t>
      </w:r>
    </w:p>
    <w:p w14:paraId="1B93A4E6">
      <w:pPr>
        <w:spacing w:line="440" w:lineRule="exact"/>
        <w:ind w:firstLine="480" w:firstLineChars="200"/>
      </w:pPr>
      <w:r>
        <w:rPr>
          <w:rFonts w:hint="eastAsia"/>
        </w:rPr>
        <w:t>红外检测与蜂鸣器工作原理如图5.9所示：</w:t>
      </w:r>
    </w:p>
    <w:p w14:paraId="0A29CC4C">
      <w:pPr>
        <w:spacing w:line="440" w:lineRule="exact"/>
        <w:ind w:firstLine="480" w:firstLineChars="200"/>
      </w:pPr>
    </w:p>
    <w:p w14:paraId="008F30B1">
      <w:pPr>
        <w:spacing w:line="440" w:lineRule="atLeast"/>
        <w:jc w:val="center"/>
      </w:pPr>
      <w:r>
        <w:drawing>
          <wp:inline distT="0" distB="0" distL="0" distR="0">
            <wp:extent cx="2067560" cy="2635885"/>
            <wp:effectExtent l="0" t="0" r="0" b="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067560" cy="2635885"/>
                    </a:xfrm>
                    <a:prstGeom prst="rect">
                      <a:avLst/>
                    </a:prstGeom>
                    <a:noFill/>
                    <a:ln>
                      <a:noFill/>
                    </a:ln>
                  </pic:spPr>
                </pic:pic>
              </a:graphicData>
            </a:graphic>
          </wp:inline>
        </w:drawing>
      </w:r>
    </w:p>
    <w:p w14:paraId="04FC1D8C">
      <w:pPr>
        <w:spacing w:line="440" w:lineRule="exact"/>
        <w:jc w:val="center"/>
        <w:rPr>
          <w:sz w:val="21"/>
          <w:szCs w:val="21"/>
        </w:rPr>
      </w:pPr>
    </w:p>
    <w:p w14:paraId="104BA8CE">
      <w:pPr>
        <w:spacing w:line="440" w:lineRule="exact"/>
        <w:jc w:val="center"/>
        <w:rPr>
          <w:sz w:val="21"/>
          <w:szCs w:val="21"/>
        </w:rPr>
      </w:pPr>
      <w:r>
        <w:rPr>
          <w:rFonts w:hint="eastAsia"/>
          <w:sz w:val="21"/>
          <w:szCs w:val="21"/>
        </w:rPr>
        <w:t>图5.9  红外检测原理</w:t>
      </w:r>
    </w:p>
    <w:p w14:paraId="4197AAA6">
      <w:pPr>
        <w:spacing w:line="440" w:lineRule="exact"/>
        <w:ind w:firstLine="480" w:firstLineChars="200"/>
      </w:pPr>
    </w:p>
    <w:p w14:paraId="727A700A">
      <w:pPr>
        <w:spacing w:line="440" w:lineRule="exact"/>
        <w:ind w:firstLine="480" w:firstLineChars="200"/>
      </w:pPr>
      <w:r>
        <w:rPr>
          <w:rFonts w:hint="eastAsia"/>
        </w:rPr>
        <w:t>相关代码如图5.10所示：</w:t>
      </w:r>
    </w:p>
    <w:p w14:paraId="59D559A4">
      <w:pPr>
        <w:spacing w:line="440" w:lineRule="exact"/>
        <w:ind w:firstLine="480" w:firstLineChars="200"/>
      </w:pPr>
    </w:p>
    <w:p w14:paraId="68DCCE54">
      <w:pPr>
        <w:spacing w:line="240" w:lineRule="auto"/>
      </w:pPr>
      <w:r>
        <w:drawing>
          <wp:inline distT="0" distB="0" distL="0" distR="0">
            <wp:extent cx="5196205" cy="1010920"/>
            <wp:effectExtent l="0" t="0" r="0" b="0"/>
            <wp:docPr id="11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196205" cy="1010920"/>
                    </a:xfrm>
                    <a:prstGeom prst="rect">
                      <a:avLst/>
                    </a:prstGeom>
                    <a:noFill/>
                  </pic:spPr>
                </pic:pic>
              </a:graphicData>
            </a:graphic>
          </wp:inline>
        </w:drawing>
      </w:r>
    </w:p>
    <w:p w14:paraId="24DECBE8">
      <w:pPr>
        <w:spacing w:line="440" w:lineRule="exact"/>
        <w:jc w:val="center"/>
        <w:rPr>
          <w:sz w:val="21"/>
          <w:szCs w:val="21"/>
        </w:rPr>
      </w:pPr>
    </w:p>
    <w:p w14:paraId="79E45FFA">
      <w:pPr>
        <w:spacing w:line="440" w:lineRule="exact"/>
        <w:jc w:val="center"/>
        <w:rPr>
          <w:sz w:val="21"/>
          <w:szCs w:val="21"/>
        </w:rPr>
      </w:pPr>
      <w:r>
        <w:rPr>
          <w:rFonts w:hint="eastAsia"/>
          <w:sz w:val="21"/>
          <w:szCs w:val="21"/>
        </w:rPr>
        <w:t>图5.10  红外检测关键代码</w:t>
      </w:r>
    </w:p>
    <w:p w14:paraId="4942F680">
      <w:pPr>
        <w:spacing w:line="440" w:lineRule="exact"/>
        <w:ind w:firstLine="480" w:firstLineChars="200"/>
      </w:pPr>
    </w:p>
    <w:p w14:paraId="28F76FEE">
      <w:pPr>
        <w:pStyle w:val="3"/>
        <w:spacing w:before="120"/>
      </w:pPr>
      <w:bookmarkStart w:id="86" w:name="_Toc198563280"/>
      <w:r>
        <w:rPr>
          <w:rFonts w:hint="eastAsia"/>
        </w:rPr>
        <w:t>5.5 无线传输模块</w:t>
      </w:r>
      <w:bookmarkEnd w:id="86"/>
    </w:p>
    <w:p w14:paraId="378DD8B9">
      <w:pPr>
        <w:spacing w:line="440" w:lineRule="exact"/>
        <w:ind w:firstLine="480" w:firstLineChars="200"/>
      </w:pPr>
      <w:r>
        <w:rPr>
          <w:rFonts w:hint="eastAsia"/>
        </w:rPr>
        <w:t>这个部分是上位机与下位机通信的核心部分，使用的通信模块是ESP8266，这是因为它能兼容三种工作模式。</w:t>
      </w:r>
    </w:p>
    <w:p w14:paraId="57C01430">
      <w:pPr>
        <w:spacing w:line="440" w:lineRule="exact"/>
        <w:ind w:firstLine="480" w:firstLineChars="200"/>
      </w:pPr>
      <w:r>
        <w:rPr>
          <w:rFonts w:hint="eastAsia"/>
        </w:rPr>
        <w:t>根据第三章的软件架构图：</w:t>
      </w:r>
    </w:p>
    <w:p w14:paraId="7ED34D40">
      <w:pPr>
        <w:spacing w:line="440" w:lineRule="exact"/>
      </w:pPr>
    </w:p>
    <w:p w14:paraId="6EA73690">
      <w:pPr>
        <w:spacing w:line="440" w:lineRule="atLeast"/>
        <w:jc w:val="center"/>
        <w:rPr>
          <w:sz w:val="21"/>
          <w:szCs w:val="21"/>
        </w:rPr>
      </w:pPr>
      <w:r>
        <w:drawing>
          <wp:inline distT="0" distB="0" distL="0" distR="0">
            <wp:extent cx="5675630" cy="1219200"/>
            <wp:effectExtent l="0" t="0" r="0" b="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675630" cy="1219200"/>
                    </a:xfrm>
                    <a:prstGeom prst="rect">
                      <a:avLst/>
                    </a:prstGeom>
                    <a:noFill/>
                    <a:ln>
                      <a:noFill/>
                    </a:ln>
                  </pic:spPr>
                </pic:pic>
              </a:graphicData>
            </a:graphic>
          </wp:inline>
        </w:drawing>
      </w:r>
    </w:p>
    <w:p w14:paraId="359671DF">
      <w:pPr>
        <w:spacing w:line="440" w:lineRule="atLeast"/>
        <w:jc w:val="center"/>
        <w:rPr>
          <w:sz w:val="21"/>
          <w:szCs w:val="21"/>
        </w:rPr>
      </w:pPr>
    </w:p>
    <w:p w14:paraId="0B478BF6">
      <w:pPr>
        <w:spacing w:line="440" w:lineRule="atLeast"/>
        <w:jc w:val="center"/>
        <w:rPr>
          <w:sz w:val="21"/>
          <w:szCs w:val="21"/>
        </w:rPr>
      </w:pPr>
      <w:r>
        <w:rPr>
          <w:rFonts w:hint="eastAsia"/>
          <w:sz w:val="21"/>
          <w:szCs w:val="21"/>
        </w:rPr>
        <w:t>图5.10  软件架构</w:t>
      </w:r>
    </w:p>
    <w:p w14:paraId="52D10BA5">
      <w:pPr>
        <w:spacing w:line="440" w:lineRule="exact"/>
        <w:ind w:firstLine="480" w:firstLineChars="200"/>
      </w:pPr>
    </w:p>
    <w:p w14:paraId="38B8AA62">
      <w:pPr>
        <w:spacing w:line="440" w:lineRule="exact"/>
        <w:ind w:firstLine="480" w:firstLineChars="200"/>
      </w:pPr>
      <w:r>
        <w:rPr>
          <w:rFonts w:hint="eastAsia"/>
        </w:rPr>
        <w:t>将软件架构拆分为两部分，一个是使用MQTT通信协议的单片机与云平台部分，另一个是使用http协议的云平台和APP部分。</w:t>
      </w:r>
    </w:p>
    <w:p w14:paraId="1F6D4B98">
      <w:pPr>
        <w:pStyle w:val="4"/>
        <w:spacing w:before="120"/>
      </w:pPr>
      <w:bookmarkStart w:id="87" w:name="_Toc198563281"/>
      <w:r>
        <w:rPr>
          <w:rFonts w:hint="eastAsia"/>
        </w:rPr>
        <w:t>5.5.1 云平台数据上传与接收</w:t>
      </w:r>
      <w:bookmarkEnd w:id="87"/>
    </w:p>
    <w:p w14:paraId="3EF9BF77">
      <w:pPr>
        <w:spacing w:line="440" w:lineRule="exact"/>
        <w:ind w:firstLine="480" w:firstLineChars="200"/>
      </w:pPr>
      <w:r>
        <w:rPr>
          <w:rFonts w:hint="eastAsia"/>
        </w:rPr>
        <w:t>MQTT协议是一种轻量型的消息传输协议，它采用发布/订阅模型，允许设备之间高效地交换信息，客户端可以发布消息到单片机中，也可以订阅单片机发送进来地消息。在ESP8266里烧录MQTT固件，然后在云平台创建自己的设备，配置相关AT指令后就能实现单片机的上网与消息互通。</w:t>
      </w:r>
    </w:p>
    <w:p w14:paraId="0E330962">
      <w:pPr>
        <w:spacing w:line="440" w:lineRule="exact"/>
        <w:ind w:firstLine="480" w:firstLineChars="200"/>
      </w:pPr>
      <w:r>
        <w:rPr>
          <w:rFonts w:hint="eastAsia"/>
        </w:rPr>
        <w:t>单片机与云平台消息互通的步骤流程如图5.11所示：</w:t>
      </w:r>
    </w:p>
    <w:p w14:paraId="56FB9D36">
      <w:pPr>
        <w:spacing w:line="440" w:lineRule="exact"/>
        <w:ind w:firstLine="480" w:firstLineChars="200"/>
      </w:pPr>
    </w:p>
    <w:p w14:paraId="0DCB0BB1">
      <w:pPr>
        <w:spacing w:line="440" w:lineRule="atLeast"/>
        <w:jc w:val="center"/>
      </w:pPr>
      <w:r>
        <w:drawing>
          <wp:inline distT="0" distB="0" distL="0" distR="0">
            <wp:extent cx="2067560" cy="2594610"/>
            <wp:effectExtent l="0" t="0" r="0" b="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067560" cy="2594610"/>
                    </a:xfrm>
                    <a:prstGeom prst="rect">
                      <a:avLst/>
                    </a:prstGeom>
                    <a:noFill/>
                    <a:ln>
                      <a:noFill/>
                    </a:ln>
                  </pic:spPr>
                </pic:pic>
              </a:graphicData>
            </a:graphic>
          </wp:inline>
        </w:drawing>
      </w:r>
    </w:p>
    <w:p w14:paraId="248D84C9">
      <w:pPr>
        <w:spacing w:line="440" w:lineRule="exact"/>
        <w:jc w:val="center"/>
        <w:rPr>
          <w:sz w:val="21"/>
          <w:szCs w:val="21"/>
        </w:rPr>
      </w:pPr>
    </w:p>
    <w:p w14:paraId="0FCE9686">
      <w:pPr>
        <w:spacing w:line="440" w:lineRule="exact"/>
        <w:jc w:val="center"/>
        <w:rPr>
          <w:sz w:val="21"/>
          <w:szCs w:val="21"/>
        </w:rPr>
      </w:pPr>
      <w:r>
        <w:rPr>
          <w:rFonts w:hint="eastAsia"/>
          <w:sz w:val="21"/>
          <w:szCs w:val="21"/>
        </w:rPr>
        <w:t>图5.11  云平台数据互通</w:t>
      </w:r>
    </w:p>
    <w:p w14:paraId="03715A17">
      <w:pPr>
        <w:spacing w:line="440" w:lineRule="exact"/>
        <w:ind w:firstLine="480" w:firstLineChars="200"/>
      </w:pPr>
      <w:r>
        <w:rPr>
          <w:rFonts w:hint="eastAsia"/>
        </w:rPr>
        <w:t>AT指令写入代码如图5.12所示：</w:t>
      </w:r>
    </w:p>
    <w:p w14:paraId="2E99DBCE">
      <w:pPr>
        <w:spacing w:line="440" w:lineRule="exact"/>
        <w:ind w:firstLine="480" w:firstLineChars="200"/>
      </w:pPr>
    </w:p>
    <w:p w14:paraId="5F923132">
      <w:pPr>
        <w:spacing w:line="440" w:lineRule="atLeast"/>
        <w:jc w:val="center"/>
      </w:pPr>
      <w:r>
        <w:drawing>
          <wp:inline distT="0" distB="0" distL="0" distR="0">
            <wp:extent cx="2718435" cy="1590040"/>
            <wp:effectExtent l="0" t="0" r="0" b="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718435" cy="1590040"/>
                    </a:xfrm>
                    <a:prstGeom prst="rect">
                      <a:avLst/>
                    </a:prstGeom>
                    <a:noFill/>
                    <a:ln>
                      <a:noFill/>
                    </a:ln>
                  </pic:spPr>
                </pic:pic>
              </a:graphicData>
            </a:graphic>
          </wp:inline>
        </w:drawing>
      </w:r>
    </w:p>
    <w:p w14:paraId="39464C63">
      <w:pPr>
        <w:spacing w:line="440" w:lineRule="exact"/>
        <w:jc w:val="center"/>
        <w:rPr>
          <w:sz w:val="21"/>
          <w:szCs w:val="21"/>
        </w:rPr>
      </w:pPr>
    </w:p>
    <w:p w14:paraId="06763052">
      <w:pPr>
        <w:spacing w:line="440" w:lineRule="exact"/>
        <w:jc w:val="center"/>
        <w:rPr>
          <w:sz w:val="21"/>
          <w:szCs w:val="21"/>
        </w:rPr>
      </w:pPr>
      <w:r>
        <w:rPr>
          <w:rFonts w:hint="eastAsia"/>
          <w:sz w:val="21"/>
          <w:szCs w:val="21"/>
        </w:rPr>
        <w:t>图5.12  代码写入</w:t>
      </w:r>
    </w:p>
    <w:p w14:paraId="7F287581">
      <w:pPr>
        <w:spacing w:line="440" w:lineRule="exact"/>
        <w:ind w:firstLine="480" w:firstLineChars="200"/>
      </w:pPr>
    </w:p>
    <w:p w14:paraId="37E869CE">
      <w:pPr>
        <w:spacing w:line="440" w:lineRule="exact"/>
        <w:ind w:firstLine="480" w:firstLineChars="200"/>
      </w:pPr>
      <w:r>
        <w:rPr>
          <w:rFonts w:hint="eastAsia"/>
        </w:rPr>
        <w:t>在云平台上创建的设备如图5.13和图5.14所示：</w:t>
      </w:r>
    </w:p>
    <w:p w14:paraId="2CBB987B">
      <w:pPr>
        <w:spacing w:line="440" w:lineRule="exact"/>
        <w:ind w:firstLine="480" w:firstLineChars="200"/>
      </w:pPr>
    </w:p>
    <w:p w14:paraId="6A2FCCAA">
      <w:pPr>
        <w:spacing w:line="240" w:lineRule="auto"/>
      </w:pPr>
      <w:r>
        <w:drawing>
          <wp:inline distT="0" distB="0" distL="0" distR="0">
            <wp:extent cx="5455285" cy="856615"/>
            <wp:effectExtent l="0" t="0" r="0" b="0"/>
            <wp:docPr id="12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455285" cy="856615"/>
                    </a:xfrm>
                    <a:prstGeom prst="rect">
                      <a:avLst/>
                    </a:prstGeom>
                    <a:noFill/>
                  </pic:spPr>
                </pic:pic>
              </a:graphicData>
            </a:graphic>
          </wp:inline>
        </w:drawing>
      </w:r>
    </w:p>
    <w:p w14:paraId="1BD69E39">
      <w:pPr>
        <w:spacing w:line="440" w:lineRule="exact"/>
        <w:jc w:val="center"/>
        <w:rPr>
          <w:sz w:val="21"/>
          <w:szCs w:val="21"/>
        </w:rPr>
      </w:pPr>
    </w:p>
    <w:p w14:paraId="46CB84E0">
      <w:pPr>
        <w:spacing w:line="440" w:lineRule="exact"/>
        <w:jc w:val="center"/>
        <w:rPr>
          <w:sz w:val="21"/>
          <w:szCs w:val="21"/>
        </w:rPr>
      </w:pPr>
      <w:r>
        <w:rPr>
          <w:rFonts w:hint="eastAsia"/>
          <w:sz w:val="21"/>
          <w:szCs w:val="21"/>
        </w:rPr>
        <w:t>图5.13  云平台设备管理信息</w:t>
      </w:r>
    </w:p>
    <w:p w14:paraId="7719EB2C">
      <w:pPr>
        <w:spacing w:line="440" w:lineRule="exact"/>
        <w:ind w:firstLine="420" w:firstLineChars="200"/>
        <w:jc w:val="center"/>
        <w:rPr>
          <w:sz w:val="21"/>
          <w:szCs w:val="21"/>
        </w:rPr>
      </w:pPr>
    </w:p>
    <w:p w14:paraId="385FE667">
      <w:pPr>
        <w:tabs>
          <w:tab w:val="center" w:pos="4688"/>
        </w:tabs>
        <w:spacing w:line="440" w:lineRule="exact"/>
        <w:rPr>
          <w:sz w:val="21"/>
          <w:szCs w:val="21"/>
        </w:rPr>
      </w:pPr>
      <w:r>
        <w:rPr>
          <w:sz w:val="21"/>
          <w:szCs w:val="21"/>
        </w:rPr>
        <w:tab/>
      </w:r>
      <w:r>
        <w:rPr>
          <w:sz w:val="21"/>
          <w:szCs w:val="21"/>
        </w:rPr>
        <w:drawing>
          <wp:inline distT="0" distB="0" distL="0" distR="0">
            <wp:extent cx="5837555" cy="742315"/>
            <wp:effectExtent l="0" t="0" r="0" b="635"/>
            <wp:docPr id="1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840107" cy="742578"/>
                    </a:xfrm>
                    <a:prstGeom prst="rect">
                      <a:avLst/>
                    </a:prstGeom>
                    <a:noFill/>
                  </pic:spPr>
                </pic:pic>
              </a:graphicData>
            </a:graphic>
          </wp:inline>
        </w:drawing>
      </w:r>
    </w:p>
    <w:p w14:paraId="4B6C169F">
      <w:pPr>
        <w:spacing w:line="440" w:lineRule="exact"/>
        <w:jc w:val="center"/>
        <w:rPr>
          <w:sz w:val="21"/>
          <w:szCs w:val="21"/>
        </w:rPr>
      </w:pPr>
      <w:bookmarkStart w:id="88" w:name="_Hlk197613010"/>
    </w:p>
    <w:p w14:paraId="5216DB27">
      <w:pPr>
        <w:spacing w:line="440" w:lineRule="exact"/>
        <w:jc w:val="center"/>
        <w:rPr>
          <w:sz w:val="21"/>
          <w:szCs w:val="21"/>
        </w:rPr>
      </w:pPr>
      <w:r>
        <w:rPr>
          <w:rFonts w:hint="eastAsia"/>
          <w:sz w:val="21"/>
          <w:szCs w:val="21"/>
        </w:rPr>
        <w:t>图5.14  云平台设备</w:t>
      </w:r>
      <w:bookmarkEnd w:id="88"/>
      <w:r>
        <w:rPr>
          <w:rFonts w:hint="eastAsia"/>
          <w:sz w:val="21"/>
          <w:szCs w:val="21"/>
        </w:rPr>
        <w:t>产品信息</w:t>
      </w:r>
    </w:p>
    <w:p w14:paraId="51E249EC">
      <w:pPr>
        <w:spacing w:line="440" w:lineRule="exact"/>
        <w:ind w:firstLine="480" w:firstLineChars="200"/>
      </w:pPr>
    </w:p>
    <w:p w14:paraId="713ACC02">
      <w:pPr>
        <w:pStyle w:val="4"/>
        <w:spacing w:before="120"/>
      </w:pPr>
      <w:bookmarkStart w:id="89" w:name="_Toc198563282"/>
      <w:r>
        <w:rPr>
          <w:rFonts w:hint="eastAsia"/>
        </w:rPr>
        <w:t>5.5.2 APP数据上传与接收</w:t>
      </w:r>
      <w:bookmarkEnd w:id="89"/>
    </w:p>
    <w:p w14:paraId="77B14A6E">
      <w:pPr>
        <w:spacing w:line="440" w:lineRule="exact"/>
        <w:ind w:firstLine="480" w:firstLineChars="200"/>
      </w:pPr>
      <w:r>
        <w:rPr>
          <w:rFonts w:hint="eastAsia"/>
        </w:rPr>
        <w:t>http协议是基于请求-相应的协议，它通常运行在TCP之上，它指定了客户端可能发送给服务器什么样的消息以及得到什么样的相应。请求和响应消息的头以ASCII形式给出。</w:t>
      </w:r>
    </w:p>
    <w:p w14:paraId="678158C4">
      <w:pPr>
        <w:spacing w:line="440" w:lineRule="exact"/>
        <w:ind w:firstLine="480" w:firstLineChars="200"/>
      </w:pPr>
      <w:r>
        <w:rPr>
          <w:rFonts w:hint="eastAsia"/>
        </w:rPr>
        <w:t>通过http协议app可以向ONENET云平台获取到数据，获取的数据包括产品唯一ID和设备名称，如下图5.15所示：</w:t>
      </w:r>
    </w:p>
    <w:p w14:paraId="387FA056">
      <w:pPr>
        <w:spacing w:line="440" w:lineRule="exact"/>
        <w:ind w:firstLine="480" w:firstLineChars="200"/>
      </w:pPr>
    </w:p>
    <w:p w14:paraId="68374C50">
      <w:pPr>
        <w:spacing w:line="440" w:lineRule="atLeast"/>
        <w:jc w:val="center"/>
      </w:pPr>
      <w:r>
        <w:drawing>
          <wp:inline distT="0" distB="0" distL="0" distR="0">
            <wp:extent cx="3665855" cy="1639570"/>
            <wp:effectExtent l="0" t="0" r="0" b="0"/>
            <wp:docPr id="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665855" cy="1639570"/>
                    </a:xfrm>
                    <a:prstGeom prst="rect">
                      <a:avLst/>
                    </a:prstGeom>
                    <a:noFill/>
                    <a:ln>
                      <a:noFill/>
                    </a:ln>
                  </pic:spPr>
                </pic:pic>
              </a:graphicData>
            </a:graphic>
          </wp:inline>
        </w:drawing>
      </w:r>
    </w:p>
    <w:p w14:paraId="37E3C1CC">
      <w:pPr>
        <w:spacing w:line="440" w:lineRule="exact"/>
        <w:jc w:val="center"/>
        <w:rPr>
          <w:sz w:val="21"/>
          <w:szCs w:val="21"/>
        </w:rPr>
      </w:pPr>
    </w:p>
    <w:p w14:paraId="2C779598">
      <w:pPr>
        <w:spacing w:line="440" w:lineRule="exact"/>
        <w:jc w:val="center"/>
        <w:rPr>
          <w:sz w:val="21"/>
          <w:szCs w:val="21"/>
        </w:rPr>
      </w:pPr>
      <w:r>
        <w:rPr>
          <w:rFonts w:hint="eastAsia"/>
          <w:sz w:val="21"/>
          <w:szCs w:val="21"/>
        </w:rPr>
        <w:t>图5.15  APP获取云平台数据</w:t>
      </w:r>
    </w:p>
    <w:p w14:paraId="02B2BDB7">
      <w:pPr>
        <w:spacing w:line="440" w:lineRule="exact"/>
        <w:ind w:firstLine="480" w:firstLineChars="200"/>
      </w:pPr>
    </w:p>
    <w:p w14:paraId="1E24D2A0">
      <w:pPr>
        <w:pStyle w:val="3"/>
        <w:spacing w:before="120"/>
      </w:pPr>
      <w:bookmarkStart w:id="90" w:name="_Toc198563283"/>
      <w:r>
        <w:rPr>
          <w:rFonts w:hint="eastAsia"/>
        </w:rPr>
        <w:t>5.6 可视化界面模块</w:t>
      </w:r>
      <w:bookmarkEnd w:id="90"/>
    </w:p>
    <w:p w14:paraId="05B10000">
      <w:pPr>
        <w:spacing w:line="440" w:lineRule="exact"/>
        <w:ind w:firstLine="480" w:firstLineChars="200"/>
      </w:pPr>
      <w:r>
        <w:rPr>
          <w:rFonts w:hint="eastAsia"/>
        </w:rPr>
        <w:t>可视化界面使用的是APP INVENTER程序制作的，这是一款由谷歌公司开发的手机编程软件，用户可以在里面添加自己需要的模块，根据不同分类找到对应的模块软件，对于本项目则是垃圾分类模块，添加垃圾桶模型以及报警提示方法，初步APP可视化创建完成。要想实现云平台与APP互相通信，就需要在创建APP时将云平台设备的接口地址导入其中，接口地址如下图5.16所示：</w:t>
      </w:r>
    </w:p>
    <w:p w14:paraId="7259A922"/>
    <w:p w14:paraId="74BA72D6">
      <w:r>
        <w:drawing>
          <wp:inline distT="0" distB="0" distL="0" distR="0">
            <wp:extent cx="4829810" cy="923925"/>
            <wp:effectExtent l="0" t="0" r="0" b="0"/>
            <wp:docPr id="12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4829810" cy="923925"/>
                    </a:xfrm>
                    <a:prstGeom prst="rect">
                      <a:avLst/>
                    </a:prstGeom>
                    <a:noFill/>
                  </pic:spPr>
                </pic:pic>
              </a:graphicData>
            </a:graphic>
          </wp:inline>
        </w:drawing>
      </w:r>
    </w:p>
    <w:p w14:paraId="148ED5E4">
      <w:pPr>
        <w:jc w:val="center"/>
        <w:rPr>
          <w:sz w:val="21"/>
          <w:szCs w:val="21"/>
        </w:rPr>
      </w:pPr>
    </w:p>
    <w:p w14:paraId="2FD474C1">
      <w:pPr>
        <w:jc w:val="center"/>
        <w:rPr>
          <w:sz w:val="21"/>
          <w:szCs w:val="21"/>
        </w:rPr>
      </w:pPr>
      <w:r>
        <w:rPr>
          <w:rFonts w:hint="eastAsia"/>
          <w:sz w:val="21"/>
          <w:szCs w:val="21"/>
        </w:rPr>
        <w:t>图5.16  云平台产品接口地址</w:t>
      </w:r>
    </w:p>
    <w:p w14:paraId="048FD114">
      <w:pPr>
        <w:ind w:firstLine="480" w:firstLineChars="200"/>
      </w:pPr>
    </w:p>
    <w:p w14:paraId="1C54B240">
      <w:pPr>
        <w:spacing w:line="440" w:lineRule="exact"/>
        <w:ind w:firstLine="480" w:firstLineChars="200"/>
      </w:pPr>
      <w:r>
        <w:rPr>
          <w:rFonts w:hint="eastAsia"/>
        </w:rPr>
        <w:t>产品创建完成以后APP INVENTER会导出设置好的APP的数据包，在手机里下载APP数据包。</w:t>
      </w:r>
    </w:p>
    <w:p w14:paraId="78470DC0">
      <w:pPr>
        <w:spacing w:line="440" w:lineRule="exact"/>
        <w:ind w:firstLine="480" w:firstLineChars="200"/>
      </w:pPr>
      <w:r>
        <w:rPr>
          <w:rFonts w:hint="eastAsia"/>
        </w:rPr>
        <w:t>打开“智能垃圾桶”app为如下界面：</w:t>
      </w:r>
    </w:p>
    <w:p w14:paraId="58E76A0C"/>
    <w:p w14:paraId="40DC2C65">
      <w:pPr>
        <w:spacing w:line="440" w:lineRule="atLeast"/>
        <w:jc w:val="center"/>
      </w:pPr>
      <w:r>
        <w:drawing>
          <wp:inline distT="0" distB="0" distL="0" distR="0">
            <wp:extent cx="1590040" cy="2316480"/>
            <wp:effectExtent l="0" t="0" r="0" b="7620"/>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noChangeArrowheads="1"/>
                    </pic:cNvPicPr>
                  </pic:nvPicPr>
                  <pic:blipFill>
                    <a:blip r:embed="rId69">
                      <a:extLst>
                        <a:ext uri="{28A0092B-C50C-407E-A947-70E740481C1C}">
                          <a14:useLocalDpi xmlns:a14="http://schemas.microsoft.com/office/drawing/2010/main" val="0"/>
                        </a:ext>
                      </a:extLst>
                    </a:blip>
                    <a:srcRect b="29521"/>
                    <a:stretch>
                      <a:fillRect/>
                    </a:stretch>
                  </pic:blipFill>
                  <pic:spPr>
                    <a:xfrm>
                      <a:off x="0" y="0"/>
                      <a:ext cx="1590040" cy="2316480"/>
                    </a:xfrm>
                    <a:prstGeom prst="rect">
                      <a:avLst/>
                    </a:prstGeom>
                    <a:noFill/>
                    <a:ln>
                      <a:noFill/>
                    </a:ln>
                  </pic:spPr>
                </pic:pic>
              </a:graphicData>
            </a:graphic>
          </wp:inline>
        </w:drawing>
      </w:r>
    </w:p>
    <w:p w14:paraId="301DBB75">
      <w:pPr>
        <w:jc w:val="center"/>
        <w:rPr>
          <w:sz w:val="21"/>
          <w:szCs w:val="21"/>
        </w:rPr>
      </w:pPr>
    </w:p>
    <w:p w14:paraId="599FF6F5">
      <w:pPr>
        <w:jc w:val="center"/>
        <w:rPr>
          <w:sz w:val="21"/>
          <w:szCs w:val="21"/>
        </w:rPr>
      </w:pPr>
      <w:r>
        <w:rPr>
          <w:rFonts w:hint="eastAsia"/>
          <w:sz w:val="21"/>
          <w:szCs w:val="21"/>
        </w:rPr>
        <w:t>图5.17  APP可视化界面</w:t>
      </w:r>
    </w:p>
    <w:p w14:paraId="68D1EDCB"/>
    <w:p w14:paraId="589C67F3">
      <w:pPr>
        <w:pStyle w:val="3"/>
        <w:spacing w:before="120"/>
      </w:pPr>
      <w:bookmarkStart w:id="91" w:name="_Toc198563284"/>
      <w:r>
        <w:rPr>
          <w:rFonts w:hint="eastAsia"/>
        </w:rPr>
        <w:t>5.7 本章小结</w:t>
      </w:r>
      <w:bookmarkEnd w:id="91"/>
    </w:p>
    <w:p w14:paraId="034CC201">
      <w:pPr>
        <w:spacing w:line="440" w:lineRule="exact"/>
        <w:ind w:firstLine="480" w:firstLineChars="200"/>
      </w:pPr>
      <w:r>
        <w:rPr>
          <w:rFonts w:hint="eastAsia"/>
        </w:rPr>
        <w:t>本章对系统软件设计进行了说明，每一小节对应硬件设计中的模块，通过绘制逻辑流程图的方法，对模块的代码进行分析和解释。然后是对所使用的协议进行阐述，包括MQTT协议、http协议、串口通信协议等，通过这些协议来了解整个系统的通信过程。</w:t>
      </w:r>
    </w:p>
    <w:p w14:paraId="32BB42FB">
      <w:pPr>
        <w:ind w:firstLine="480" w:firstLineChars="200"/>
      </w:pPr>
    </w:p>
    <w:p w14:paraId="55056DE1">
      <w:pPr>
        <w:ind w:firstLine="480" w:firstLineChars="200"/>
      </w:pPr>
    </w:p>
    <w:p w14:paraId="4C552149">
      <w:pPr>
        <w:ind w:firstLine="480" w:firstLineChars="200"/>
      </w:pPr>
    </w:p>
    <w:p w14:paraId="78EAD179">
      <w:pPr>
        <w:ind w:firstLine="480" w:firstLineChars="200"/>
      </w:pPr>
    </w:p>
    <w:p w14:paraId="6372F4A2">
      <w:pPr>
        <w:ind w:firstLine="480" w:firstLineChars="200"/>
      </w:pPr>
    </w:p>
    <w:p w14:paraId="4C1FD76C">
      <w:pPr>
        <w:ind w:firstLine="480" w:firstLineChars="200"/>
      </w:pPr>
    </w:p>
    <w:p w14:paraId="7C982BA3">
      <w:pPr>
        <w:ind w:firstLine="480" w:firstLineChars="200"/>
      </w:pPr>
    </w:p>
    <w:p w14:paraId="74CF1182">
      <w:pPr>
        <w:ind w:firstLine="480" w:firstLineChars="200"/>
      </w:pPr>
    </w:p>
    <w:p w14:paraId="46DFADD3">
      <w:pPr>
        <w:ind w:firstLine="480" w:firstLineChars="200"/>
      </w:pPr>
    </w:p>
    <w:p w14:paraId="0E1C4C66">
      <w:pPr>
        <w:ind w:firstLine="480" w:firstLineChars="200"/>
      </w:pPr>
    </w:p>
    <w:p w14:paraId="6EABA93D">
      <w:pPr>
        <w:ind w:firstLine="480" w:firstLineChars="200"/>
      </w:pPr>
    </w:p>
    <w:p w14:paraId="6EF9F558"/>
    <w:p w14:paraId="06463359">
      <w:pPr>
        <w:pStyle w:val="2"/>
      </w:pPr>
      <w:bookmarkStart w:id="92" w:name="_Toc198563285"/>
      <w:r>
        <w:rPr>
          <w:rFonts w:hint="eastAsia"/>
        </w:rPr>
        <w:t>第六章  系统测试</w:t>
      </w:r>
      <w:bookmarkEnd w:id="92"/>
    </w:p>
    <w:p w14:paraId="4E2C92E8">
      <w:pPr>
        <w:spacing w:line="440" w:lineRule="exact"/>
        <w:ind w:firstLine="480" w:firstLineChars="200"/>
      </w:pPr>
      <w:r>
        <w:rPr>
          <w:rFonts w:hint="eastAsia"/>
        </w:rPr>
        <w:t>本章是对前文所述的硬件模块和软件模块进行测试和实现，具体包括程序调试和烧录、硬件测试和实现、软件测试和实现。</w:t>
      </w:r>
    </w:p>
    <w:p w14:paraId="1F0CA341">
      <w:pPr>
        <w:pStyle w:val="3"/>
        <w:spacing w:before="120"/>
      </w:pPr>
      <w:bookmarkStart w:id="93" w:name="_Toc198563286"/>
      <w:r>
        <w:rPr>
          <w:rFonts w:hint="eastAsia"/>
        </w:rPr>
        <w:t>6.1 程序调试和烧录</w:t>
      </w:r>
      <w:bookmarkEnd w:id="93"/>
    </w:p>
    <w:p w14:paraId="42DFA757">
      <w:pPr>
        <w:spacing w:line="440" w:lineRule="exact"/>
        <w:ind w:firstLine="480" w:firstLineChars="200"/>
      </w:pPr>
      <w:r>
        <w:rPr>
          <w:rFonts w:hint="eastAsia"/>
        </w:rPr>
        <w:t>打开</w:t>
      </w:r>
      <w:r>
        <w:t xml:space="preserve">keil </w:t>
      </w:r>
      <w:r>
        <w:rPr>
          <w:rFonts w:hint="eastAsia"/>
        </w:rPr>
        <w:t>5软件，并在软件里打开名为“OLED”的工程名文件。</w:t>
      </w:r>
    </w:p>
    <w:p w14:paraId="19238D53">
      <w:pPr>
        <w:spacing w:line="440" w:lineRule="exact"/>
        <w:ind w:firstLine="480" w:firstLineChars="200"/>
      </w:pPr>
      <w:r>
        <w:rPr>
          <w:rFonts w:hint="eastAsia"/>
        </w:rPr>
        <w:t>再点击菜单栏中的“build”按键，软件会将各个模块的代码进行链接处理，在无错误的情况下，点击菜单栏中的“rebuild”按键，软件会对整体系统代码进行编译处理，若出现错误则按照指示位置进行修改，编译至运行结果没有错误为止。</w:t>
      </w:r>
    </w:p>
    <w:p w14:paraId="03F15F08">
      <w:pPr>
        <w:spacing w:line="440" w:lineRule="exact"/>
        <w:ind w:firstLine="480" w:firstLineChars="200"/>
      </w:pPr>
      <w:r>
        <w:rPr>
          <w:rFonts w:hint="eastAsia"/>
        </w:rPr>
        <w:t>编译通过结果如图6.1所示：</w:t>
      </w:r>
    </w:p>
    <w:p w14:paraId="5DD75A05">
      <w:pPr>
        <w:ind w:firstLine="480" w:firstLineChars="200"/>
      </w:pPr>
    </w:p>
    <w:p w14:paraId="29A560C9">
      <w:pPr>
        <w:spacing w:line="440" w:lineRule="atLeast"/>
        <w:jc w:val="center"/>
      </w:pPr>
      <w:r>
        <w:drawing>
          <wp:inline distT="0" distB="0" distL="0" distR="0">
            <wp:extent cx="3435350" cy="2883535"/>
            <wp:effectExtent l="0" t="0" r="0" b="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3435350" cy="2883535"/>
                    </a:xfrm>
                    <a:prstGeom prst="rect">
                      <a:avLst/>
                    </a:prstGeom>
                    <a:noFill/>
                    <a:ln>
                      <a:noFill/>
                    </a:ln>
                  </pic:spPr>
                </pic:pic>
              </a:graphicData>
            </a:graphic>
          </wp:inline>
        </w:drawing>
      </w:r>
    </w:p>
    <w:p w14:paraId="4B525CAD">
      <w:pPr>
        <w:jc w:val="center"/>
        <w:rPr>
          <w:sz w:val="21"/>
          <w:szCs w:val="21"/>
        </w:rPr>
      </w:pPr>
    </w:p>
    <w:p w14:paraId="487ED93C">
      <w:pPr>
        <w:jc w:val="center"/>
        <w:rPr>
          <w:sz w:val="21"/>
          <w:szCs w:val="21"/>
        </w:rPr>
      </w:pPr>
      <w:r>
        <w:rPr>
          <w:rFonts w:hint="eastAsia"/>
          <w:sz w:val="21"/>
          <w:szCs w:val="21"/>
        </w:rPr>
        <w:t>图6.1  程序编译</w:t>
      </w:r>
    </w:p>
    <w:p w14:paraId="4560A0F2">
      <w:pPr>
        <w:ind w:firstLine="480" w:firstLineChars="200"/>
      </w:pPr>
    </w:p>
    <w:p w14:paraId="270B4F10">
      <w:pPr>
        <w:spacing w:line="440" w:lineRule="exact"/>
        <w:ind w:firstLine="480" w:firstLineChars="200"/>
      </w:pPr>
      <w:r>
        <w:rPr>
          <w:rFonts w:hint="eastAsia"/>
        </w:rPr>
        <w:t>图中信息表明软件程序编译无错误，通过串口助手将此程序烧录至单片机，减下来则是检测系统硬件和软件功能是否实现。</w:t>
      </w:r>
    </w:p>
    <w:p w14:paraId="77E4E8E8">
      <w:pPr>
        <w:pStyle w:val="3"/>
        <w:spacing w:before="120"/>
      </w:pPr>
      <w:bookmarkStart w:id="94" w:name="_Toc198563287"/>
      <w:r>
        <w:rPr>
          <w:rFonts w:hint="eastAsia"/>
        </w:rPr>
        <w:t xml:space="preserve">6.2 </w:t>
      </w:r>
      <w:r>
        <w:t>语音识别功能测试</w:t>
      </w:r>
      <w:bookmarkEnd w:id="94"/>
    </w:p>
    <w:p w14:paraId="23C81327">
      <w:pPr>
        <w:spacing w:line="440" w:lineRule="exact"/>
        <w:ind w:firstLine="480" w:firstLineChars="200"/>
      </w:pPr>
      <w:r>
        <w:rPr>
          <w:rFonts w:hint="eastAsia"/>
        </w:rPr>
        <w:t>这一部分的测试是将每种垃圾类别通过语音指令控制，记录指令识别成功的次数和概率，记录的数据如下表6.1所示：</w:t>
      </w:r>
    </w:p>
    <w:p w14:paraId="4D939735">
      <w:pPr>
        <w:ind w:firstLine="480" w:firstLineChars="200"/>
      </w:pPr>
    </w:p>
    <w:p w14:paraId="321CB681">
      <w:pPr>
        <w:spacing w:line="440" w:lineRule="exact"/>
        <w:jc w:val="center"/>
        <w:rPr>
          <w:sz w:val="21"/>
          <w:szCs w:val="21"/>
        </w:rPr>
      </w:pPr>
      <w:r>
        <w:rPr>
          <w:rFonts w:hint="eastAsia"/>
          <w:sz w:val="21"/>
          <w:szCs w:val="21"/>
        </w:rPr>
        <w:t>表6.1  语音指令测试结果</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1"/>
        <w:gridCol w:w="1559"/>
        <w:gridCol w:w="1418"/>
        <w:gridCol w:w="1984"/>
        <w:gridCol w:w="1667"/>
      </w:tblGrid>
      <w:tr w14:paraId="0CCB22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tcBorders>
              <w:top w:val="single" w:color="auto" w:sz="12" w:space="0"/>
              <w:bottom w:val="single" w:color="auto" w:sz="4" w:space="0"/>
            </w:tcBorders>
            <w:shd w:val="clear" w:color="auto" w:fill="auto"/>
          </w:tcPr>
          <w:p w14:paraId="12923C12">
            <w:pPr>
              <w:widowControl w:val="0"/>
              <w:spacing w:line="440" w:lineRule="exact"/>
              <w:jc w:val="center"/>
              <w:rPr>
                <w:sz w:val="21"/>
                <w:szCs w:val="21"/>
              </w:rPr>
            </w:pPr>
            <w:r>
              <w:rPr>
                <w:rFonts w:hint="eastAsia"/>
                <w:sz w:val="21"/>
                <w:szCs w:val="21"/>
              </w:rPr>
              <w:t>垃圾类别</w:t>
            </w:r>
          </w:p>
        </w:tc>
        <w:tc>
          <w:tcPr>
            <w:tcW w:w="1559" w:type="dxa"/>
            <w:tcBorders>
              <w:top w:val="single" w:color="auto" w:sz="12" w:space="0"/>
              <w:bottom w:val="single" w:color="auto" w:sz="4" w:space="0"/>
            </w:tcBorders>
            <w:shd w:val="clear" w:color="auto" w:fill="auto"/>
          </w:tcPr>
          <w:p w14:paraId="0F1743C7">
            <w:pPr>
              <w:widowControl w:val="0"/>
              <w:spacing w:line="440" w:lineRule="exact"/>
              <w:jc w:val="center"/>
              <w:rPr>
                <w:sz w:val="21"/>
                <w:szCs w:val="21"/>
              </w:rPr>
            </w:pPr>
            <w:r>
              <w:rPr>
                <w:rFonts w:hint="eastAsia"/>
                <w:sz w:val="21"/>
                <w:szCs w:val="21"/>
              </w:rPr>
              <w:t>垃圾名称</w:t>
            </w:r>
          </w:p>
        </w:tc>
        <w:tc>
          <w:tcPr>
            <w:tcW w:w="1418" w:type="dxa"/>
            <w:tcBorders>
              <w:top w:val="single" w:color="auto" w:sz="12" w:space="0"/>
              <w:bottom w:val="single" w:color="auto" w:sz="4" w:space="0"/>
            </w:tcBorders>
            <w:shd w:val="clear" w:color="auto" w:fill="auto"/>
          </w:tcPr>
          <w:p w14:paraId="0A8FD67A">
            <w:pPr>
              <w:widowControl w:val="0"/>
              <w:spacing w:line="440" w:lineRule="exact"/>
              <w:jc w:val="center"/>
              <w:rPr>
                <w:sz w:val="21"/>
                <w:szCs w:val="21"/>
              </w:rPr>
            </w:pPr>
            <w:r>
              <w:rPr>
                <w:rFonts w:hint="eastAsia"/>
                <w:sz w:val="21"/>
                <w:szCs w:val="21"/>
              </w:rPr>
              <w:t>呼叫次数</w:t>
            </w:r>
          </w:p>
        </w:tc>
        <w:tc>
          <w:tcPr>
            <w:tcW w:w="1984" w:type="dxa"/>
            <w:tcBorders>
              <w:top w:val="single" w:color="auto" w:sz="12" w:space="0"/>
              <w:bottom w:val="single" w:color="auto" w:sz="4" w:space="0"/>
            </w:tcBorders>
            <w:shd w:val="clear" w:color="auto" w:fill="auto"/>
          </w:tcPr>
          <w:p w14:paraId="4B23CE1A">
            <w:pPr>
              <w:widowControl w:val="0"/>
              <w:spacing w:line="440" w:lineRule="exact"/>
              <w:jc w:val="center"/>
              <w:rPr>
                <w:sz w:val="21"/>
                <w:szCs w:val="21"/>
              </w:rPr>
            </w:pPr>
            <w:r>
              <w:rPr>
                <w:rFonts w:hint="eastAsia"/>
                <w:sz w:val="21"/>
                <w:szCs w:val="21"/>
              </w:rPr>
              <w:t>识别成功次数</w:t>
            </w:r>
          </w:p>
        </w:tc>
        <w:tc>
          <w:tcPr>
            <w:tcW w:w="1667" w:type="dxa"/>
            <w:tcBorders>
              <w:top w:val="single" w:color="auto" w:sz="12" w:space="0"/>
              <w:bottom w:val="single" w:color="auto" w:sz="4" w:space="0"/>
            </w:tcBorders>
            <w:shd w:val="clear" w:color="auto" w:fill="auto"/>
          </w:tcPr>
          <w:p w14:paraId="37A695BC">
            <w:pPr>
              <w:widowControl w:val="0"/>
              <w:spacing w:line="440" w:lineRule="exact"/>
              <w:jc w:val="center"/>
              <w:rPr>
                <w:sz w:val="21"/>
                <w:szCs w:val="21"/>
              </w:rPr>
            </w:pPr>
            <w:r>
              <w:rPr>
                <w:rFonts w:hint="eastAsia"/>
                <w:sz w:val="21"/>
                <w:szCs w:val="21"/>
              </w:rPr>
              <w:t>成功率（%）</w:t>
            </w:r>
          </w:p>
        </w:tc>
      </w:tr>
      <w:tr w14:paraId="6A8A01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vMerge w:val="restart"/>
            <w:tcBorders>
              <w:top w:val="single" w:color="auto" w:sz="4" w:space="0"/>
            </w:tcBorders>
            <w:shd w:val="clear" w:color="auto" w:fill="auto"/>
          </w:tcPr>
          <w:p w14:paraId="67F42388">
            <w:pPr>
              <w:widowControl w:val="0"/>
              <w:spacing w:line="440" w:lineRule="exact"/>
              <w:jc w:val="center"/>
              <w:rPr>
                <w:sz w:val="21"/>
                <w:szCs w:val="21"/>
              </w:rPr>
            </w:pPr>
            <w:r>
              <w:rPr>
                <w:rFonts w:hint="eastAsia"/>
                <w:sz w:val="21"/>
                <w:szCs w:val="21"/>
              </w:rPr>
              <w:t>可回收垃圾</w:t>
            </w:r>
          </w:p>
        </w:tc>
        <w:tc>
          <w:tcPr>
            <w:tcW w:w="1559" w:type="dxa"/>
            <w:tcBorders>
              <w:top w:val="single" w:color="auto" w:sz="4" w:space="0"/>
            </w:tcBorders>
            <w:shd w:val="clear" w:color="auto" w:fill="auto"/>
          </w:tcPr>
          <w:p w14:paraId="1C040F3F">
            <w:pPr>
              <w:widowControl w:val="0"/>
              <w:spacing w:line="440" w:lineRule="exact"/>
              <w:jc w:val="center"/>
              <w:rPr>
                <w:sz w:val="21"/>
                <w:szCs w:val="21"/>
              </w:rPr>
            </w:pPr>
            <w:r>
              <w:rPr>
                <w:rFonts w:hint="eastAsia"/>
                <w:sz w:val="21"/>
                <w:szCs w:val="21"/>
              </w:rPr>
              <w:t>报纸</w:t>
            </w:r>
          </w:p>
        </w:tc>
        <w:tc>
          <w:tcPr>
            <w:tcW w:w="1418" w:type="dxa"/>
            <w:tcBorders>
              <w:top w:val="single" w:color="auto" w:sz="4" w:space="0"/>
            </w:tcBorders>
            <w:shd w:val="clear" w:color="auto" w:fill="auto"/>
          </w:tcPr>
          <w:p w14:paraId="62C99A82">
            <w:pPr>
              <w:widowControl w:val="0"/>
              <w:spacing w:line="440" w:lineRule="exact"/>
              <w:jc w:val="center"/>
              <w:rPr>
                <w:sz w:val="21"/>
                <w:szCs w:val="21"/>
              </w:rPr>
            </w:pPr>
            <w:r>
              <w:rPr>
                <w:rFonts w:hint="eastAsia"/>
                <w:sz w:val="21"/>
                <w:szCs w:val="21"/>
              </w:rPr>
              <w:t>20</w:t>
            </w:r>
          </w:p>
        </w:tc>
        <w:tc>
          <w:tcPr>
            <w:tcW w:w="1984" w:type="dxa"/>
            <w:tcBorders>
              <w:top w:val="single" w:color="auto" w:sz="4" w:space="0"/>
            </w:tcBorders>
            <w:shd w:val="clear" w:color="auto" w:fill="auto"/>
          </w:tcPr>
          <w:p w14:paraId="6B395706">
            <w:pPr>
              <w:widowControl w:val="0"/>
              <w:spacing w:line="440" w:lineRule="exact"/>
              <w:jc w:val="center"/>
              <w:rPr>
                <w:sz w:val="21"/>
                <w:szCs w:val="21"/>
              </w:rPr>
            </w:pPr>
            <w:r>
              <w:rPr>
                <w:rFonts w:hint="eastAsia"/>
                <w:sz w:val="21"/>
                <w:szCs w:val="21"/>
              </w:rPr>
              <w:t>19</w:t>
            </w:r>
          </w:p>
        </w:tc>
        <w:tc>
          <w:tcPr>
            <w:tcW w:w="1667" w:type="dxa"/>
            <w:tcBorders>
              <w:top w:val="single" w:color="auto" w:sz="4" w:space="0"/>
            </w:tcBorders>
            <w:shd w:val="clear" w:color="auto" w:fill="auto"/>
          </w:tcPr>
          <w:p w14:paraId="11CC6D4E">
            <w:pPr>
              <w:widowControl w:val="0"/>
              <w:spacing w:line="440" w:lineRule="exact"/>
              <w:jc w:val="center"/>
              <w:rPr>
                <w:sz w:val="21"/>
                <w:szCs w:val="21"/>
              </w:rPr>
            </w:pPr>
            <w:r>
              <w:rPr>
                <w:rFonts w:hint="eastAsia"/>
                <w:sz w:val="21"/>
                <w:szCs w:val="21"/>
              </w:rPr>
              <w:t>95%</w:t>
            </w:r>
          </w:p>
        </w:tc>
      </w:tr>
      <w:tr w14:paraId="354FC1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vMerge w:val="continue"/>
            <w:shd w:val="clear" w:color="auto" w:fill="auto"/>
          </w:tcPr>
          <w:p w14:paraId="4B5581FE">
            <w:pPr>
              <w:widowControl w:val="0"/>
              <w:spacing w:line="440" w:lineRule="exact"/>
              <w:jc w:val="center"/>
              <w:rPr>
                <w:sz w:val="21"/>
                <w:szCs w:val="21"/>
              </w:rPr>
            </w:pPr>
          </w:p>
        </w:tc>
        <w:tc>
          <w:tcPr>
            <w:tcW w:w="1559" w:type="dxa"/>
            <w:shd w:val="clear" w:color="auto" w:fill="auto"/>
          </w:tcPr>
          <w:p w14:paraId="2A68C611">
            <w:pPr>
              <w:widowControl w:val="0"/>
              <w:spacing w:line="440" w:lineRule="exact"/>
              <w:jc w:val="center"/>
              <w:rPr>
                <w:sz w:val="21"/>
                <w:szCs w:val="21"/>
              </w:rPr>
            </w:pPr>
            <w:r>
              <w:rPr>
                <w:rFonts w:hint="eastAsia"/>
                <w:sz w:val="21"/>
                <w:szCs w:val="21"/>
              </w:rPr>
              <w:t>易拉罐</w:t>
            </w:r>
          </w:p>
        </w:tc>
        <w:tc>
          <w:tcPr>
            <w:tcW w:w="1418" w:type="dxa"/>
            <w:shd w:val="clear" w:color="auto" w:fill="auto"/>
          </w:tcPr>
          <w:p w14:paraId="10833705">
            <w:pPr>
              <w:widowControl w:val="0"/>
              <w:spacing w:line="440" w:lineRule="exact"/>
              <w:jc w:val="center"/>
              <w:rPr>
                <w:sz w:val="21"/>
                <w:szCs w:val="21"/>
              </w:rPr>
            </w:pPr>
            <w:r>
              <w:rPr>
                <w:rFonts w:hint="eastAsia"/>
                <w:sz w:val="21"/>
                <w:szCs w:val="21"/>
              </w:rPr>
              <w:t>20</w:t>
            </w:r>
          </w:p>
        </w:tc>
        <w:tc>
          <w:tcPr>
            <w:tcW w:w="1984" w:type="dxa"/>
            <w:shd w:val="clear" w:color="auto" w:fill="auto"/>
          </w:tcPr>
          <w:p w14:paraId="14E2812D">
            <w:pPr>
              <w:widowControl w:val="0"/>
              <w:spacing w:line="440" w:lineRule="exact"/>
              <w:jc w:val="center"/>
              <w:rPr>
                <w:sz w:val="21"/>
                <w:szCs w:val="21"/>
              </w:rPr>
            </w:pPr>
            <w:r>
              <w:rPr>
                <w:rFonts w:hint="eastAsia"/>
                <w:sz w:val="21"/>
                <w:szCs w:val="21"/>
              </w:rPr>
              <w:t>16</w:t>
            </w:r>
          </w:p>
        </w:tc>
        <w:tc>
          <w:tcPr>
            <w:tcW w:w="1667" w:type="dxa"/>
            <w:shd w:val="clear" w:color="auto" w:fill="auto"/>
          </w:tcPr>
          <w:p w14:paraId="50826454">
            <w:pPr>
              <w:widowControl w:val="0"/>
              <w:spacing w:line="440" w:lineRule="exact"/>
              <w:jc w:val="center"/>
              <w:rPr>
                <w:sz w:val="21"/>
                <w:szCs w:val="21"/>
              </w:rPr>
            </w:pPr>
            <w:r>
              <w:rPr>
                <w:rFonts w:hint="eastAsia"/>
                <w:sz w:val="21"/>
                <w:szCs w:val="21"/>
              </w:rPr>
              <w:t>80%</w:t>
            </w:r>
          </w:p>
        </w:tc>
      </w:tr>
      <w:tr w14:paraId="06069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shd w:val="clear" w:color="auto" w:fill="auto"/>
          </w:tcPr>
          <w:p w14:paraId="4FB3EE29">
            <w:pPr>
              <w:widowControl w:val="0"/>
              <w:spacing w:line="440" w:lineRule="exact"/>
              <w:jc w:val="center"/>
              <w:rPr>
                <w:sz w:val="21"/>
                <w:szCs w:val="21"/>
              </w:rPr>
            </w:pPr>
            <w:r>
              <w:rPr>
                <w:rFonts w:hint="eastAsia"/>
                <w:sz w:val="21"/>
                <w:szCs w:val="21"/>
              </w:rPr>
              <w:t>厨余垃圾</w:t>
            </w:r>
          </w:p>
        </w:tc>
        <w:tc>
          <w:tcPr>
            <w:tcW w:w="1559" w:type="dxa"/>
            <w:shd w:val="clear" w:color="auto" w:fill="auto"/>
          </w:tcPr>
          <w:p w14:paraId="44C487EA">
            <w:pPr>
              <w:widowControl w:val="0"/>
              <w:spacing w:line="440" w:lineRule="exact"/>
              <w:jc w:val="center"/>
              <w:rPr>
                <w:sz w:val="21"/>
                <w:szCs w:val="21"/>
              </w:rPr>
            </w:pPr>
            <w:r>
              <w:rPr>
                <w:rFonts w:hint="eastAsia"/>
                <w:sz w:val="21"/>
                <w:szCs w:val="21"/>
              </w:rPr>
              <w:t>果皮</w:t>
            </w:r>
          </w:p>
        </w:tc>
        <w:tc>
          <w:tcPr>
            <w:tcW w:w="1418" w:type="dxa"/>
            <w:shd w:val="clear" w:color="auto" w:fill="auto"/>
          </w:tcPr>
          <w:p w14:paraId="429F00DD">
            <w:pPr>
              <w:widowControl w:val="0"/>
              <w:spacing w:line="440" w:lineRule="exact"/>
              <w:jc w:val="center"/>
              <w:rPr>
                <w:sz w:val="21"/>
                <w:szCs w:val="21"/>
              </w:rPr>
            </w:pPr>
            <w:r>
              <w:rPr>
                <w:rFonts w:hint="eastAsia"/>
                <w:sz w:val="21"/>
                <w:szCs w:val="21"/>
              </w:rPr>
              <w:t>20</w:t>
            </w:r>
          </w:p>
        </w:tc>
        <w:tc>
          <w:tcPr>
            <w:tcW w:w="1984" w:type="dxa"/>
            <w:shd w:val="clear" w:color="auto" w:fill="auto"/>
          </w:tcPr>
          <w:p w14:paraId="68F0E47E">
            <w:pPr>
              <w:widowControl w:val="0"/>
              <w:spacing w:line="440" w:lineRule="exact"/>
              <w:jc w:val="center"/>
              <w:rPr>
                <w:sz w:val="21"/>
                <w:szCs w:val="21"/>
              </w:rPr>
            </w:pPr>
            <w:r>
              <w:rPr>
                <w:rFonts w:hint="eastAsia"/>
                <w:sz w:val="21"/>
                <w:szCs w:val="21"/>
              </w:rPr>
              <w:t>20</w:t>
            </w:r>
          </w:p>
        </w:tc>
        <w:tc>
          <w:tcPr>
            <w:tcW w:w="1667" w:type="dxa"/>
            <w:shd w:val="clear" w:color="auto" w:fill="auto"/>
          </w:tcPr>
          <w:p w14:paraId="7C7A972D">
            <w:pPr>
              <w:widowControl w:val="0"/>
              <w:spacing w:line="440" w:lineRule="exact"/>
              <w:jc w:val="center"/>
              <w:rPr>
                <w:sz w:val="21"/>
                <w:szCs w:val="21"/>
              </w:rPr>
            </w:pPr>
            <w:r>
              <w:rPr>
                <w:rFonts w:hint="eastAsia"/>
                <w:sz w:val="21"/>
                <w:szCs w:val="21"/>
              </w:rPr>
              <w:t>100%</w:t>
            </w:r>
          </w:p>
        </w:tc>
      </w:tr>
      <w:tr w14:paraId="3B64E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shd w:val="clear" w:color="auto" w:fill="auto"/>
          </w:tcPr>
          <w:p w14:paraId="4700FF2D">
            <w:pPr>
              <w:widowControl w:val="0"/>
              <w:spacing w:line="440" w:lineRule="exact"/>
              <w:jc w:val="center"/>
              <w:rPr>
                <w:sz w:val="21"/>
                <w:szCs w:val="21"/>
              </w:rPr>
            </w:pPr>
            <w:r>
              <w:rPr>
                <w:rFonts w:hint="eastAsia"/>
                <w:sz w:val="21"/>
                <w:szCs w:val="21"/>
              </w:rPr>
              <w:t>有害垃圾</w:t>
            </w:r>
          </w:p>
        </w:tc>
        <w:tc>
          <w:tcPr>
            <w:tcW w:w="1559" w:type="dxa"/>
            <w:shd w:val="clear" w:color="auto" w:fill="auto"/>
          </w:tcPr>
          <w:p w14:paraId="0C4A3605">
            <w:pPr>
              <w:widowControl w:val="0"/>
              <w:spacing w:line="440" w:lineRule="exact"/>
              <w:jc w:val="center"/>
              <w:rPr>
                <w:sz w:val="21"/>
                <w:szCs w:val="21"/>
              </w:rPr>
            </w:pPr>
            <w:r>
              <w:rPr>
                <w:rFonts w:hint="eastAsia"/>
                <w:sz w:val="21"/>
                <w:szCs w:val="21"/>
              </w:rPr>
              <w:t>电池</w:t>
            </w:r>
          </w:p>
        </w:tc>
        <w:tc>
          <w:tcPr>
            <w:tcW w:w="1418" w:type="dxa"/>
            <w:shd w:val="clear" w:color="auto" w:fill="auto"/>
          </w:tcPr>
          <w:p w14:paraId="16071B09">
            <w:pPr>
              <w:widowControl w:val="0"/>
              <w:spacing w:line="440" w:lineRule="exact"/>
              <w:jc w:val="center"/>
              <w:rPr>
                <w:sz w:val="21"/>
                <w:szCs w:val="21"/>
              </w:rPr>
            </w:pPr>
            <w:r>
              <w:rPr>
                <w:rFonts w:hint="eastAsia"/>
                <w:sz w:val="21"/>
                <w:szCs w:val="21"/>
              </w:rPr>
              <w:t>20</w:t>
            </w:r>
          </w:p>
        </w:tc>
        <w:tc>
          <w:tcPr>
            <w:tcW w:w="1984" w:type="dxa"/>
            <w:shd w:val="clear" w:color="auto" w:fill="auto"/>
          </w:tcPr>
          <w:p w14:paraId="29A4EB1B">
            <w:pPr>
              <w:widowControl w:val="0"/>
              <w:spacing w:line="440" w:lineRule="exact"/>
              <w:jc w:val="center"/>
              <w:rPr>
                <w:sz w:val="21"/>
                <w:szCs w:val="21"/>
              </w:rPr>
            </w:pPr>
            <w:r>
              <w:rPr>
                <w:rFonts w:hint="eastAsia"/>
                <w:sz w:val="21"/>
                <w:szCs w:val="21"/>
              </w:rPr>
              <w:t>19</w:t>
            </w:r>
          </w:p>
        </w:tc>
        <w:tc>
          <w:tcPr>
            <w:tcW w:w="1667" w:type="dxa"/>
            <w:shd w:val="clear" w:color="auto" w:fill="auto"/>
          </w:tcPr>
          <w:p w14:paraId="36DC458C">
            <w:pPr>
              <w:widowControl w:val="0"/>
              <w:spacing w:line="440" w:lineRule="exact"/>
              <w:jc w:val="center"/>
              <w:rPr>
                <w:sz w:val="21"/>
                <w:szCs w:val="21"/>
              </w:rPr>
            </w:pPr>
            <w:r>
              <w:rPr>
                <w:rFonts w:hint="eastAsia"/>
                <w:sz w:val="21"/>
                <w:szCs w:val="21"/>
              </w:rPr>
              <w:t>95%</w:t>
            </w:r>
          </w:p>
        </w:tc>
      </w:tr>
      <w:tr w14:paraId="445F9C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vMerge w:val="restart"/>
            <w:shd w:val="clear" w:color="auto" w:fill="auto"/>
          </w:tcPr>
          <w:p w14:paraId="289BF7E6">
            <w:pPr>
              <w:widowControl w:val="0"/>
              <w:spacing w:line="440" w:lineRule="exact"/>
              <w:jc w:val="center"/>
              <w:rPr>
                <w:sz w:val="21"/>
                <w:szCs w:val="21"/>
              </w:rPr>
            </w:pPr>
            <w:r>
              <w:rPr>
                <w:rFonts w:hint="eastAsia"/>
                <w:sz w:val="21"/>
                <w:szCs w:val="21"/>
              </w:rPr>
              <w:t>其他垃圾</w:t>
            </w:r>
          </w:p>
        </w:tc>
        <w:tc>
          <w:tcPr>
            <w:tcW w:w="1559" w:type="dxa"/>
            <w:shd w:val="clear" w:color="auto" w:fill="auto"/>
          </w:tcPr>
          <w:p w14:paraId="02820548">
            <w:pPr>
              <w:widowControl w:val="0"/>
              <w:spacing w:line="440" w:lineRule="exact"/>
              <w:jc w:val="center"/>
              <w:rPr>
                <w:sz w:val="21"/>
                <w:szCs w:val="21"/>
              </w:rPr>
            </w:pPr>
            <w:r>
              <w:rPr>
                <w:rFonts w:hint="eastAsia"/>
                <w:sz w:val="21"/>
                <w:szCs w:val="21"/>
              </w:rPr>
              <w:t>尘土</w:t>
            </w:r>
          </w:p>
        </w:tc>
        <w:tc>
          <w:tcPr>
            <w:tcW w:w="1418" w:type="dxa"/>
            <w:shd w:val="clear" w:color="auto" w:fill="auto"/>
          </w:tcPr>
          <w:p w14:paraId="51113CA6">
            <w:pPr>
              <w:widowControl w:val="0"/>
              <w:spacing w:line="440" w:lineRule="exact"/>
              <w:jc w:val="center"/>
              <w:rPr>
                <w:sz w:val="21"/>
                <w:szCs w:val="21"/>
              </w:rPr>
            </w:pPr>
            <w:r>
              <w:rPr>
                <w:rFonts w:hint="eastAsia"/>
                <w:sz w:val="21"/>
                <w:szCs w:val="21"/>
              </w:rPr>
              <w:t>20</w:t>
            </w:r>
          </w:p>
        </w:tc>
        <w:tc>
          <w:tcPr>
            <w:tcW w:w="1984" w:type="dxa"/>
            <w:shd w:val="clear" w:color="auto" w:fill="auto"/>
          </w:tcPr>
          <w:p w14:paraId="1D508D91">
            <w:pPr>
              <w:widowControl w:val="0"/>
              <w:spacing w:line="440" w:lineRule="exact"/>
              <w:jc w:val="center"/>
              <w:rPr>
                <w:sz w:val="21"/>
                <w:szCs w:val="21"/>
              </w:rPr>
            </w:pPr>
            <w:r>
              <w:rPr>
                <w:rFonts w:hint="eastAsia"/>
                <w:sz w:val="21"/>
                <w:szCs w:val="21"/>
              </w:rPr>
              <w:t>19</w:t>
            </w:r>
          </w:p>
        </w:tc>
        <w:tc>
          <w:tcPr>
            <w:tcW w:w="1667" w:type="dxa"/>
            <w:shd w:val="clear" w:color="auto" w:fill="auto"/>
          </w:tcPr>
          <w:p w14:paraId="3653B550">
            <w:pPr>
              <w:widowControl w:val="0"/>
              <w:spacing w:line="440" w:lineRule="exact"/>
              <w:jc w:val="center"/>
              <w:rPr>
                <w:sz w:val="21"/>
                <w:szCs w:val="21"/>
              </w:rPr>
            </w:pPr>
            <w:r>
              <w:rPr>
                <w:rFonts w:hint="eastAsia"/>
                <w:sz w:val="21"/>
                <w:szCs w:val="21"/>
              </w:rPr>
              <w:t>95%</w:t>
            </w:r>
          </w:p>
        </w:tc>
      </w:tr>
      <w:tr w14:paraId="5C7497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dxa"/>
            <w:vMerge w:val="continue"/>
            <w:tcBorders>
              <w:bottom w:val="single" w:color="auto" w:sz="12" w:space="0"/>
            </w:tcBorders>
            <w:shd w:val="clear" w:color="auto" w:fill="auto"/>
          </w:tcPr>
          <w:p w14:paraId="22FFC2D5">
            <w:pPr>
              <w:widowControl w:val="0"/>
              <w:spacing w:line="440" w:lineRule="exact"/>
              <w:jc w:val="center"/>
              <w:rPr>
                <w:sz w:val="21"/>
                <w:szCs w:val="21"/>
              </w:rPr>
            </w:pPr>
          </w:p>
        </w:tc>
        <w:tc>
          <w:tcPr>
            <w:tcW w:w="1559" w:type="dxa"/>
            <w:tcBorders>
              <w:bottom w:val="single" w:color="auto" w:sz="12" w:space="0"/>
            </w:tcBorders>
            <w:shd w:val="clear" w:color="auto" w:fill="auto"/>
          </w:tcPr>
          <w:p w14:paraId="48E22DAF">
            <w:pPr>
              <w:widowControl w:val="0"/>
              <w:spacing w:line="440" w:lineRule="exact"/>
              <w:jc w:val="center"/>
              <w:rPr>
                <w:sz w:val="21"/>
                <w:szCs w:val="21"/>
              </w:rPr>
            </w:pPr>
            <w:r>
              <w:rPr>
                <w:rFonts w:hint="eastAsia"/>
                <w:sz w:val="21"/>
                <w:szCs w:val="21"/>
              </w:rPr>
              <w:t>餐巾纸</w:t>
            </w:r>
          </w:p>
        </w:tc>
        <w:tc>
          <w:tcPr>
            <w:tcW w:w="1418" w:type="dxa"/>
            <w:tcBorders>
              <w:bottom w:val="single" w:color="auto" w:sz="12" w:space="0"/>
            </w:tcBorders>
            <w:shd w:val="clear" w:color="auto" w:fill="auto"/>
          </w:tcPr>
          <w:p w14:paraId="27FF7748">
            <w:pPr>
              <w:widowControl w:val="0"/>
              <w:spacing w:line="440" w:lineRule="exact"/>
              <w:jc w:val="center"/>
              <w:rPr>
                <w:sz w:val="21"/>
                <w:szCs w:val="21"/>
              </w:rPr>
            </w:pPr>
            <w:r>
              <w:rPr>
                <w:rFonts w:hint="eastAsia"/>
                <w:sz w:val="21"/>
                <w:szCs w:val="21"/>
              </w:rPr>
              <w:t>20</w:t>
            </w:r>
          </w:p>
        </w:tc>
        <w:tc>
          <w:tcPr>
            <w:tcW w:w="1984" w:type="dxa"/>
            <w:tcBorders>
              <w:bottom w:val="single" w:color="auto" w:sz="12" w:space="0"/>
            </w:tcBorders>
            <w:shd w:val="clear" w:color="auto" w:fill="auto"/>
          </w:tcPr>
          <w:p w14:paraId="0E8FBD6E">
            <w:pPr>
              <w:widowControl w:val="0"/>
              <w:spacing w:line="440" w:lineRule="exact"/>
              <w:jc w:val="center"/>
              <w:rPr>
                <w:sz w:val="21"/>
                <w:szCs w:val="21"/>
              </w:rPr>
            </w:pPr>
            <w:r>
              <w:rPr>
                <w:rFonts w:hint="eastAsia"/>
                <w:sz w:val="21"/>
                <w:szCs w:val="21"/>
              </w:rPr>
              <w:t>16</w:t>
            </w:r>
          </w:p>
        </w:tc>
        <w:tc>
          <w:tcPr>
            <w:tcW w:w="1667" w:type="dxa"/>
            <w:tcBorders>
              <w:bottom w:val="single" w:color="auto" w:sz="12" w:space="0"/>
            </w:tcBorders>
            <w:shd w:val="clear" w:color="auto" w:fill="auto"/>
          </w:tcPr>
          <w:p w14:paraId="3B62E83F">
            <w:pPr>
              <w:widowControl w:val="0"/>
              <w:spacing w:line="440" w:lineRule="exact"/>
              <w:jc w:val="center"/>
              <w:rPr>
                <w:sz w:val="21"/>
                <w:szCs w:val="21"/>
              </w:rPr>
            </w:pPr>
            <w:r>
              <w:rPr>
                <w:rFonts w:hint="eastAsia"/>
                <w:sz w:val="21"/>
                <w:szCs w:val="21"/>
              </w:rPr>
              <w:t>80%</w:t>
            </w:r>
          </w:p>
        </w:tc>
      </w:tr>
    </w:tbl>
    <w:p w14:paraId="7FD473BD">
      <w:pPr>
        <w:ind w:firstLine="480" w:firstLineChars="200"/>
      </w:pPr>
    </w:p>
    <w:p w14:paraId="14691093">
      <w:pPr>
        <w:spacing w:line="440" w:lineRule="exact"/>
        <w:ind w:firstLine="480" w:firstLineChars="200"/>
      </w:pPr>
      <w:r>
        <w:rPr>
          <w:rFonts w:hint="eastAsia"/>
        </w:rPr>
        <w:t>从以上结果可以观察出：“果皮”的识别准确率可达100%，而“餐巾纸”、“易拉罐”的识别准确率只有80%，整体数据的识别准确率处在90%-95%这个范围，识别准确率的结果在预估值范围内。</w:t>
      </w:r>
    </w:p>
    <w:p w14:paraId="1DAD9512">
      <w:pPr>
        <w:spacing w:line="440" w:lineRule="exact"/>
        <w:ind w:firstLine="480" w:firstLineChars="200"/>
      </w:pPr>
      <w:r>
        <w:rPr>
          <w:rFonts w:hint="eastAsia"/>
        </w:rPr>
        <w:t>结合深度学习技术和高噪声环境因素综合分析以上对“餐巾纸”、“易拉罐”指令识别准确率低的原因：可能是由于资源受限或无法使用多通道麦克风阵列的原因，因为本人在训练“餐巾纸”这个指令时是处于室外环境，噪声的干扰因素过大，并且由于ASRPRO01这个芯片是使用的单通道SE处理，所以就会导致前端的非线性处理引起的处理失真，造成“伪影误差”。</w:t>
      </w:r>
    </w:p>
    <w:p w14:paraId="273C99D3">
      <w:pPr>
        <w:spacing w:line="440" w:lineRule="exact"/>
        <w:ind w:firstLine="480" w:firstLineChars="200"/>
      </w:pPr>
      <w:r>
        <w:rPr>
          <w:rFonts w:hint="eastAsia"/>
        </w:rPr>
        <w:t>语音识别硬件测试图如图6.2所示：</w:t>
      </w:r>
    </w:p>
    <w:p w14:paraId="5AE5F5AA">
      <w:pPr>
        <w:ind w:firstLine="480" w:firstLineChars="200"/>
      </w:pPr>
    </w:p>
    <w:p w14:paraId="430E5592">
      <w:pPr>
        <w:spacing w:line="440" w:lineRule="atLeast"/>
        <w:jc w:val="center"/>
      </w:pPr>
      <w:r>
        <w:drawing>
          <wp:inline distT="0" distB="0" distL="0" distR="0">
            <wp:extent cx="4028440" cy="2232660"/>
            <wp:effectExtent l="0" t="0" r="0" b="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4028440" cy="2232660"/>
                    </a:xfrm>
                    <a:prstGeom prst="rect">
                      <a:avLst/>
                    </a:prstGeom>
                    <a:noFill/>
                    <a:ln>
                      <a:noFill/>
                    </a:ln>
                  </pic:spPr>
                </pic:pic>
              </a:graphicData>
            </a:graphic>
          </wp:inline>
        </w:drawing>
      </w:r>
    </w:p>
    <w:p w14:paraId="01F8136F">
      <w:pPr>
        <w:jc w:val="center"/>
        <w:rPr>
          <w:sz w:val="21"/>
          <w:szCs w:val="21"/>
        </w:rPr>
      </w:pPr>
    </w:p>
    <w:p w14:paraId="17F5A193">
      <w:pPr>
        <w:jc w:val="center"/>
        <w:rPr>
          <w:sz w:val="21"/>
          <w:szCs w:val="21"/>
        </w:rPr>
      </w:pPr>
      <w:r>
        <w:rPr>
          <w:rFonts w:hint="eastAsia"/>
          <w:sz w:val="21"/>
          <w:szCs w:val="21"/>
        </w:rPr>
        <w:t>图6.2  语音控制测试</w:t>
      </w:r>
    </w:p>
    <w:p w14:paraId="45444E95">
      <w:pPr>
        <w:spacing w:line="440" w:lineRule="exact"/>
      </w:pPr>
    </w:p>
    <w:p w14:paraId="68877D39">
      <w:pPr>
        <w:spacing w:line="440" w:lineRule="exact"/>
        <w:ind w:firstLine="480" w:firstLineChars="200"/>
      </w:pPr>
      <w:r>
        <w:rPr>
          <w:rFonts w:hint="eastAsia"/>
        </w:rPr>
        <w:t>了解到造成指令识别准确率低的缘由后，排除环境噪音强干扰，在室内相对安静的环境下重新导入语音信号，对这两个指令进行训练并测试，得到了以下的数据表格：</w:t>
      </w:r>
    </w:p>
    <w:p w14:paraId="7DF0086E">
      <w:pPr>
        <w:spacing w:line="440" w:lineRule="exact"/>
      </w:pPr>
    </w:p>
    <w:p w14:paraId="7C805D31">
      <w:pPr>
        <w:spacing w:line="440" w:lineRule="exact"/>
        <w:jc w:val="center"/>
        <w:rPr>
          <w:sz w:val="21"/>
          <w:szCs w:val="21"/>
        </w:rPr>
      </w:pPr>
      <w:r>
        <w:rPr>
          <w:rFonts w:hint="eastAsia"/>
          <w:sz w:val="21"/>
          <w:szCs w:val="21"/>
        </w:rPr>
        <w:t>表6.2  部分指令重测试表</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559"/>
        <w:gridCol w:w="1559"/>
        <w:gridCol w:w="1843"/>
        <w:gridCol w:w="1984"/>
      </w:tblGrid>
      <w:tr w14:paraId="08747F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single" w:color="auto" w:sz="12" w:space="0"/>
              <w:bottom w:val="single" w:color="auto" w:sz="4" w:space="0"/>
            </w:tcBorders>
            <w:shd w:val="clear" w:color="auto" w:fill="auto"/>
          </w:tcPr>
          <w:p w14:paraId="63841D1B">
            <w:pPr>
              <w:widowControl w:val="0"/>
              <w:spacing w:line="440" w:lineRule="exact"/>
              <w:jc w:val="center"/>
              <w:rPr>
                <w:sz w:val="21"/>
                <w:szCs w:val="21"/>
              </w:rPr>
            </w:pPr>
            <w:r>
              <w:rPr>
                <w:rFonts w:hint="eastAsia"/>
                <w:sz w:val="21"/>
                <w:szCs w:val="21"/>
              </w:rPr>
              <w:t>指令名称</w:t>
            </w:r>
          </w:p>
        </w:tc>
        <w:tc>
          <w:tcPr>
            <w:tcW w:w="1559" w:type="dxa"/>
            <w:tcBorders>
              <w:top w:val="single" w:color="auto" w:sz="12" w:space="0"/>
              <w:bottom w:val="single" w:color="auto" w:sz="4" w:space="0"/>
            </w:tcBorders>
            <w:shd w:val="clear" w:color="auto" w:fill="auto"/>
          </w:tcPr>
          <w:p w14:paraId="5E5D7BD5">
            <w:pPr>
              <w:widowControl w:val="0"/>
              <w:spacing w:line="440" w:lineRule="exact"/>
              <w:jc w:val="center"/>
              <w:rPr>
                <w:sz w:val="21"/>
                <w:szCs w:val="21"/>
              </w:rPr>
            </w:pPr>
            <w:r>
              <w:rPr>
                <w:rFonts w:hint="eastAsia"/>
                <w:sz w:val="21"/>
                <w:szCs w:val="21"/>
              </w:rPr>
              <w:t>呼叫次数</w:t>
            </w:r>
          </w:p>
        </w:tc>
        <w:tc>
          <w:tcPr>
            <w:tcW w:w="1559" w:type="dxa"/>
            <w:tcBorders>
              <w:top w:val="single" w:color="auto" w:sz="12" w:space="0"/>
              <w:bottom w:val="single" w:color="auto" w:sz="4" w:space="0"/>
            </w:tcBorders>
            <w:shd w:val="clear" w:color="auto" w:fill="auto"/>
          </w:tcPr>
          <w:p w14:paraId="43649137">
            <w:pPr>
              <w:widowControl w:val="0"/>
              <w:spacing w:line="440" w:lineRule="exact"/>
              <w:jc w:val="center"/>
              <w:rPr>
                <w:sz w:val="21"/>
                <w:szCs w:val="21"/>
              </w:rPr>
            </w:pPr>
            <w:r>
              <w:rPr>
                <w:rFonts w:hint="eastAsia"/>
                <w:sz w:val="21"/>
                <w:szCs w:val="21"/>
              </w:rPr>
              <w:t>识别次数</w:t>
            </w:r>
          </w:p>
        </w:tc>
        <w:tc>
          <w:tcPr>
            <w:tcW w:w="1843" w:type="dxa"/>
            <w:tcBorders>
              <w:top w:val="single" w:color="auto" w:sz="12" w:space="0"/>
              <w:bottom w:val="single" w:color="auto" w:sz="4" w:space="0"/>
            </w:tcBorders>
            <w:shd w:val="clear" w:color="auto" w:fill="auto"/>
          </w:tcPr>
          <w:p w14:paraId="0423C7F8">
            <w:pPr>
              <w:widowControl w:val="0"/>
              <w:spacing w:line="440" w:lineRule="exact"/>
              <w:jc w:val="center"/>
              <w:rPr>
                <w:sz w:val="21"/>
                <w:szCs w:val="21"/>
              </w:rPr>
            </w:pPr>
            <w:r>
              <w:rPr>
                <w:rFonts w:hint="eastAsia"/>
                <w:sz w:val="21"/>
                <w:szCs w:val="21"/>
              </w:rPr>
              <w:t>准确率（%）</w:t>
            </w:r>
          </w:p>
        </w:tc>
        <w:tc>
          <w:tcPr>
            <w:tcW w:w="1984" w:type="dxa"/>
            <w:tcBorders>
              <w:top w:val="single" w:color="auto" w:sz="12" w:space="0"/>
              <w:bottom w:val="single" w:color="auto" w:sz="4" w:space="0"/>
            </w:tcBorders>
            <w:shd w:val="clear" w:color="auto" w:fill="auto"/>
          </w:tcPr>
          <w:p w14:paraId="6BBB3887">
            <w:pPr>
              <w:widowControl w:val="0"/>
              <w:spacing w:line="440" w:lineRule="exact"/>
              <w:jc w:val="center"/>
              <w:rPr>
                <w:sz w:val="21"/>
                <w:szCs w:val="21"/>
              </w:rPr>
            </w:pPr>
            <w:r>
              <w:rPr>
                <w:rFonts w:hint="eastAsia"/>
                <w:sz w:val="21"/>
                <w:szCs w:val="21"/>
              </w:rPr>
              <w:t>准确率提升（%）</w:t>
            </w:r>
          </w:p>
        </w:tc>
      </w:tr>
      <w:tr w14:paraId="5FD953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single" w:color="auto" w:sz="4" w:space="0"/>
            </w:tcBorders>
            <w:shd w:val="clear" w:color="auto" w:fill="auto"/>
          </w:tcPr>
          <w:p w14:paraId="783F4C4A">
            <w:pPr>
              <w:widowControl w:val="0"/>
              <w:spacing w:line="440" w:lineRule="exact"/>
              <w:jc w:val="center"/>
              <w:rPr>
                <w:sz w:val="21"/>
                <w:szCs w:val="21"/>
              </w:rPr>
            </w:pPr>
            <w:r>
              <w:rPr>
                <w:rFonts w:hint="eastAsia"/>
                <w:sz w:val="21"/>
                <w:szCs w:val="21"/>
              </w:rPr>
              <w:t>易拉罐</w:t>
            </w:r>
          </w:p>
        </w:tc>
        <w:tc>
          <w:tcPr>
            <w:tcW w:w="1559" w:type="dxa"/>
            <w:tcBorders>
              <w:top w:val="single" w:color="auto" w:sz="4" w:space="0"/>
            </w:tcBorders>
            <w:shd w:val="clear" w:color="auto" w:fill="auto"/>
          </w:tcPr>
          <w:p w14:paraId="2F5EB183">
            <w:pPr>
              <w:widowControl w:val="0"/>
              <w:spacing w:line="440" w:lineRule="exact"/>
              <w:jc w:val="center"/>
              <w:rPr>
                <w:sz w:val="21"/>
                <w:szCs w:val="21"/>
              </w:rPr>
            </w:pPr>
            <w:r>
              <w:rPr>
                <w:rFonts w:hint="eastAsia"/>
                <w:sz w:val="21"/>
                <w:szCs w:val="21"/>
              </w:rPr>
              <w:t>20</w:t>
            </w:r>
          </w:p>
        </w:tc>
        <w:tc>
          <w:tcPr>
            <w:tcW w:w="1559" w:type="dxa"/>
            <w:tcBorders>
              <w:top w:val="single" w:color="auto" w:sz="4" w:space="0"/>
            </w:tcBorders>
            <w:shd w:val="clear" w:color="auto" w:fill="auto"/>
          </w:tcPr>
          <w:p w14:paraId="5ECCC787">
            <w:pPr>
              <w:widowControl w:val="0"/>
              <w:spacing w:line="440" w:lineRule="exact"/>
              <w:jc w:val="center"/>
              <w:rPr>
                <w:sz w:val="21"/>
                <w:szCs w:val="21"/>
              </w:rPr>
            </w:pPr>
            <w:r>
              <w:rPr>
                <w:rFonts w:hint="eastAsia"/>
                <w:sz w:val="21"/>
                <w:szCs w:val="21"/>
              </w:rPr>
              <w:t>19</w:t>
            </w:r>
          </w:p>
        </w:tc>
        <w:tc>
          <w:tcPr>
            <w:tcW w:w="1843" w:type="dxa"/>
            <w:tcBorders>
              <w:top w:val="single" w:color="auto" w:sz="4" w:space="0"/>
            </w:tcBorders>
            <w:shd w:val="clear" w:color="auto" w:fill="auto"/>
          </w:tcPr>
          <w:p w14:paraId="710F772F">
            <w:pPr>
              <w:widowControl w:val="0"/>
              <w:spacing w:line="440" w:lineRule="exact"/>
              <w:jc w:val="center"/>
              <w:rPr>
                <w:sz w:val="21"/>
                <w:szCs w:val="21"/>
              </w:rPr>
            </w:pPr>
            <w:r>
              <w:rPr>
                <w:rFonts w:hint="eastAsia"/>
                <w:sz w:val="21"/>
                <w:szCs w:val="21"/>
              </w:rPr>
              <w:t>95%</w:t>
            </w:r>
          </w:p>
        </w:tc>
        <w:tc>
          <w:tcPr>
            <w:tcW w:w="1984" w:type="dxa"/>
            <w:tcBorders>
              <w:top w:val="single" w:color="auto" w:sz="4" w:space="0"/>
            </w:tcBorders>
            <w:shd w:val="clear" w:color="auto" w:fill="auto"/>
          </w:tcPr>
          <w:p w14:paraId="795C2A8D">
            <w:pPr>
              <w:widowControl w:val="0"/>
              <w:spacing w:line="440" w:lineRule="exact"/>
              <w:jc w:val="center"/>
              <w:rPr>
                <w:sz w:val="21"/>
                <w:szCs w:val="21"/>
              </w:rPr>
            </w:pPr>
            <w:r>
              <w:rPr>
                <w:rFonts w:hint="eastAsia"/>
                <w:sz w:val="21"/>
                <w:szCs w:val="21"/>
              </w:rPr>
              <w:t>15%</w:t>
            </w:r>
          </w:p>
        </w:tc>
      </w:tr>
      <w:tr w14:paraId="1184EF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bottom w:val="single" w:color="auto" w:sz="12" w:space="0"/>
            </w:tcBorders>
            <w:shd w:val="clear" w:color="auto" w:fill="auto"/>
          </w:tcPr>
          <w:p w14:paraId="2F60FA06">
            <w:pPr>
              <w:widowControl w:val="0"/>
              <w:spacing w:line="440" w:lineRule="exact"/>
              <w:jc w:val="center"/>
              <w:rPr>
                <w:sz w:val="21"/>
                <w:szCs w:val="21"/>
              </w:rPr>
            </w:pPr>
            <w:r>
              <w:rPr>
                <w:rFonts w:hint="eastAsia"/>
                <w:sz w:val="21"/>
                <w:szCs w:val="21"/>
              </w:rPr>
              <w:t>餐巾纸</w:t>
            </w:r>
          </w:p>
        </w:tc>
        <w:tc>
          <w:tcPr>
            <w:tcW w:w="1559" w:type="dxa"/>
            <w:tcBorders>
              <w:bottom w:val="single" w:color="auto" w:sz="12" w:space="0"/>
            </w:tcBorders>
            <w:shd w:val="clear" w:color="auto" w:fill="auto"/>
          </w:tcPr>
          <w:p w14:paraId="366471BA">
            <w:pPr>
              <w:widowControl w:val="0"/>
              <w:spacing w:line="440" w:lineRule="exact"/>
              <w:jc w:val="center"/>
              <w:rPr>
                <w:sz w:val="21"/>
                <w:szCs w:val="21"/>
              </w:rPr>
            </w:pPr>
            <w:r>
              <w:rPr>
                <w:rFonts w:hint="eastAsia"/>
                <w:sz w:val="21"/>
                <w:szCs w:val="21"/>
              </w:rPr>
              <w:t>20</w:t>
            </w:r>
          </w:p>
        </w:tc>
        <w:tc>
          <w:tcPr>
            <w:tcW w:w="1559" w:type="dxa"/>
            <w:tcBorders>
              <w:bottom w:val="single" w:color="auto" w:sz="12" w:space="0"/>
            </w:tcBorders>
            <w:shd w:val="clear" w:color="auto" w:fill="auto"/>
          </w:tcPr>
          <w:p w14:paraId="466BB33A">
            <w:pPr>
              <w:widowControl w:val="0"/>
              <w:spacing w:line="440" w:lineRule="exact"/>
              <w:jc w:val="center"/>
              <w:rPr>
                <w:sz w:val="21"/>
                <w:szCs w:val="21"/>
              </w:rPr>
            </w:pPr>
            <w:r>
              <w:rPr>
                <w:rFonts w:hint="eastAsia"/>
                <w:sz w:val="21"/>
                <w:szCs w:val="21"/>
              </w:rPr>
              <w:t>20</w:t>
            </w:r>
          </w:p>
        </w:tc>
        <w:tc>
          <w:tcPr>
            <w:tcW w:w="1843" w:type="dxa"/>
            <w:tcBorders>
              <w:bottom w:val="single" w:color="auto" w:sz="12" w:space="0"/>
            </w:tcBorders>
            <w:shd w:val="clear" w:color="auto" w:fill="auto"/>
          </w:tcPr>
          <w:p w14:paraId="2CC79CED">
            <w:pPr>
              <w:widowControl w:val="0"/>
              <w:spacing w:line="440" w:lineRule="exact"/>
              <w:jc w:val="center"/>
              <w:rPr>
                <w:sz w:val="21"/>
                <w:szCs w:val="21"/>
              </w:rPr>
            </w:pPr>
            <w:r>
              <w:rPr>
                <w:rFonts w:hint="eastAsia"/>
                <w:sz w:val="21"/>
                <w:szCs w:val="21"/>
              </w:rPr>
              <w:t>100%</w:t>
            </w:r>
          </w:p>
        </w:tc>
        <w:tc>
          <w:tcPr>
            <w:tcW w:w="1984" w:type="dxa"/>
            <w:tcBorders>
              <w:bottom w:val="single" w:color="auto" w:sz="12" w:space="0"/>
            </w:tcBorders>
            <w:shd w:val="clear" w:color="auto" w:fill="auto"/>
          </w:tcPr>
          <w:p w14:paraId="00DBF64F">
            <w:pPr>
              <w:widowControl w:val="0"/>
              <w:spacing w:line="440" w:lineRule="exact"/>
              <w:jc w:val="center"/>
              <w:rPr>
                <w:sz w:val="21"/>
                <w:szCs w:val="21"/>
              </w:rPr>
            </w:pPr>
            <w:r>
              <w:rPr>
                <w:rFonts w:hint="eastAsia"/>
                <w:sz w:val="21"/>
                <w:szCs w:val="21"/>
              </w:rPr>
              <w:t>20%</w:t>
            </w:r>
          </w:p>
        </w:tc>
      </w:tr>
    </w:tbl>
    <w:p w14:paraId="33EE2AF6">
      <w:pPr>
        <w:ind w:firstLine="480" w:firstLineChars="200"/>
      </w:pPr>
    </w:p>
    <w:p w14:paraId="52F2E3AA">
      <w:pPr>
        <w:spacing w:line="440" w:lineRule="exact"/>
        <w:ind w:firstLine="480" w:firstLineChars="200"/>
      </w:pPr>
      <w:r>
        <w:rPr>
          <w:rFonts w:hint="eastAsia"/>
        </w:rPr>
        <w:t>从表6.2的测试数据可以看出，环境强噪音造成的非线性处理失真是出现数据误差的主要原因，排除了这一原因后测试数据有了明显提升。</w:t>
      </w:r>
    </w:p>
    <w:p w14:paraId="4B14CD1B">
      <w:pPr>
        <w:pStyle w:val="3"/>
        <w:spacing w:before="120"/>
      </w:pPr>
      <w:bookmarkStart w:id="95" w:name="_Toc198563288"/>
      <w:r>
        <w:rPr>
          <w:rFonts w:hint="eastAsia"/>
        </w:rPr>
        <w:t>6.3 按键控制功能测试</w:t>
      </w:r>
      <w:bookmarkEnd w:id="95"/>
    </w:p>
    <w:p w14:paraId="780D6CF5">
      <w:pPr>
        <w:spacing w:line="440" w:lineRule="exact"/>
        <w:ind w:firstLine="480" w:firstLineChars="200"/>
      </w:pPr>
      <w:r>
        <w:rPr>
          <w:rFonts w:hint="eastAsia"/>
        </w:rPr>
        <w:t>这部分是通过按键来控制舵机的转动，进而控制垃圾桶盖的开关，四个按键分别控制四种垃圾类别（从右往左依次为可回收垃圾、厨余垃圾、有害垃圾、其他垃圾）：</w:t>
      </w:r>
    </w:p>
    <w:p w14:paraId="3619DF47">
      <w:pPr>
        <w:ind w:firstLine="480" w:firstLineChars="200"/>
      </w:pPr>
    </w:p>
    <w:p w14:paraId="19976C67">
      <w:pPr>
        <w:spacing w:line="440" w:lineRule="atLeast"/>
        <w:jc w:val="center"/>
      </w:pPr>
      <w:r>
        <w:drawing>
          <wp:inline distT="0" distB="0" distL="0" distR="0">
            <wp:extent cx="4168140" cy="2627630"/>
            <wp:effectExtent l="0" t="0" r="0" b="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4168140" cy="2627630"/>
                    </a:xfrm>
                    <a:prstGeom prst="rect">
                      <a:avLst/>
                    </a:prstGeom>
                    <a:noFill/>
                    <a:ln>
                      <a:noFill/>
                    </a:ln>
                  </pic:spPr>
                </pic:pic>
              </a:graphicData>
            </a:graphic>
          </wp:inline>
        </w:drawing>
      </w:r>
    </w:p>
    <w:p w14:paraId="780909A3">
      <w:pPr>
        <w:jc w:val="center"/>
        <w:rPr>
          <w:sz w:val="21"/>
          <w:szCs w:val="21"/>
        </w:rPr>
      </w:pPr>
    </w:p>
    <w:p w14:paraId="61267B71">
      <w:pPr>
        <w:jc w:val="center"/>
        <w:rPr>
          <w:sz w:val="21"/>
          <w:szCs w:val="21"/>
        </w:rPr>
      </w:pPr>
      <w:r>
        <w:rPr>
          <w:rFonts w:hint="eastAsia"/>
          <w:sz w:val="21"/>
          <w:szCs w:val="21"/>
        </w:rPr>
        <w:t>图6.3  按键控制模块测试</w:t>
      </w:r>
    </w:p>
    <w:p w14:paraId="1C5A7798">
      <w:pPr>
        <w:ind w:firstLine="480" w:firstLineChars="200"/>
      </w:pPr>
    </w:p>
    <w:p w14:paraId="55AAB804">
      <w:pPr>
        <w:pStyle w:val="3"/>
        <w:spacing w:before="120"/>
      </w:pPr>
      <w:bookmarkStart w:id="96" w:name="_Toc198563289"/>
      <w:r>
        <w:rPr>
          <w:rFonts w:hint="eastAsia"/>
        </w:rPr>
        <w:t>6.4 红外报警功能测试</w:t>
      </w:r>
      <w:bookmarkEnd w:id="96"/>
    </w:p>
    <w:p w14:paraId="0556723F">
      <w:pPr>
        <w:spacing w:line="440" w:lineRule="exact"/>
        <w:ind w:firstLine="480" w:firstLineChars="200"/>
      </w:pPr>
      <w:r>
        <w:rPr>
          <w:rFonts w:hint="eastAsia"/>
        </w:rPr>
        <w:t>当垃圾桶内的东西达到溢满检测处（即垃圾桶盖）时，蜂鸣器会发出警报，并且APP里的对应垃圾桶会由蓝变红：</w:t>
      </w:r>
    </w:p>
    <w:p w14:paraId="016451EE">
      <w:pPr>
        <w:spacing w:line="440" w:lineRule="exact"/>
        <w:ind w:firstLine="480" w:firstLineChars="200"/>
      </w:pPr>
    </w:p>
    <w:p w14:paraId="60698E5C">
      <w:pPr>
        <w:spacing w:line="440" w:lineRule="atLeast"/>
        <w:jc w:val="center"/>
      </w:pPr>
      <w:r>
        <w:drawing>
          <wp:inline distT="0" distB="0" distL="0" distR="0">
            <wp:extent cx="4020185" cy="2289810"/>
            <wp:effectExtent l="0" t="0" r="0" b="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4020185" cy="2289810"/>
                    </a:xfrm>
                    <a:prstGeom prst="rect">
                      <a:avLst/>
                    </a:prstGeom>
                    <a:noFill/>
                    <a:ln>
                      <a:noFill/>
                    </a:ln>
                  </pic:spPr>
                </pic:pic>
              </a:graphicData>
            </a:graphic>
          </wp:inline>
        </w:drawing>
      </w:r>
    </w:p>
    <w:p w14:paraId="40E59C24">
      <w:pPr>
        <w:jc w:val="center"/>
        <w:rPr>
          <w:sz w:val="21"/>
          <w:szCs w:val="21"/>
        </w:rPr>
      </w:pPr>
    </w:p>
    <w:p w14:paraId="4C875775">
      <w:pPr>
        <w:jc w:val="center"/>
        <w:rPr>
          <w:sz w:val="21"/>
          <w:szCs w:val="21"/>
        </w:rPr>
      </w:pPr>
      <w:r>
        <w:rPr>
          <w:rFonts w:hint="eastAsia"/>
          <w:sz w:val="21"/>
          <w:szCs w:val="21"/>
        </w:rPr>
        <w:t>图6.4  蜂鸣器报警与APP显示测试</w:t>
      </w:r>
    </w:p>
    <w:p w14:paraId="7F32FCE4">
      <w:pPr>
        <w:ind w:firstLine="480" w:firstLineChars="200"/>
      </w:pPr>
    </w:p>
    <w:p w14:paraId="621CAB6A">
      <w:pPr>
        <w:spacing w:line="440" w:lineRule="exact"/>
        <w:ind w:firstLine="480" w:firstLineChars="200"/>
      </w:pPr>
      <w:r>
        <w:rPr>
          <w:rFonts w:hint="eastAsia"/>
        </w:rPr>
        <w:t>从以上6.4图可以看出，当其他垃圾桶内垃圾装满时，蜂鸣器会发出警报，手机APP里会将装满垃圾的垃圾桶表示出来，垃圾桶的状态由初始的蓝色（垃圾未装满）变为红色（垃圾溢满），并且显示垃圾已经装满的垃圾桶，这样APP端的工作人员就可以及时做出处理。</w:t>
      </w:r>
    </w:p>
    <w:p w14:paraId="00E8F3A1">
      <w:pPr>
        <w:spacing w:line="440" w:lineRule="exact"/>
        <w:ind w:firstLine="480" w:firstLineChars="200"/>
      </w:pPr>
      <w:r>
        <w:rPr>
          <w:rFonts w:hint="eastAsia"/>
        </w:rPr>
        <w:t>根据红外检测处的物品不同，得到了以下红外检测报警的统计表：</w:t>
      </w:r>
    </w:p>
    <w:p w14:paraId="03D70D1B">
      <w:pPr>
        <w:ind w:firstLine="480" w:firstLineChars="200"/>
      </w:pPr>
    </w:p>
    <w:p w14:paraId="6C1E7F54">
      <w:pPr>
        <w:spacing w:line="440" w:lineRule="exact"/>
        <w:jc w:val="center"/>
        <w:rPr>
          <w:sz w:val="21"/>
          <w:szCs w:val="21"/>
        </w:rPr>
      </w:pPr>
      <w:r>
        <w:rPr>
          <w:rFonts w:hint="eastAsia"/>
          <w:sz w:val="21"/>
          <w:szCs w:val="21"/>
        </w:rPr>
        <w:t>表6.3  红外检测与报警测试表</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9"/>
        <w:gridCol w:w="2293"/>
        <w:gridCol w:w="2293"/>
        <w:gridCol w:w="1734"/>
      </w:tblGrid>
      <w:tr w14:paraId="08206C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tcBorders>
              <w:top w:val="single" w:color="auto" w:sz="12" w:space="0"/>
              <w:bottom w:val="single" w:color="auto" w:sz="4" w:space="0"/>
            </w:tcBorders>
            <w:shd w:val="clear" w:color="auto" w:fill="auto"/>
          </w:tcPr>
          <w:p w14:paraId="69079988">
            <w:pPr>
              <w:widowControl w:val="0"/>
              <w:spacing w:line="440" w:lineRule="exact"/>
              <w:jc w:val="center"/>
              <w:rPr>
                <w:sz w:val="21"/>
                <w:szCs w:val="21"/>
              </w:rPr>
            </w:pPr>
            <w:r>
              <w:rPr>
                <w:rFonts w:hint="eastAsia"/>
                <w:sz w:val="21"/>
                <w:szCs w:val="21"/>
              </w:rPr>
              <w:t>物品名称</w:t>
            </w:r>
          </w:p>
        </w:tc>
        <w:tc>
          <w:tcPr>
            <w:tcW w:w="2293" w:type="dxa"/>
            <w:tcBorders>
              <w:top w:val="single" w:color="auto" w:sz="12" w:space="0"/>
              <w:bottom w:val="single" w:color="auto" w:sz="4" w:space="0"/>
            </w:tcBorders>
            <w:shd w:val="clear" w:color="auto" w:fill="auto"/>
          </w:tcPr>
          <w:p w14:paraId="6399D317">
            <w:pPr>
              <w:widowControl w:val="0"/>
              <w:spacing w:line="440" w:lineRule="exact"/>
              <w:jc w:val="center"/>
              <w:rPr>
                <w:sz w:val="21"/>
                <w:szCs w:val="21"/>
              </w:rPr>
            </w:pPr>
            <w:r>
              <w:rPr>
                <w:rFonts w:hint="eastAsia"/>
                <w:sz w:val="21"/>
                <w:szCs w:val="21"/>
              </w:rPr>
              <w:t>检测次数</w:t>
            </w:r>
          </w:p>
        </w:tc>
        <w:tc>
          <w:tcPr>
            <w:tcW w:w="2293" w:type="dxa"/>
            <w:tcBorders>
              <w:top w:val="single" w:color="auto" w:sz="12" w:space="0"/>
              <w:bottom w:val="single" w:color="auto" w:sz="4" w:space="0"/>
            </w:tcBorders>
            <w:shd w:val="clear" w:color="auto" w:fill="auto"/>
          </w:tcPr>
          <w:p w14:paraId="1F440DA6">
            <w:pPr>
              <w:widowControl w:val="0"/>
              <w:spacing w:line="440" w:lineRule="exact"/>
              <w:jc w:val="center"/>
              <w:rPr>
                <w:sz w:val="21"/>
                <w:szCs w:val="21"/>
              </w:rPr>
            </w:pPr>
            <w:r>
              <w:rPr>
                <w:rFonts w:hint="eastAsia"/>
                <w:sz w:val="21"/>
                <w:szCs w:val="21"/>
              </w:rPr>
              <w:t>正确报警次数</w:t>
            </w:r>
          </w:p>
        </w:tc>
        <w:tc>
          <w:tcPr>
            <w:tcW w:w="1734" w:type="dxa"/>
            <w:tcBorders>
              <w:top w:val="single" w:color="auto" w:sz="12" w:space="0"/>
              <w:bottom w:val="single" w:color="auto" w:sz="4" w:space="0"/>
            </w:tcBorders>
            <w:shd w:val="clear" w:color="auto" w:fill="auto"/>
          </w:tcPr>
          <w:p w14:paraId="10CC4930">
            <w:pPr>
              <w:widowControl w:val="0"/>
              <w:spacing w:line="440" w:lineRule="exact"/>
              <w:jc w:val="center"/>
              <w:rPr>
                <w:sz w:val="21"/>
                <w:szCs w:val="21"/>
              </w:rPr>
            </w:pPr>
            <w:r>
              <w:rPr>
                <w:rFonts w:hint="eastAsia"/>
                <w:sz w:val="21"/>
                <w:szCs w:val="21"/>
              </w:rPr>
              <w:t>实现百分比</w:t>
            </w:r>
          </w:p>
        </w:tc>
      </w:tr>
      <w:tr w14:paraId="7E2D00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tcBorders>
              <w:top w:val="single" w:color="auto" w:sz="4" w:space="0"/>
            </w:tcBorders>
            <w:shd w:val="clear" w:color="auto" w:fill="auto"/>
          </w:tcPr>
          <w:p w14:paraId="5EF0A327">
            <w:pPr>
              <w:widowControl w:val="0"/>
              <w:spacing w:line="440" w:lineRule="exact"/>
              <w:jc w:val="center"/>
              <w:rPr>
                <w:sz w:val="21"/>
                <w:szCs w:val="21"/>
              </w:rPr>
            </w:pPr>
            <w:r>
              <w:rPr>
                <w:rFonts w:hint="eastAsia"/>
                <w:sz w:val="21"/>
                <w:szCs w:val="21"/>
              </w:rPr>
              <w:t>米粒</w:t>
            </w:r>
          </w:p>
        </w:tc>
        <w:tc>
          <w:tcPr>
            <w:tcW w:w="2293" w:type="dxa"/>
            <w:tcBorders>
              <w:top w:val="single" w:color="auto" w:sz="4" w:space="0"/>
            </w:tcBorders>
            <w:shd w:val="clear" w:color="auto" w:fill="auto"/>
          </w:tcPr>
          <w:p w14:paraId="50AFF1C6">
            <w:pPr>
              <w:widowControl w:val="0"/>
              <w:spacing w:line="440" w:lineRule="exact"/>
              <w:jc w:val="center"/>
              <w:rPr>
                <w:sz w:val="21"/>
                <w:szCs w:val="21"/>
              </w:rPr>
            </w:pPr>
            <w:r>
              <w:rPr>
                <w:rFonts w:hint="eastAsia"/>
                <w:sz w:val="21"/>
                <w:szCs w:val="21"/>
              </w:rPr>
              <w:t>20</w:t>
            </w:r>
          </w:p>
        </w:tc>
        <w:tc>
          <w:tcPr>
            <w:tcW w:w="2293" w:type="dxa"/>
            <w:tcBorders>
              <w:top w:val="single" w:color="auto" w:sz="4" w:space="0"/>
            </w:tcBorders>
            <w:shd w:val="clear" w:color="auto" w:fill="auto"/>
          </w:tcPr>
          <w:p w14:paraId="08DB1445">
            <w:pPr>
              <w:widowControl w:val="0"/>
              <w:spacing w:line="440" w:lineRule="exact"/>
              <w:jc w:val="center"/>
              <w:rPr>
                <w:sz w:val="21"/>
                <w:szCs w:val="21"/>
              </w:rPr>
            </w:pPr>
            <w:r>
              <w:rPr>
                <w:rFonts w:hint="eastAsia"/>
                <w:sz w:val="21"/>
                <w:szCs w:val="21"/>
              </w:rPr>
              <w:t>12</w:t>
            </w:r>
          </w:p>
        </w:tc>
        <w:tc>
          <w:tcPr>
            <w:tcW w:w="1734" w:type="dxa"/>
            <w:tcBorders>
              <w:top w:val="single" w:color="auto" w:sz="4" w:space="0"/>
            </w:tcBorders>
            <w:shd w:val="clear" w:color="auto" w:fill="auto"/>
          </w:tcPr>
          <w:p w14:paraId="57A55EA7">
            <w:pPr>
              <w:widowControl w:val="0"/>
              <w:spacing w:line="440" w:lineRule="exact"/>
              <w:jc w:val="center"/>
              <w:rPr>
                <w:sz w:val="21"/>
                <w:szCs w:val="21"/>
              </w:rPr>
            </w:pPr>
            <w:r>
              <w:rPr>
                <w:rFonts w:hint="eastAsia"/>
                <w:sz w:val="21"/>
                <w:szCs w:val="21"/>
              </w:rPr>
              <w:t>60%</w:t>
            </w:r>
          </w:p>
        </w:tc>
      </w:tr>
      <w:tr w14:paraId="7B6D05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shd w:val="clear" w:color="auto" w:fill="auto"/>
          </w:tcPr>
          <w:p w14:paraId="1F73C581">
            <w:pPr>
              <w:widowControl w:val="0"/>
              <w:spacing w:line="440" w:lineRule="exact"/>
              <w:jc w:val="center"/>
              <w:rPr>
                <w:sz w:val="21"/>
                <w:szCs w:val="21"/>
              </w:rPr>
            </w:pPr>
            <w:r>
              <w:rPr>
                <w:rFonts w:hint="eastAsia"/>
                <w:sz w:val="21"/>
                <w:szCs w:val="21"/>
              </w:rPr>
              <w:t>石头</w:t>
            </w:r>
          </w:p>
        </w:tc>
        <w:tc>
          <w:tcPr>
            <w:tcW w:w="2293" w:type="dxa"/>
            <w:shd w:val="clear" w:color="auto" w:fill="auto"/>
          </w:tcPr>
          <w:p w14:paraId="376CB7E9">
            <w:pPr>
              <w:widowControl w:val="0"/>
              <w:spacing w:line="440" w:lineRule="exact"/>
              <w:jc w:val="center"/>
              <w:rPr>
                <w:sz w:val="21"/>
                <w:szCs w:val="21"/>
              </w:rPr>
            </w:pPr>
            <w:r>
              <w:rPr>
                <w:rFonts w:hint="eastAsia"/>
                <w:sz w:val="21"/>
                <w:szCs w:val="21"/>
              </w:rPr>
              <w:t>20</w:t>
            </w:r>
          </w:p>
        </w:tc>
        <w:tc>
          <w:tcPr>
            <w:tcW w:w="2293" w:type="dxa"/>
            <w:shd w:val="clear" w:color="auto" w:fill="auto"/>
          </w:tcPr>
          <w:p w14:paraId="60D83B83">
            <w:pPr>
              <w:widowControl w:val="0"/>
              <w:spacing w:line="440" w:lineRule="exact"/>
              <w:jc w:val="center"/>
              <w:rPr>
                <w:sz w:val="21"/>
                <w:szCs w:val="21"/>
              </w:rPr>
            </w:pPr>
            <w:r>
              <w:rPr>
                <w:rFonts w:hint="eastAsia"/>
                <w:sz w:val="21"/>
                <w:szCs w:val="21"/>
              </w:rPr>
              <w:t>20</w:t>
            </w:r>
          </w:p>
        </w:tc>
        <w:tc>
          <w:tcPr>
            <w:tcW w:w="1734" w:type="dxa"/>
            <w:shd w:val="clear" w:color="auto" w:fill="auto"/>
          </w:tcPr>
          <w:p w14:paraId="626FF092">
            <w:pPr>
              <w:widowControl w:val="0"/>
              <w:spacing w:line="440" w:lineRule="exact"/>
              <w:jc w:val="center"/>
              <w:rPr>
                <w:sz w:val="21"/>
                <w:szCs w:val="21"/>
              </w:rPr>
            </w:pPr>
            <w:r>
              <w:rPr>
                <w:rFonts w:hint="eastAsia"/>
                <w:sz w:val="21"/>
                <w:szCs w:val="21"/>
              </w:rPr>
              <w:t>100%</w:t>
            </w:r>
          </w:p>
        </w:tc>
      </w:tr>
      <w:tr w14:paraId="1A5229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shd w:val="clear" w:color="auto" w:fill="auto"/>
          </w:tcPr>
          <w:p w14:paraId="2066BE47">
            <w:pPr>
              <w:widowControl w:val="0"/>
              <w:spacing w:line="440" w:lineRule="exact"/>
              <w:jc w:val="center"/>
              <w:rPr>
                <w:sz w:val="21"/>
                <w:szCs w:val="21"/>
              </w:rPr>
            </w:pPr>
            <w:r>
              <w:rPr>
                <w:rFonts w:hint="eastAsia"/>
                <w:sz w:val="21"/>
                <w:szCs w:val="21"/>
              </w:rPr>
              <w:t>报纸</w:t>
            </w:r>
          </w:p>
        </w:tc>
        <w:tc>
          <w:tcPr>
            <w:tcW w:w="2293" w:type="dxa"/>
            <w:shd w:val="clear" w:color="auto" w:fill="auto"/>
          </w:tcPr>
          <w:p w14:paraId="209E7074">
            <w:pPr>
              <w:widowControl w:val="0"/>
              <w:spacing w:line="440" w:lineRule="exact"/>
              <w:jc w:val="center"/>
              <w:rPr>
                <w:sz w:val="21"/>
                <w:szCs w:val="21"/>
              </w:rPr>
            </w:pPr>
            <w:r>
              <w:rPr>
                <w:rFonts w:hint="eastAsia"/>
                <w:sz w:val="21"/>
                <w:szCs w:val="21"/>
              </w:rPr>
              <w:t>20</w:t>
            </w:r>
          </w:p>
        </w:tc>
        <w:tc>
          <w:tcPr>
            <w:tcW w:w="2293" w:type="dxa"/>
            <w:shd w:val="clear" w:color="auto" w:fill="auto"/>
          </w:tcPr>
          <w:p w14:paraId="794CD0A1">
            <w:pPr>
              <w:widowControl w:val="0"/>
              <w:spacing w:line="440" w:lineRule="exact"/>
              <w:jc w:val="center"/>
              <w:rPr>
                <w:sz w:val="21"/>
                <w:szCs w:val="21"/>
              </w:rPr>
            </w:pPr>
            <w:r>
              <w:rPr>
                <w:rFonts w:hint="eastAsia"/>
                <w:sz w:val="21"/>
                <w:szCs w:val="21"/>
              </w:rPr>
              <w:t>14</w:t>
            </w:r>
          </w:p>
        </w:tc>
        <w:tc>
          <w:tcPr>
            <w:tcW w:w="1734" w:type="dxa"/>
            <w:shd w:val="clear" w:color="auto" w:fill="auto"/>
          </w:tcPr>
          <w:p w14:paraId="12EC9D10">
            <w:pPr>
              <w:widowControl w:val="0"/>
              <w:spacing w:line="440" w:lineRule="exact"/>
              <w:jc w:val="center"/>
              <w:rPr>
                <w:sz w:val="21"/>
                <w:szCs w:val="21"/>
              </w:rPr>
            </w:pPr>
            <w:r>
              <w:rPr>
                <w:rFonts w:hint="eastAsia"/>
                <w:sz w:val="21"/>
                <w:szCs w:val="21"/>
              </w:rPr>
              <w:t>70%</w:t>
            </w:r>
          </w:p>
        </w:tc>
      </w:tr>
      <w:tr w14:paraId="7D9EB3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759" w:type="dxa"/>
            <w:shd w:val="clear" w:color="auto" w:fill="auto"/>
          </w:tcPr>
          <w:p w14:paraId="5D1F755D">
            <w:pPr>
              <w:widowControl w:val="0"/>
              <w:spacing w:line="440" w:lineRule="exact"/>
              <w:jc w:val="center"/>
              <w:rPr>
                <w:sz w:val="21"/>
                <w:szCs w:val="21"/>
              </w:rPr>
            </w:pPr>
            <w:r>
              <w:rPr>
                <w:rFonts w:hint="eastAsia"/>
                <w:sz w:val="21"/>
                <w:szCs w:val="21"/>
              </w:rPr>
              <w:t>水果皮</w:t>
            </w:r>
          </w:p>
        </w:tc>
        <w:tc>
          <w:tcPr>
            <w:tcW w:w="2293" w:type="dxa"/>
            <w:shd w:val="clear" w:color="auto" w:fill="auto"/>
          </w:tcPr>
          <w:p w14:paraId="1AE64BD3">
            <w:pPr>
              <w:widowControl w:val="0"/>
              <w:spacing w:line="440" w:lineRule="exact"/>
              <w:jc w:val="center"/>
              <w:rPr>
                <w:sz w:val="21"/>
                <w:szCs w:val="21"/>
              </w:rPr>
            </w:pPr>
            <w:r>
              <w:rPr>
                <w:rFonts w:hint="eastAsia"/>
                <w:sz w:val="21"/>
                <w:szCs w:val="21"/>
              </w:rPr>
              <w:t>20</w:t>
            </w:r>
          </w:p>
        </w:tc>
        <w:tc>
          <w:tcPr>
            <w:tcW w:w="2293" w:type="dxa"/>
            <w:shd w:val="clear" w:color="auto" w:fill="auto"/>
          </w:tcPr>
          <w:p w14:paraId="0FF7ABBB">
            <w:pPr>
              <w:widowControl w:val="0"/>
              <w:spacing w:line="440" w:lineRule="exact"/>
              <w:jc w:val="center"/>
              <w:rPr>
                <w:sz w:val="21"/>
                <w:szCs w:val="21"/>
              </w:rPr>
            </w:pPr>
            <w:r>
              <w:rPr>
                <w:rFonts w:hint="eastAsia"/>
                <w:sz w:val="21"/>
                <w:szCs w:val="21"/>
              </w:rPr>
              <w:t>18</w:t>
            </w:r>
          </w:p>
        </w:tc>
        <w:tc>
          <w:tcPr>
            <w:tcW w:w="1734" w:type="dxa"/>
            <w:shd w:val="clear" w:color="auto" w:fill="auto"/>
          </w:tcPr>
          <w:p w14:paraId="2B83E2C0">
            <w:pPr>
              <w:widowControl w:val="0"/>
              <w:spacing w:line="440" w:lineRule="exact"/>
              <w:jc w:val="center"/>
              <w:rPr>
                <w:sz w:val="21"/>
                <w:szCs w:val="21"/>
              </w:rPr>
            </w:pPr>
            <w:r>
              <w:rPr>
                <w:rFonts w:hint="eastAsia"/>
                <w:sz w:val="21"/>
                <w:szCs w:val="21"/>
              </w:rPr>
              <w:t>90%</w:t>
            </w:r>
          </w:p>
        </w:tc>
      </w:tr>
      <w:tr w14:paraId="029160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shd w:val="clear" w:color="auto" w:fill="auto"/>
          </w:tcPr>
          <w:p w14:paraId="4C6B113A">
            <w:pPr>
              <w:widowControl w:val="0"/>
              <w:spacing w:line="440" w:lineRule="exact"/>
              <w:jc w:val="center"/>
              <w:rPr>
                <w:sz w:val="21"/>
                <w:szCs w:val="21"/>
              </w:rPr>
            </w:pPr>
            <w:r>
              <w:rPr>
                <w:rFonts w:hint="eastAsia"/>
                <w:sz w:val="21"/>
                <w:szCs w:val="21"/>
              </w:rPr>
              <w:t>水瓶（空心）</w:t>
            </w:r>
          </w:p>
        </w:tc>
        <w:tc>
          <w:tcPr>
            <w:tcW w:w="2293" w:type="dxa"/>
            <w:shd w:val="clear" w:color="auto" w:fill="auto"/>
          </w:tcPr>
          <w:p w14:paraId="4280B9B5">
            <w:pPr>
              <w:widowControl w:val="0"/>
              <w:spacing w:line="440" w:lineRule="exact"/>
              <w:jc w:val="center"/>
              <w:rPr>
                <w:sz w:val="21"/>
                <w:szCs w:val="21"/>
              </w:rPr>
            </w:pPr>
            <w:r>
              <w:rPr>
                <w:rFonts w:hint="eastAsia"/>
                <w:sz w:val="21"/>
                <w:szCs w:val="21"/>
              </w:rPr>
              <w:t>20</w:t>
            </w:r>
          </w:p>
        </w:tc>
        <w:tc>
          <w:tcPr>
            <w:tcW w:w="2293" w:type="dxa"/>
            <w:shd w:val="clear" w:color="auto" w:fill="auto"/>
          </w:tcPr>
          <w:p w14:paraId="5F613436">
            <w:pPr>
              <w:widowControl w:val="0"/>
              <w:spacing w:line="440" w:lineRule="exact"/>
              <w:jc w:val="center"/>
              <w:rPr>
                <w:sz w:val="21"/>
                <w:szCs w:val="21"/>
              </w:rPr>
            </w:pPr>
            <w:r>
              <w:rPr>
                <w:rFonts w:hint="eastAsia"/>
                <w:sz w:val="21"/>
                <w:szCs w:val="21"/>
              </w:rPr>
              <w:t>12</w:t>
            </w:r>
          </w:p>
        </w:tc>
        <w:tc>
          <w:tcPr>
            <w:tcW w:w="1734" w:type="dxa"/>
            <w:shd w:val="clear" w:color="auto" w:fill="auto"/>
          </w:tcPr>
          <w:p w14:paraId="2F1CE531">
            <w:pPr>
              <w:widowControl w:val="0"/>
              <w:spacing w:line="440" w:lineRule="exact"/>
              <w:jc w:val="center"/>
              <w:rPr>
                <w:sz w:val="21"/>
                <w:szCs w:val="21"/>
              </w:rPr>
            </w:pPr>
            <w:r>
              <w:rPr>
                <w:rFonts w:hint="eastAsia"/>
                <w:sz w:val="21"/>
                <w:szCs w:val="21"/>
              </w:rPr>
              <w:t>60%</w:t>
            </w:r>
          </w:p>
        </w:tc>
      </w:tr>
      <w:tr w14:paraId="0A528D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shd w:val="clear" w:color="auto" w:fill="auto"/>
          </w:tcPr>
          <w:p w14:paraId="1E1D63C7">
            <w:pPr>
              <w:widowControl w:val="0"/>
              <w:spacing w:line="440" w:lineRule="exact"/>
              <w:jc w:val="center"/>
              <w:rPr>
                <w:sz w:val="21"/>
                <w:szCs w:val="21"/>
              </w:rPr>
            </w:pPr>
            <w:r>
              <w:rPr>
                <w:rFonts w:hint="eastAsia"/>
                <w:sz w:val="21"/>
                <w:szCs w:val="21"/>
              </w:rPr>
              <w:t>水瓶（实心）</w:t>
            </w:r>
          </w:p>
        </w:tc>
        <w:tc>
          <w:tcPr>
            <w:tcW w:w="2293" w:type="dxa"/>
            <w:shd w:val="clear" w:color="auto" w:fill="auto"/>
          </w:tcPr>
          <w:p w14:paraId="68899977">
            <w:pPr>
              <w:widowControl w:val="0"/>
              <w:spacing w:line="440" w:lineRule="exact"/>
              <w:jc w:val="center"/>
              <w:rPr>
                <w:sz w:val="21"/>
                <w:szCs w:val="21"/>
              </w:rPr>
            </w:pPr>
            <w:r>
              <w:rPr>
                <w:rFonts w:hint="eastAsia"/>
                <w:sz w:val="21"/>
                <w:szCs w:val="21"/>
              </w:rPr>
              <w:t>20</w:t>
            </w:r>
          </w:p>
        </w:tc>
        <w:tc>
          <w:tcPr>
            <w:tcW w:w="2293" w:type="dxa"/>
            <w:shd w:val="clear" w:color="auto" w:fill="auto"/>
          </w:tcPr>
          <w:p w14:paraId="01D168B7">
            <w:pPr>
              <w:widowControl w:val="0"/>
              <w:spacing w:line="440" w:lineRule="exact"/>
              <w:jc w:val="center"/>
              <w:rPr>
                <w:sz w:val="21"/>
                <w:szCs w:val="21"/>
              </w:rPr>
            </w:pPr>
            <w:r>
              <w:rPr>
                <w:rFonts w:hint="eastAsia"/>
                <w:sz w:val="21"/>
                <w:szCs w:val="21"/>
              </w:rPr>
              <w:t>19</w:t>
            </w:r>
          </w:p>
        </w:tc>
        <w:tc>
          <w:tcPr>
            <w:tcW w:w="1734" w:type="dxa"/>
            <w:shd w:val="clear" w:color="auto" w:fill="auto"/>
          </w:tcPr>
          <w:p w14:paraId="59AAD8F8">
            <w:pPr>
              <w:widowControl w:val="0"/>
              <w:spacing w:line="440" w:lineRule="exact"/>
              <w:jc w:val="center"/>
              <w:rPr>
                <w:sz w:val="21"/>
                <w:szCs w:val="21"/>
              </w:rPr>
            </w:pPr>
            <w:r>
              <w:rPr>
                <w:rFonts w:hint="eastAsia"/>
                <w:sz w:val="21"/>
                <w:szCs w:val="21"/>
              </w:rPr>
              <w:t>95%</w:t>
            </w:r>
          </w:p>
        </w:tc>
      </w:tr>
      <w:tr w14:paraId="52EFE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9" w:type="dxa"/>
            <w:tcBorders>
              <w:bottom w:val="single" w:color="auto" w:sz="12" w:space="0"/>
            </w:tcBorders>
            <w:shd w:val="clear" w:color="auto" w:fill="auto"/>
          </w:tcPr>
          <w:p w14:paraId="1C0CEA1C">
            <w:pPr>
              <w:widowControl w:val="0"/>
              <w:spacing w:line="440" w:lineRule="exact"/>
              <w:jc w:val="center"/>
              <w:rPr>
                <w:sz w:val="21"/>
                <w:szCs w:val="21"/>
              </w:rPr>
            </w:pPr>
            <w:r>
              <w:rPr>
                <w:rFonts w:hint="eastAsia"/>
                <w:sz w:val="21"/>
                <w:szCs w:val="21"/>
              </w:rPr>
              <w:t>塑料袋</w:t>
            </w:r>
          </w:p>
        </w:tc>
        <w:tc>
          <w:tcPr>
            <w:tcW w:w="2293" w:type="dxa"/>
            <w:tcBorders>
              <w:bottom w:val="single" w:color="auto" w:sz="12" w:space="0"/>
            </w:tcBorders>
            <w:shd w:val="clear" w:color="auto" w:fill="auto"/>
          </w:tcPr>
          <w:p w14:paraId="367DFB21">
            <w:pPr>
              <w:widowControl w:val="0"/>
              <w:spacing w:line="440" w:lineRule="exact"/>
              <w:jc w:val="center"/>
              <w:rPr>
                <w:sz w:val="21"/>
                <w:szCs w:val="21"/>
              </w:rPr>
            </w:pPr>
            <w:r>
              <w:rPr>
                <w:rFonts w:hint="eastAsia"/>
                <w:sz w:val="21"/>
                <w:szCs w:val="21"/>
              </w:rPr>
              <w:t>20</w:t>
            </w:r>
          </w:p>
        </w:tc>
        <w:tc>
          <w:tcPr>
            <w:tcW w:w="2293" w:type="dxa"/>
            <w:tcBorders>
              <w:bottom w:val="single" w:color="auto" w:sz="12" w:space="0"/>
            </w:tcBorders>
            <w:shd w:val="clear" w:color="auto" w:fill="auto"/>
          </w:tcPr>
          <w:p w14:paraId="1A17FB5B">
            <w:pPr>
              <w:widowControl w:val="0"/>
              <w:spacing w:line="440" w:lineRule="exact"/>
              <w:jc w:val="center"/>
              <w:rPr>
                <w:sz w:val="21"/>
                <w:szCs w:val="21"/>
              </w:rPr>
            </w:pPr>
            <w:r>
              <w:rPr>
                <w:rFonts w:hint="eastAsia"/>
                <w:sz w:val="21"/>
                <w:szCs w:val="21"/>
              </w:rPr>
              <w:t>18</w:t>
            </w:r>
          </w:p>
        </w:tc>
        <w:tc>
          <w:tcPr>
            <w:tcW w:w="1734" w:type="dxa"/>
            <w:tcBorders>
              <w:bottom w:val="single" w:color="auto" w:sz="12" w:space="0"/>
            </w:tcBorders>
            <w:shd w:val="clear" w:color="auto" w:fill="auto"/>
          </w:tcPr>
          <w:p w14:paraId="251287C9">
            <w:pPr>
              <w:widowControl w:val="0"/>
              <w:spacing w:line="440" w:lineRule="exact"/>
              <w:jc w:val="center"/>
              <w:rPr>
                <w:sz w:val="21"/>
                <w:szCs w:val="21"/>
              </w:rPr>
            </w:pPr>
            <w:r>
              <w:rPr>
                <w:rFonts w:hint="eastAsia"/>
                <w:sz w:val="21"/>
                <w:szCs w:val="21"/>
              </w:rPr>
              <w:t>90%</w:t>
            </w:r>
          </w:p>
        </w:tc>
      </w:tr>
    </w:tbl>
    <w:p w14:paraId="586CF329">
      <w:pPr>
        <w:spacing w:line="440" w:lineRule="exact"/>
      </w:pPr>
    </w:p>
    <w:p w14:paraId="66B9455B">
      <w:pPr>
        <w:spacing w:line="440" w:lineRule="exact"/>
        <w:ind w:firstLine="480" w:firstLineChars="200"/>
      </w:pPr>
      <w:r>
        <w:rPr>
          <w:rFonts w:hint="eastAsia"/>
        </w:rPr>
        <w:t>结合以上数据和TCRT5000红外检测的原理分析造成误差的原因：TCRT5000的最佳检测距离在0.2mm到15mm，距离过远可能会造成误差，例如“水果皮”，测试时距离超过了15mm，所以测试误差过大；被检测物体表面材质或颜色，例如“米粒”，表面透明且光滑，红外光反射量不足，导致无法捕获足够信号；供电电压波动导致红外发射管输出光强变化，进而影响了接收信号的光强，在测试“报纸”时，由于供电不足，导致正确报警准确率降低。</w:t>
      </w:r>
    </w:p>
    <w:p w14:paraId="75C7DDBB">
      <w:pPr>
        <w:spacing w:line="440" w:lineRule="exact"/>
        <w:ind w:firstLine="480" w:firstLineChars="200"/>
      </w:pPr>
      <w:r>
        <w:rPr>
          <w:rFonts w:hint="eastAsia"/>
        </w:rPr>
        <w:t>于是，缩短测试距离，保持“水果皮”再测试时距离控制在0.2mm—15mm；通过改变被测物体材质，将“米粒”改用黄豆；保证外部供电充足，重新供电再测试“报纸”。在克服以上因素带来的误差后，对以上数据偏差较大的部分再重新测试，重测后的数据结果如下表6.4所示：</w:t>
      </w:r>
    </w:p>
    <w:p w14:paraId="0D1EA379">
      <w:pPr>
        <w:tabs>
          <w:tab w:val="clear" w:pos="377"/>
        </w:tabs>
        <w:spacing w:line="240" w:lineRule="auto"/>
        <w:jc w:val="left"/>
        <w:rPr>
          <w:sz w:val="21"/>
          <w:szCs w:val="21"/>
        </w:rPr>
      </w:pPr>
      <w:r>
        <w:rPr>
          <w:sz w:val="21"/>
          <w:szCs w:val="21"/>
        </w:rPr>
        <w:br w:type="page"/>
      </w:r>
    </w:p>
    <w:p w14:paraId="4FBCE742">
      <w:pPr>
        <w:spacing w:line="440" w:lineRule="exact"/>
        <w:jc w:val="center"/>
        <w:rPr>
          <w:sz w:val="21"/>
          <w:szCs w:val="21"/>
        </w:rPr>
      </w:pPr>
      <w:r>
        <w:rPr>
          <w:rFonts w:hint="eastAsia"/>
          <w:sz w:val="21"/>
          <w:szCs w:val="21"/>
        </w:rPr>
        <w:t>表6.4  重测数据表</w:t>
      </w:r>
    </w:p>
    <w:tbl>
      <w:tblPr>
        <w:tblStyle w:val="20"/>
        <w:tblW w:w="0" w:type="auto"/>
        <w:tblInd w:w="53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9"/>
        <w:gridCol w:w="2348"/>
        <w:gridCol w:w="2268"/>
        <w:gridCol w:w="1984"/>
      </w:tblGrid>
      <w:tr w14:paraId="63F1C2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9" w:type="dxa"/>
            <w:tcBorders>
              <w:top w:val="single" w:color="auto" w:sz="12" w:space="0"/>
              <w:bottom w:val="single" w:color="auto" w:sz="4" w:space="0"/>
            </w:tcBorders>
            <w:shd w:val="clear" w:color="auto" w:fill="auto"/>
          </w:tcPr>
          <w:p w14:paraId="1D00AC57">
            <w:pPr>
              <w:widowControl w:val="0"/>
              <w:spacing w:line="440" w:lineRule="exact"/>
              <w:jc w:val="center"/>
              <w:rPr>
                <w:sz w:val="21"/>
                <w:szCs w:val="21"/>
              </w:rPr>
            </w:pPr>
            <w:r>
              <w:rPr>
                <w:rFonts w:hint="eastAsia"/>
                <w:sz w:val="21"/>
                <w:szCs w:val="21"/>
              </w:rPr>
              <w:t>物品名称</w:t>
            </w:r>
          </w:p>
        </w:tc>
        <w:tc>
          <w:tcPr>
            <w:tcW w:w="2348" w:type="dxa"/>
            <w:tcBorders>
              <w:top w:val="single" w:color="auto" w:sz="12" w:space="0"/>
              <w:bottom w:val="single" w:color="auto" w:sz="4" w:space="0"/>
            </w:tcBorders>
            <w:shd w:val="clear" w:color="auto" w:fill="auto"/>
          </w:tcPr>
          <w:p w14:paraId="3DE04585">
            <w:pPr>
              <w:widowControl w:val="0"/>
              <w:spacing w:line="440" w:lineRule="exact"/>
              <w:jc w:val="center"/>
              <w:rPr>
                <w:sz w:val="21"/>
                <w:szCs w:val="21"/>
              </w:rPr>
            </w:pPr>
            <w:r>
              <w:rPr>
                <w:rFonts w:hint="eastAsia"/>
                <w:sz w:val="21"/>
                <w:szCs w:val="21"/>
              </w:rPr>
              <w:t>检测次数</w:t>
            </w:r>
          </w:p>
        </w:tc>
        <w:tc>
          <w:tcPr>
            <w:tcW w:w="2268" w:type="dxa"/>
            <w:tcBorders>
              <w:top w:val="single" w:color="auto" w:sz="12" w:space="0"/>
              <w:bottom w:val="single" w:color="auto" w:sz="4" w:space="0"/>
            </w:tcBorders>
            <w:shd w:val="clear" w:color="auto" w:fill="auto"/>
          </w:tcPr>
          <w:p w14:paraId="5FD7D6D5">
            <w:pPr>
              <w:widowControl w:val="0"/>
              <w:spacing w:line="440" w:lineRule="exact"/>
              <w:jc w:val="center"/>
              <w:rPr>
                <w:sz w:val="21"/>
                <w:szCs w:val="21"/>
              </w:rPr>
            </w:pPr>
            <w:r>
              <w:rPr>
                <w:rFonts w:hint="eastAsia"/>
                <w:sz w:val="21"/>
                <w:szCs w:val="21"/>
              </w:rPr>
              <w:t>正确报警次数</w:t>
            </w:r>
          </w:p>
        </w:tc>
        <w:tc>
          <w:tcPr>
            <w:tcW w:w="1984" w:type="dxa"/>
            <w:tcBorders>
              <w:top w:val="single" w:color="auto" w:sz="12" w:space="0"/>
              <w:bottom w:val="single" w:color="auto" w:sz="4" w:space="0"/>
            </w:tcBorders>
            <w:shd w:val="clear" w:color="auto" w:fill="auto"/>
          </w:tcPr>
          <w:p w14:paraId="76598936">
            <w:pPr>
              <w:widowControl w:val="0"/>
              <w:spacing w:line="440" w:lineRule="exact"/>
              <w:jc w:val="center"/>
              <w:rPr>
                <w:sz w:val="21"/>
                <w:szCs w:val="21"/>
              </w:rPr>
            </w:pPr>
            <w:r>
              <w:rPr>
                <w:rFonts w:hint="eastAsia"/>
                <w:sz w:val="21"/>
                <w:szCs w:val="21"/>
              </w:rPr>
              <w:t>实现百分比</w:t>
            </w:r>
          </w:p>
        </w:tc>
      </w:tr>
      <w:tr w14:paraId="450413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9" w:type="dxa"/>
            <w:tcBorders>
              <w:top w:val="single" w:color="auto" w:sz="4" w:space="0"/>
            </w:tcBorders>
            <w:shd w:val="clear" w:color="auto" w:fill="auto"/>
          </w:tcPr>
          <w:p w14:paraId="4CC6033F">
            <w:pPr>
              <w:widowControl w:val="0"/>
              <w:spacing w:line="440" w:lineRule="exact"/>
              <w:jc w:val="center"/>
              <w:rPr>
                <w:sz w:val="21"/>
                <w:szCs w:val="21"/>
              </w:rPr>
            </w:pPr>
            <w:r>
              <w:rPr>
                <w:rFonts w:hint="eastAsia"/>
                <w:sz w:val="21"/>
                <w:szCs w:val="21"/>
              </w:rPr>
              <w:t>黄豆</w:t>
            </w:r>
          </w:p>
        </w:tc>
        <w:tc>
          <w:tcPr>
            <w:tcW w:w="2348" w:type="dxa"/>
            <w:tcBorders>
              <w:top w:val="single" w:color="auto" w:sz="4" w:space="0"/>
            </w:tcBorders>
            <w:shd w:val="clear" w:color="auto" w:fill="auto"/>
          </w:tcPr>
          <w:p w14:paraId="63775BA8">
            <w:pPr>
              <w:widowControl w:val="0"/>
              <w:spacing w:line="440" w:lineRule="exact"/>
              <w:jc w:val="center"/>
              <w:rPr>
                <w:sz w:val="21"/>
                <w:szCs w:val="21"/>
              </w:rPr>
            </w:pPr>
            <w:r>
              <w:rPr>
                <w:rFonts w:hint="eastAsia"/>
                <w:sz w:val="21"/>
                <w:szCs w:val="21"/>
              </w:rPr>
              <w:t>20</w:t>
            </w:r>
          </w:p>
        </w:tc>
        <w:tc>
          <w:tcPr>
            <w:tcW w:w="2268" w:type="dxa"/>
            <w:tcBorders>
              <w:top w:val="single" w:color="auto" w:sz="4" w:space="0"/>
            </w:tcBorders>
            <w:shd w:val="clear" w:color="auto" w:fill="auto"/>
          </w:tcPr>
          <w:p w14:paraId="750418B7">
            <w:pPr>
              <w:widowControl w:val="0"/>
              <w:spacing w:line="440" w:lineRule="exact"/>
              <w:jc w:val="center"/>
              <w:rPr>
                <w:sz w:val="21"/>
                <w:szCs w:val="21"/>
              </w:rPr>
            </w:pPr>
            <w:r>
              <w:rPr>
                <w:rFonts w:hint="eastAsia"/>
                <w:sz w:val="21"/>
                <w:szCs w:val="21"/>
              </w:rPr>
              <w:t>16</w:t>
            </w:r>
          </w:p>
        </w:tc>
        <w:tc>
          <w:tcPr>
            <w:tcW w:w="1984" w:type="dxa"/>
            <w:tcBorders>
              <w:top w:val="single" w:color="auto" w:sz="4" w:space="0"/>
            </w:tcBorders>
            <w:shd w:val="clear" w:color="auto" w:fill="auto"/>
          </w:tcPr>
          <w:p w14:paraId="393518C5">
            <w:pPr>
              <w:widowControl w:val="0"/>
              <w:spacing w:line="440" w:lineRule="exact"/>
              <w:jc w:val="center"/>
              <w:rPr>
                <w:sz w:val="21"/>
                <w:szCs w:val="21"/>
              </w:rPr>
            </w:pPr>
            <w:r>
              <w:rPr>
                <w:rFonts w:hint="eastAsia"/>
                <w:sz w:val="21"/>
                <w:szCs w:val="21"/>
              </w:rPr>
              <w:t>80%</w:t>
            </w:r>
          </w:p>
        </w:tc>
      </w:tr>
      <w:tr w14:paraId="00D97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9" w:type="dxa"/>
            <w:shd w:val="clear" w:color="auto" w:fill="auto"/>
          </w:tcPr>
          <w:p w14:paraId="4878C8A9">
            <w:pPr>
              <w:widowControl w:val="0"/>
              <w:spacing w:line="440" w:lineRule="exact"/>
              <w:jc w:val="center"/>
              <w:rPr>
                <w:sz w:val="21"/>
                <w:szCs w:val="21"/>
              </w:rPr>
            </w:pPr>
            <w:r>
              <w:rPr>
                <w:rFonts w:hint="eastAsia"/>
                <w:sz w:val="21"/>
                <w:szCs w:val="21"/>
              </w:rPr>
              <w:t>水果皮</w:t>
            </w:r>
          </w:p>
        </w:tc>
        <w:tc>
          <w:tcPr>
            <w:tcW w:w="2348" w:type="dxa"/>
            <w:shd w:val="clear" w:color="auto" w:fill="auto"/>
          </w:tcPr>
          <w:p w14:paraId="5CB6DAC7">
            <w:pPr>
              <w:widowControl w:val="0"/>
              <w:spacing w:line="440" w:lineRule="exact"/>
              <w:jc w:val="center"/>
              <w:rPr>
                <w:sz w:val="21"/>
                <w:szCs w:val="21"/>
              </w:rPr>
            </w:pPr>
            <w:r>
              <w:rPr>
                <w:rFonts w:hint="eastAsia"/>
                <w:sz w:val="21"/>
                <w:szCs w:val="21"/>
              </w:rPr>
              <w:t>20</w:t>
            </w:r>
          </w:p>
        </w:tc>
        <w:tc>
          <w:tcPr>
            <w:tcW w:w="2268" w:type="dxa"/>
            <w:shd w:val="clear" w:color="auto" w:fill="auto"/>
          </w:tcPr>
          <w:p w14:paraId="6DF3E6E5">
            <w:pPr>
              <w:widowControl w:val="0"/>
              <w:spacing w:line="440" w:lineRule="exact"/>
              <w:jc w:val="center"/>
              <w:rPr>
                <w:sz w:val="21"/>
                <w:szCs w:val="21"/>
              </w:rPr>
            </w:pPr>
            <w:r>
              <w:rPr>
                <w:rFonts w:hint="eastAsia"/>
                <w:sz w:val="21"/>
                <w:szCs w:val="21"/>
              </w:rPr>
              <w:t>18</w:t>
            </w:r>
          </w:p>
        </w:tc>
        <w:tc>
          <w:tcPr>
            <w:tcW w:w="1984" w:type="dxa"/>
            <w:shd w:val="clear" w:color="auto" w:fill="auto"/>
          </w:tcPr>
          <w:p w14:paraId="40EDE0E4">
            <w:pPr>
              <w:widowControl w:val="0"/>
              <w:spacing w:line="440" w:lineRule="exact"/>
              <w:jc w:val="center"/>
              <w:rPr>
                <w:sz w:val="21"/>
                <w:szCs w:val="21"/>
              </w:rPr>
            </w:pPr>
            <w:r>
              <w:rPr>
                <w:rFonts w:hint="eastAsia"/>
                <w:sz w:val="21"/>
                <w:szCs w:val="21"/>
              </w:rPr>
              <w:t>90%</w:t>
            </w:r>
          </w:p>
        </w:tc>
      </w:tr>
      <w:tr w14:paraId="59481D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9" w:type="dxa"/>
            <w:tcBorders>
              <w:bottom w:val="single" w:color="auto" w:sz="12" w:space="0"/>
            </w:tcBorders>
            <w:shd w:val="clear" w:color="auto" w:fill="auto"/>
          </w:tcPr>
          <w:p w14:paraId="3164A9DC">
            <w:pPr>
              <w:widowControl w:val="0"/>
              <w:spacing w:line="440" w:lineRule="exact"/>
              <w:jc w:val="center"/>
              <w:rPr>
                <w:sz w:val="21"/>
                <w:szCs w:val="21"/>
              </w:rPr>
            </w:pPr>
            <w:r>
              <w:rPr>
                <w:rFonts w:hint="eastAsia"/>
                <w:sz w:val="21"/>
                <w:szCs w:val="21"/>
              </w:rPr>
              <w:t>报纸</w:t>
            </w:r>
          </w:p>
        </w:tc>
        <w:tc>
          <w:tcPr>
            <w:tcW w:w="2348" w:type="dxa"/>
            <w:tcBorders>
              <w:bottom w:val="single" w:color="auto" w:sz="12" w:space="0"/>
            </w:tcBorders>
            <w:shd w:val="clear" w:color="auto" w:fill="auto"/>
          </w:tcPr>
          <w:p w14:paraId="7DD52E84">
            <w:pPr>
              <w:widowControl w:val="0"/>
              <w:spacing w:line="440" w:lineRule="exact"/>
              <w:jc w:val="center"/>
              <w:rPr>
                <w:sz w:val="21"/>
                <w:szCs w:val="21"/>
              </w:rPr>
            </w:pPr>
            <w:r>
              <w:rPr>
                <w:rFonts w:hint="eastAsia"/>
                <w:sz w:val="21"/>
                <w:szCs w:val="21"/>
              </w:rPr>
              <w:t>20</w:t>
            </w:r>
          </w:p>
        </w:tc>
        <w:tc>
          <w:tcPr>
            <w:tcW w:w="2268" w:type="dxa"/>
            <w:tcBorders>
              <w:bottom w:val="single" w:color="auto" w:sz="12" w:space="0"/>
            </w:tcBorders>
            <w:shd w:val="clear" w:color="auto" w:fill="auto"/>
          </w:tcPr>
          <w:p w14:paraId="7666823C">
            <w:pPr>
              <w:widowControl w:val="0"/>
              <w:spacing w:line="440" w:lineRule="exact"/>
              <w:jc w:val="center"/>
              <w:rPr>
                <w:sz w:val="21"/>
                <w:szCs w:val="21"/>
              </w:rPr>
            </w:pPr>
            <w:r>
              <w:rPr>
                <w:rFonts w:hint="eastAsia"/>
                <w:sz w:val="21"/>
                <w:szCs w:val="21"/>
              </w:rPr>
              <w:t>18</w:t>
            </w:r>
          </w:p>
        </w:tc>
        <w:tc>
          <w:tcPr>
            <w:tcW w:w="1984" w:type="dxa"/>
            <w:tcBorders>
              <w:bottom w:val="single" w:color="auto" w:sz="12" w:space="0"/>
            </w:tcBorders>
            <w:shd w:val="clear" w:color="auto" w:fill="auto"/>
          </w:tcPr>
          <w:p w14:paraId="559F3F31">
            <w:pPr>
              <w:widowControl w:val="0"/>
              <w:spacing w:line="440" w:lineRule="exact"/>
              <w:jc w:val="center"/>
              <w:rPr>
                <w:sz w:val="21"/>
                <w:szCs w:val="21"/>
              </w:rPr>
            </w:pPr>
            <w:r>
              <w:rPr>
                <w:rFonts w:hint="eastAsia"/>
                <w:sz w:val="21"/>
                <w:szCs w:val="21"/>
              </w:rPr>
              <w:t>90%</w:t>
            </w:r>
          </w:p>
        </w:tc>
      </w:tr>
    </w:tbl>
    <w:p w14:paraId="3E9A1A40">
      <w:pPr>
        <w:ind w:firstLine="480" w:firstLineChars="200"/>
      </w:pPr>
    </w:p>
    <w:p w14:paraId="38EDD0F5">
      <w:pPr>
        <w:spacing w:line="440" w:lineRule="exact"/>
        <w:ind w:firstLine="480" w:firstLineChars="200"/>
      </w:pPr>
      <w:r>
        <w:rPr>
          <w:rFonts w:hint="eastAsia"/>
        </w:rPr>
        <w:t>表6.4可以看到误差较大的数据得到了改善，实现准确率基本都得到了提升，验证了之前的误差猜想。但“米粒”这一物品实现百分比并不是很高，可能还与物品自身因素、试验次数过少等因素有关。</w:t>
      </w:r>
    </w:p>
    <w:p w14:paraId="16761A54">
      <w:pPr>
        <w:pStyle w:val="3"/>
        <w:spacing w:before="120"/>
      </w:pPr>
      <w:bookmarkStart w:id="97" w:name="_Toc198563290"/>
      <w:r>
        <w:rPr>
          <w:rFonts w:hint="eastAsia"/>
        </w:rPr>
        <w:t>6.5 无线传输及云平台功能测试</w:t>
      </w:r>
      <w:bookmarkEnd w:id="97"/>
    </w:p>
    <w:p w14:paraId="4BDCBB64">
      <w:pPr>
        <w:spacing w:line="440" w:lineRule="exact"/>
        <w:ind w:firstLine="480" w:firstLineChars="200"/>
      </w:pPr>
      <w:r>
        <w:rPr>
          <w:rFonts w:hint="eastAsia"/>
        </w:rPr>
        <w:t>首先打开手机热点，热点名称和热点密码分别为当时写入STM32的热点名称和密码，频段为2.4GHZ。在网页里打开</w:t>
      </w:r>
      <w:r>
        <w:t>OneNET</w:t>
      </w:r>
      <w:r>
        <w:rPr>
          <w:rFonts w:hint="eastAsia"/>
        </w:rPr>
        <w:t>物联网云平台，登陆自己的账号并在设备管理界面找到自己的产品信息，在STM32未接上电源时可以看到产品是离线的：</w:t>
      </w:r>
    </w:p>
    <w:p w14:paraId="6E0DD1FA">
      <w:pPr>
        <w:ind w:firstLine="480" w:firstLineChars="200"/>
      </w:pPr>
    </w:p>
    <w:p w14:paraId="233D5E2E">
      <w:r>
        <w:drawing>
          <wp:inline distT="0" distB="0" distL="0" distR="0">
            <wp:extent cx="5563870" cy="1419225"/>
            <wp:effectExtent l="0" t="0" r="0" b="0"/>
            <wp:docPr id="9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563870" cy="1419225"/>
                    </a:xfrm>
                    <a:prstGeom prst="rect">
                      <a:avLst/>
                    </a:prstGeom>
                    <a:noFill/>
                  </pic:spPr>
                </pic:pic>
              </a:graphicData>
            </a:graphic>
          </wp:inline>
        </w:drawing>
      </w:r>
    </w:p>
    <w:p w14:paraId="0038D38D">
      <w:pPr>
        <w:jc w:val="center"/>
        <w:rPr>
          <w:sz w:val="21"/>
          <w:szCs w:val="21"/>
        </w:rPr>
      </w:pPr>
    </w:p>
    <w:p w14:paraId="0452D605">
      <w:pPr>
        <w:jc w:val="center"/>
        <w:rPr>
          <w:sz w:val="21"/>
          <w:szCs w:val="21"/>
        </w:rPr>
      </w:pPr>
      <w:r>
        <w:rPr>
          <w:rFonts w:hint="eastAsia"/>
          <w:sz w:val="21"/>
          <w:szCs w:val="21"/>
        </w:rPr>
        <w:t>图6.5  云平台设备管理</w:t>
      </w:r>
    </w:p>
    <w:p w14:paraId="78E91FFB">
      <w:pPr>
        <w:spacing w:line="440" w:lineRule="exact"/>
        <w:ind w:firstLine="480" w:firstLineChars="200"/>
      </w:pPr>
    </w:p>
    <w:p w14:paraId="2ABC1318">
      <w:pPr>
        <w:spacing w:line="440" w:lineRule="exact"/>
        <w:ind w:firstLine="480" w:firstLineChars="200"/>
      </w:pPr>
      <w:r>
        <w:rPr>
          <w:rFonts w:hint="eastAsia"/>
        </w:rPr>
        <w:t>接着给STM32接通电源，按下复位按键后5秒左右就可以看到设备已经连上了热点，并且物联网云平台可以看到设备状态是“在线”状态：</w:t>
      </w:r>
    </w:p>
    <w:p w14:paraId="0C354B1A">
      <w:pPr>
        <w:spacing w:line="440" w:lineRule="exact"/>
        <w:ind w:firstLine="480" w:firstLineChars="200"/>
      </w:pPr>
    </w:p>
    <w:p w14:paraId="738ECD94">
      <w:pPr>
        <w:jc w:val="center"/>
      </w:pPr>
      <w:r>
        <w:rPr>
          <w:rFonts w:hint="eastAsia"/>
        </w:rPr>
        <w:drawing>
          <wp:inline distT="0" distB="0" distL="0" distR="0">
            <wp:extent cx="4556760" cy="2536825"/>
            <wp:effectExtent l="0" t="0" r="0" b="0"/>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4561125" cy="2539568"/>
                    </a:xfrm>
                    <a:prstGeom prst="rect">
                      <a:avLst/>
                    </a:prstGeom>
                    <a:noFill/>
                    <a:ln>
                      <a:noFill/>
                    </a:ln>
                  </pic:spPr>
                </pic:pic>
              </a:graphicData>
            </a:graphic>
          </wp:inline>
        </w:drawing>
      </w:r>
    </w:p>
    <w:p w14:paraId="7B80B6C0">
      <w:pPr>
        <w:jc w:val="center"/>
        <w:rPr>
          <w:sz w:val="21"/>
          <w:szCs w:val="21"/>
        </w:rPr>
      </w:pPr>
    </w:p>
    <w:p w14:paraId="48719C41">
      <w:pPr>
        <w:jc w:val="center"/>
        <w:rPr>
          <w:sz w:val="21"/>
          <w:szCs w:val="21"/>
        </w:rPr>
      </w:pPr>
      <w:r>
        <w:rPr>
          <w:rFonts w:hint="eastAsia"/>
          <w:sz w:val="21"/>
          <w:szCs w:val="21"/>
        </w:rPr>
        <w:t>图6.6  云平台功能测试</w:t>
      </w:r>
    </w:p>
    <w:p w14:paraId="49843C42">
      <w:pPr>
        <w:ind w:firstLine="480" w:firstLineChars="200"/>
      </w:pPr>
    </w:p>
    <w:p w14:paraId="7108973A">
      <w:pPr>
        <w:spacing w:line="440" w:lineRule="exact"/>
        <w:ind w:firstLine="480" w:firstLineChars="200"/>
      </w:pPr>
      <w:r>
        <w:rPr>
          <w:rFonts w:hint="eastAsia"/>
        </w:rPr>
        <w:t>到这里就可以看到STM32已经可以与云平台实现正常通信了。</w:t>
      </w:r>
    </w:p>
    <w:p w14:paraId="719E7172">
      <w:pPr>
        <w:pStyle w:val="3"/>
        <w:spacing w:before="120"/>
      </w:pPr>
      <w:bookmarkStart w:id="98" w:name="_Toc198563291"/>
      <w:r>
        <w:rPr>
          <w:rFonts w:hint="eastAsia"/>
        </w:rPr>
        <w:t>6.6 APP可视化功能测试</w:t>
      </w:r>
      <w:bookmarkEnd w:id="98"/>
    </w:p>
    <w:p w14:paraId="66731979">
      <w:pPr>
        <w:spacing w:line="440" w:lineRule="exact"/>
        <w:ind w:firstLine="480" w:firstLineChars="200"/>
      </w:pPr>
      <w:r>
        <w:rPr>
          <w:rFonts w:hint="eastAsia"/>
        </w:rPr>
        <w:t>在垃圾桶未进入工作状态或者垃圾桶没有达到溢满检测时，手机APP端的界面显示如图6.7所示，此时所有垃圾桶都是蓝色状态：</w:t>
      </w:r>
    </w:p>
    <w:p w14:paraId="68A528EC">
      <w:pPr>
        <w:spacing w:line="440" w:lineRule="exact"/>
        <w:ind w:firstLine="480" w:firstLineChars="200"/>
      </w:pPr>
    </w:p>
    <w:p w14:paraId="1D50246C">
      <w:pPr>
        <w:spacing w:line="440" w:lineRule="atLeast"/>
        <w:jc w:val="center"/>
      </w:pPr>
      <w:r>
        <w:drawing>
          <wp:inline distT="0" distB="0" distL="0" distR="0">
            <wp:extent cx="1524000" cy="2187575"/>
            <wp:effectExtent l="0" t="0" r="0" b="317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noChangeArrowheads="1"/>
                    </pic:cNvPicPr>
                  </pic:nvPicPr>
                  <pic:blipFill>
                    <a:blip r:embed="rId76" cstate="print">
                      <a:extLst>
                        <a:ext uri="{28A0092B-C50C-407E-A947-70E740481C1C}">
                          <a14:useLocalDpi xmlns:a14="http://schemas.microsoft.com/office/drawing/2010/main" val="0"/>
                        </a:ext>
                      </a:extLst>
                    </a:blip>
                    <a:srcRect b="30738"/>
                    <a:stretch>
                      <a:fillRect/>
                    </a:stretch>
                  </pic:blipFill>
                  <pic:spPr>
                    <a:xfrm>
                      <a:off x="0" y="0"/>
                      <a:ext cx="1532611" cy="2200168"/>
                    </a:xfrm>
                    <a:prstGeom prst="rect">
                      <a:avLst/>
                    </a:prstGeom>
                    <a:noFill/>
                    <a:ln>
                      <a:noFill/>
                    </a:ln>
                  </pic:spPr>
                </pic:pic>
              </a:graphicData>
            </a:graphic>
          </wp:inline>
        </w:drawing>
      </w:r>
    </w:p>
    <w:p w14:paraId="3BBF281C">
      <w:pPr>
        <w:spacing w:line="440" w:lineRule="atLeast"/>
        <w:jc w:val="center"/>
      </w:pPr>
    </w:p>
    <w:p w14:paraId="159A89D8">
      <w:pPr>
        <w:widowControl w:val="0"/>
        <w:jc w:val="center"/>
        <w:rPr>
          <w:sz w:val="21"/>
          <w:szCs w:val="21"/>
        </w:rPr>
      </w:pPr>
      <w:r>
        <w:rPr>
          <w:rFonts w:hint="eastAsia"/>
          <w:sz w:val="21"/>
          <w:szCs w:val="21"/>
        </w:rPr>
        <w:t>图6.7  APP可视化测试</w:t>
      </w:r>
    </w:p>
    <w:p w14:paraId="2843DFB3">
      <w:pPr>
        <w:ind w:firstLine="480" w:firstLineChars="200"/>
      </w:pPr>
    </w:p>
    <w:p w14:paraId="64A6D0E0">
      <w:pPr>
        <w:spacing w:line="440" w:lineRule="exact"/>
        <w:ind w:firstLine="480" w:firstLineChars="200"/>
      </w:pPr>
      <w:r>
        <w:rPr>
          <w:rFonts w:hint="eastAsia"/>
        </w:rPr>
        <w:t>当垃圾桶进入工作状态并且桶内垃圾已经达到溢满检测处时，APP端的显示界面对应垃圾桶会标红，并在屏幕正中间用文字表示出来，如图6.8所示：</w:t>
      </w:r>
    </w:p>
    <w:p w14:paraId="6EA7FE0F">
      <w:pPr>
        <w:ind w:firstLine="480" w:firstLineChars="200"/>
      </w:pPr>
    </w:p>
    <w:p w14:paraId="3DCA79BD">
      <w:pPr>
        <w:spacing w:line="440" w:lineRule="atLeast"/>
        <w:jc w:val="center"/>
      </w:pPr>
      <w:r>
        <w:drawing>
          <wp:inline distT="0" distB="0" distL="0" distR="0">
            <wp:extent cx="2627630" cy="3072765"/>
            <wp:effectExtent l="0" t="0" r="0" b="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627630" cy="3072765"/>
                    </a:xfrm>
                    <a:prstGeom prst="rect">
                      <a:avLst/>
                    </a:prstGeom>
                    <a:noFill/>
                    <a:ln>
                      <a:noFill/>
                    </a:ln>
                  </pic:spPr>
                </pic:pic>
              </a:graphicData>
            </a:graphic>
          </wp:inline>
        </w:drawing>
      </w:r>
    </w:p>
    <w:p w14:paraId="65898462">
      <w:pPr>
        <w:jc w:val="center"/>
        <w:rPr>
          <w:sz w:val="21"/>
          <w:szCs w:val="21"/>
        </w:rPr>
      </w:pPr>
    </w:p>
    <w:p w14:paraId="1BAD1DE8">
      <w:pPr>
        <w:jc w:val="center"/>
        <w:rPr>
          <w:sz w:val="21"/>
          <w:szCs w:val="21"/>
        </w:rPr>
      </w:pPr>
      <w:r>
        <w:rPr>
          <w:rFonts w:hint="eastAsia"/>
          <w:sz w:val="21"/>
          <w:szCs w:val="21"/>
        </w:rPr>
        <w:t>图6.8  APP溢满显示测试</w:t>
      </w:r>
    </w:p>
    <w:p w14:paraId="5B610361">
      <w:pPr>
        <w:ind w:firstLine="480" w:firstLineChars="200"/>
      </w:pPr>
    </w:p>
    <w:p w14:paraId="33CB7FA0">
      <w:pPr>
        <w:spacing w:line="440" w:lineRule="exact"/>
        <w:ind w:firstLine="480" w:firstLineChars="200"/>
      </w:pPr>
      <w:r>
        <w:rPr>
          <w:rFonts w:hint="eastAsia"/>
        </w:rPr>
        <w:t>此时表示“其他垃圾”已经装满。</w:t>
      </w:r>
    </w:p>
    <w:p w14:paraId="20EBD95F"/>
    <w:p w14:paraId="12FEC67D">
      <w:pPr>
        <w:pStyle w:val="2"/>
      </w:pPr>
      <w:r>
        <w:br w:type="page"/>
      </w:r>
      <w:bookmarkStart w:id="99" w:name="_Toc29350"/>
      <w:bookmarkStart w:id="100" w:name="_Toc198563292"/>
      <w:bookmarkStart w:id="101" w:name="_Toc468117609"/>
      <w:r>
        <w:rPr>
          <w:rFonts w:hint="eastAsia"/>
        </w:rPr>
        <w:t>第7章  总结</w:t>
      </w:r>
      <w:bookmarkEnd w:id="99"/>
      <w:bookmarkEnd w:id="100"/>
      <w:bookmarkEnd w:id="101"/>
    </w:p>
    <w:p w14:paraId="53116CFF">
      <w:pPr>
        <w:spacing w:line="440" w:lineRule="exact"/>
        <w:ind w:firstLine="465"/>
      </w:pPr>
      <w:r>
        <w:rPr>
          <w:rFonts w:hint="eastAsia"/>
        </w:rPr>
        <w:t>本文设计了一种基于STM32的智能语音识别垃圾分类系统，结合了STM32主控模块、语音识别模块、按键控制模块、舵机驱动模块、红外传感器模块、蜂鸣器模块、WIFI模块、手机APP可视化等。系统通过对每个模块的设计，包括各个参数、阈值等，并且通过语音模块对指令的训练，实现了每种垃圾桶关键词的识别与垃圾装满情况的报警和处理。结合当今垃圾分类和处理现状的分析，本项目在社会中有一定的现实意义，不仅可以实现垃圾分类的趣味性，也能提高居民对垃圾分类的意识。根据使用器材和每个模块的功能分析可以得出，这一项目不仅实用性强、功耗更小，而且它的目的性也非常明确，就是为实现“绿色家园”出一份力。</w:t>
      </w:r>
    </w:p>
    <w:p w14:paraId="5E8F4655">
      <w:pPr>
        <w:spacing w:line="440" w:lineRule="exact"/>
        <w:ind w:firstLine="465"/>
      </w:pPr>
      <w:r>
        <w:rPr>
          <w:rFonts w:hint="eastAsia"/>
        </w:rPr>
        <w:t>这一课题综合运用了本人的专业知识，包括信号与系统的线性分析，通信原理的频谱分析，电路的设计与分析等。通过对这些知识的运用，本人不仅学会了对数据进行分析和处理，而且还能自我解决遇到的大部分问题，极大的锻炼了我的素质与能力的提高，在与老师和同学的交流中也能解决我自己所不能解决的问题。此外，在此次项目设计中，我查阅了大量的文献，系统学习了文献中所描述的与这个项目相关的知识，学习到了更多自身能力之外的东西，极大的拓宽了视野。通过学习发现本项目还有很多可以提升的地方，最重要的就是指令的种类和数量，本项目中，每种垃圾分类训练了2-3个指令，但在实际生活中远不止于此，为了满足日常生活的需求，每个类别至少得有十种以上，并且WIFI模块可以烧录OTA固件，以更好地满足垃圾分类需求。最后，由于本人水平有限，在本篇论文中存在疏忽与不足，望各位专家、学者批评指正。</w:t>
      </w:r>
    </w:p>
    <w:p w14:paraId="398A0099">
      <w:pPr>
        <w:ind w:firstLine="465"/>
      </w:pPr>
    </w:p>
    <w:p w14:paraId="7E45BFA0">
      <w:pPr>
        <w:ind w:firstLine="465"/>
      </w:pPr>
    </w:p>
    <w:p w14:paraId="54D5595B">
      <w:pPr>
        <w:ind w:firstLine="465"/>
      </w:pPr>
    </w:p>
    <w:p w14:paraId="17D1D832">
      <w:pPr>
        <w:ind w:firstLine="465"/>
      </w:pPr>
    </w:p>
    <w:p w14:paraId="685FAB5C">
      <w:pPr>
        <w:ind w:firstLine="465"/>
      </w:pPr>
    </w:p>
    <w:p w14:paraId="393DE747">
      <w:pPr>
        <w:ind w:firstLine="465"/>
      </w:pPr>
    </w:p>
    <w:p w14:paraId="16DE5621">
      <w:pPr>
        <w:ind w:firstLine="465"/>
      </w:pPr>
    </w:p>
    <w:p w14:paraId="6A9AE077">
      <w:pPr>
        <w:ind w:firstLine="465"/>
      </w:pPr>
    </w:p>
    <w:p w14:paraId="52A22313">
      <w:pPr>
        <w:ind w:firstLine="465"/>
      </w:pPr>
    </w:p>
    <w:p w14:paraId="312874AF">
      <w:pPr>
        <w:ind w:firstLine="465"/>
      </w:pPr>
    </w:p>
    <w:p w14:paraId="438B3D17"/>
    <w:p w14:paraId="4FB379FD">
      <w:pPr>
        <w:pStyle w:val="2"/>
      </w:pPr>
      <w:bookmarkStart w:id="102" w:name="_Toc198563293"/>
      <w:bookmarkStart w:id="103" w:name="_Toc468117610"/>
      <w:bookmarkStart w:id="104" w:name="_Toc13654"/>
      <w:r>
        <w:rPr>
          <w:rFonts w:hint="eastAsia"/>
        </w:rPr>
        <w:t>致    谢</w:t>
      </w:r>
      <w:bookmarkEnd w:id="102"/>
      <w:bookmarkEnd w:id="103"/>
      <w:bookmarkEnd w:id="104"/>
    </w:p>
    <w:p w14:paraId="335BC88F">
      <w:pPr>
        <w:spacing w:line="440" w:lineRule="exact"/>
        <w:ind w:firstLine="480" w:firstLineChars="200"/>
      </w:pPr>
      <w:r>
        <w:rPr>
          <w:rFonts w:hint="eastAsia"/>
        </w:rPr>
        <w:t>在进行论文撰写的过程中，我碰到了很多问题，任课老师和同学给了我很多帮助和鼓励，指导老师也给了我很多的指导，最终完成了论文的写作。无论是从开始的论文选题，还是解决遇到的问题，在这里面都会有指导老师的身影，没有指导老师也就没有这篇论文。在大学四年内我感受到了老师对我的悉心照料和指导关怀。这都让我从中获得了许多。在这里由衷的感谢老师对我的帮助。同时也要感谢那些对于我的论文有很大帮助的各个任课老师。在他们的认真教导下，我才能够了解关于我专业的知识，也才能够更加顺利的完成这篇论文。“九层之台，起于累土”，正是在学习中的不断积累，才能够让自己更合理的运用手中的知识，完成自己的毕业论文。虽然现在即将毕业，但我也希望自己在未来的时候依然能够怀着初心，坚持自己的理想一直走下去。</w:t>
      </w:r>
    </w:p>
    <w:p w14:paraId="6329F422">
      <w:pPr>
        <w:spacing w:line="440" w:lineRule="exact"/>
        <w:ind w:firstLine="480" w:firstLineChars="200"/>
      </w:pPr>
      <w:r>
        <w:rPr>
          <w:rFonts w:hint="eastAsia"/>
        </w:rPr>
        <w:t>值此论文完成之际，本人心情激荡起伏，思绪万千，感慨颇多。大学生活一晃而过，即将经历分别，回首过往的岁月，往事历历在目，脑海里回忆着无数画面，在这里有快乐，有悲伤，有收获，都是我青春岁月里美好的记忆，成为我无比珍贵的财富。</w:t>
      </w:r>
    </w:p>
    <w:p w14:paraId="5B87A28D">
      <w:pPr>
        <w:spacing w:line="440" w:lineRule="exact"/>
        <w:ind w:firstLine="480" w:firstLineChars="200"/>
      </w:pPr>
      <w:r>
        <w:rPr>
          <w:rFonts w:hint="eastAsia"/>
        </w:rPr>
        <w:t>行文至此，已近尾声。时光匆匆而过，来不及感叹。终稿完成之时，自己又不禁感叹到，为期四年的大学生涯即将结束，虽不知自己在学校留下了什么，但是知道学校带给自己无形的财富。凡是过往，皆为序章，大学的时光流躺在我们的血液中，滋养着莘莘学子的锦瑟年华。学涯虽已结束，但未来的路还很长，希望能够坚持初心，一直走下去。特别鸣谢，一起成长的你们，愿此去繁花似锦，再相逢时笑颜依旧。</w:t>
      </w:r>
    </w:p>
    <w:p w14:paraId="7D73F221">
      <w:pPr>
        <w:spacing w:line="440" w:lineRule="exact"/>
        <w:ind w:firstLine="480" w:firstLineChars="200"/>
      </w:pPr>
    </w:p>
    <w:p w14:paraId="641CE64E">
      <w:pPr>
        <w:pStyle w:val="40"/>
      </w:pPr>
      <w:r>
        <w:br w:type="page"/>
      </w:r>
      <w:bookmarkStart w:id="105" w:name="_Toc468117611"/>
      <w:bookmarkStart w:id="106" w:name="_Toc198563294"/>
      <w:bookmarkStart w:id="107" w:name="_Toc216894849"/>
      <w:bookmarkStart w:id="108" w:name="_Toc31072"/>
      <w:r>
        <w:rPr>
          <w:rFonts w:hint="eastAsia"/>
        </w:rPr>
        <w:t>参 考 文 献</w:t>
      </w:r>
      <w:bookmarkEnd w:id="105"/>
      <w:bookmarkEnd w:id="106"/>
      <w:bookmarkEnd w:id="107"/>
      <w:bookmarkEnd w:id="108"/>
      <w:bookmarkStart w:id="109" w:name="参考文献范例"/>
      <w:bookmarkEnd w:id="109"/>
    </w:p>
    <w:p w14:paraId="43BC242A">
      <w:pPr>
        <w:pStyle w:val="36"/>
        <w:numPr>
          <w:ilvl w:val="0"/>
          <w:numId w:val="2"/>
        </w:numPr>
        <w:adjustRightInd w:val="0"/>
        <w:spacing w:line="440" w:lineRule="exact"/>
        <w:ind w:left="442" w:hanging="442" w:firstLineChars="0"/>
        <w:jc w:val="both"/>
        <w:rPr>
          <w:rFonts w:hint="eastAsia"/>
        </w:rPr>
      </w:pPr>
      <w:bookmarkStart w:id="110" w:name="_Ref197626516"/>
      <w:r>
        <w:rPr>
          <w:rFonts w:hint="eastAsia"/>
        </w:rPr>
        <w:t>张楠</w:t>
      </w:r>
      <w:r>
        <w:t>.</w:t>
      </w:r>
      <w:r>
        <w:rPr>
          <w:rFonts w:hint="eastAsia"/>
        </w:rPr>
        <w:t>本市生活垃圾回收利用率达</w:t>
      </w:r>
      <w:r>
        <w:t>42%[N].</w:t>
      </w:r>
      <w:r>
        <w:rPr>
          <w:rFonts w:hint="eastAsia"/>
        </w:rPr>
        <w:t>北京日报</w:t>
      </w:r>
      <w:r>
        <w:t>,2025-05-08(001).</w:t>
      </w:r>
      <w:bookmarkEnd w:id="110"/>
    </w:p>
    <w:p w14:paraId="23C43354">
      <w:pPr>
        <w:pStyle w:val="36"/>
        <w:numPr>
          <w:ilvl w:val="0"/>
          <w:numId w:val="2"/>
        </w:numPr>
        <w:adjustRightInd w:val="0"/>
        <w:spacing w:line="440" w:lineRule="exact"/>
        <w:ind w:left="442" w:hanging="442" w:firstLineChars="0"/>
        <w:jc w:val="both"/>
        <w:rPr>
          <w:rFonts w:hint="eastAsia"/>
        </w:rPr>
      </w:pPr>
      <w:bookmarkStart w:id="111" w:name="_Ref197626606"/>
      <w:r>
        <w:rPr>
          <w:rFonts w:hint="eastAsia"/>
        </w:rPr>
        <w:t>陈玺撼</w:t>
      </w:r>
      <w:r>
        <w:t>.</w:t>
      </w:r>
      <w:r>
        <w:rPr>
          <w:rFonts w:hint="eastAsia"/>
        </w:rPr>
        <w:t>年底</w:t>
      </w:r>
      <w:r>
        <w:t>2.1</w:t>
      </w:r>
      <w:r>
        <w:rPr>
          <w:rFonts w:hint="eastAsia"/>
        </w:rPr>
        <w:t>万个垃圾投放点微更新</w:t>
      </w:r>
      <w:r>
        <w:t>[N].</w:t>
      </w:r>
      <w:r>
        <w:rPr>
          <w:rFonts w:hint="eastAsia"/>
        </w:rPr>
        <w:t>解放日报</w:t>
      </w:r>
      <w:r>
        <w:t>,2025-05-08(007).</w:t>
      </w:r>
      <w:bookmarkEnd w:id="111"/>
    </w:p>
    <w:p w14:paraId="38F1EFB6">
      <w:pPr>
        <w:pStyle w:val="36"/>
        <w:numPr>
          <w:ilvl w:val="0"/>
          <w:numId w:val="2"/>
        </w:numPr>
        <w:adjustRightInd w:val="0"/>
        <w:spacing w:line="440" w:lineRule="exact"/>
        <w:ind w:left="442" w:hanging="442" w:firstLineChars="0"/>
        <w:jc w:val="both"/>
        <w:rPr>
          <w:rFonts w:hint="eastAsia"/>
        </w:rPr>
      </w:pPr>
      <w:bookmarkStart w:id="112" w:name="_Ref197626622"/>
      <w:r>
        <w:rPr>
          <w:rFonts w:hint="eastAsia"/>
        </w:rPr>
        <w:t>邢云</w:t>
      </w:r>
      <w:r>
        <w:t>.</w:t>
      </w:r>
      <w:r>
        <w:rPr>
          <w:rFonts w:hint="eastAsia"/>
        </w:rPr>
        <w:t>垃圾分类“三难”困局这样破解</w:t>
      </w:r>
      <w:r>
        <w:t>[N].</w:t>
      </w:r>
      <w:r>
        <w:rPr>
          <w:rFonts w:hint="eastAsia"/>
        </w:rPr>
        <w:t>河北日报</w:t>
      </w:r>
      <w:r>
        <w:t>,2025-05-06(011).</w:t>
      </w:r>
      <w:bookmarkEnd w:id="112"/>
    </w:p>
    <w:p w14:paraId="3485FCEC">
      <w:pPr>
        <w:pStyle w:val="36"/>
        <w:numPr>
          <w:ilvl w:val="0"/>
          <w:numId w:val="2"/>
        </w:numPr>
        <w:adjustRightInd w:val="0"/>
        <w:spacing w:line="440" w:lineRule="exact"/>
        <w:ind w:left="442" w:hanging="442" w:firstLineChars="0"/>
        <w:jc w:val="both"/>
        <w:rPr>
          <w:rFonts w:hint="eastAsia"/>
        </w:rPr>
      </w:pPr>
      <w:r>
        <w:rPr>
          <w:rFonts w:hint="eastAsia"/>
        </w:rPr>
        <w:t>崔梦琦</w:t>
      </w:r>
      <w:r>
        <w:t>,</w:t>
      </w:r>
      <w:r>
        <w:rPr>
          <w:rFonts w:hint="eastAsia"/>
        </w:rPr>
        <w:t>吕利</w:t>
      </w:r>
      <w:r>
        <w:t>.</w:t>
      </w:r>
      <w:r>
        <w:rPr>
          <w:rFonts w:hint="eastAsia"/>
        </w:rPr>
        <w:t>智能分类垃圾桶设计与实现</w:t>
      </w:r>
      <w:r>
        <w:t>[J].</w:t>
      </w:r>
      <w:r>
        <w:rPr>
          <w:rFonts w:hint="eastAsia"/>
        </w:rPr>
        <w:t>物联网技术</w:t>
      </w:r>
      <w:r>
        <w:t>,2025,15(09):152-156.DOI:10.16667/j.issn.2095-1302.2025.09.034.</w:t>
      </w:r>
    </w:p>
    <w:p w14:paraId="1344C17A">
      <w:pPr>
        <w:pStyle w:val="36"/>
        <w:numPr>
          <w:ilvl w:val="0"/>
          <w:numId w:val="2"/>
        </w:numPr>
        <w:adjustRightInd w:val="0"/>
        <w:spacing w:line="440" w:lineRule="exact"/>
        <w:ind w:left="442" w:hanging="442" w:firstLineChars="0"/>
        <w:jc w:val="both"/>
        <w:rPr>
          <w:rFonts w:hint="eastAsia"/>
        </w:rPr>
      </w:pPr>
      <w:bookmarkStart w:id="113" w:name="_Ref197676757"/>
      <w:r>
        <w:rPr>
          <w:rFonts w:hint="eastAsia"/>
        </w:rPr>
        <w:t>周楠</w:t>
      </w:r>
      <w:r>
        <w:t>,</w:t>
      </w:r>
      <w:r>
        <w:rPr>
          <w:rFonts w:hint="eastAsia"/>
        </w:rPr>
        <w:t>吴越</w:t>
      </w:r>
      <w:r>
        <w:t>.</w:t>
      </w:r>
      <w:r>
        <w:rPr>
          <w:rFonts w:hint="eastAsia"/>
        </w:rPr>
        <w:t>垃圾分类新时尚在上海蔚然成风</w:t>
      </w:r>
      <w:r>
        <w:t>[N].</w:t>
      </w:r>
      <w:r>
        <w:rPr>
          <w:rFonts w:hint="eastAsia"/>
        </w:rPr>
        <w:t>解放日报</w:t>
      </w:r>
      <w:r>
        <w:t>,2025-04-29(T09).</w:t>
      </w:r>
      <w:bookmarkEnd w:id="113"/>
    </w:p>
    <w:p w14:paraId="4FBF33B2">
      <w:pPr>
        <w:pStyle w:val="36"/>
        <w:numPr>
          <w:ilvl w:val="0"/>
          <w:numId w:val="2"/>
        </w:numPr>
        <w:adjustRightInd w:val="0"/>
        <w:spacing w:line="440" w:lineRule="exact"/>
        <w:ind w:left="442" w:hanging="442" w:firstLineChars="0"/>
        <w:jc w:val="both"/>
        <w:rPr>
          <w:rFonts w:hint="eastAsia"/>
        </w:rPr>
      </w:pPr>
      <w:r>
        <w:t>Li Q. Research on the status quo and countermeasures of Municipal solid waste classification in Fuzhou[C]//IOP Conference Series: Earth and Environmental Science. IOP Publishing, 2021, 631(1): 012004.</w:t>
      </w:r>
    </w:p>
    <w:p w14:paraId="752F0D5A">
      <w:pPr>
        <w:pStyle w:val="36"/>
        <w:numPr>
          <w:ilvl w:val="0"/>
          <w:numId w:val="2"/>
        </w:numPr>
        <w:adjustRightInd w:val="0"/>
        <w:spacing w:line="440" w:lineRule="exact"/>
        <w:ind w:left="442" w:hanging="442" w:firstLineChars="0"/>
        <w:jc w:val="both"/>
        <w:rPr>
          <w:rFonts w:hint="eastAsia"/>
        </w:rPr>
      </w:pPr>
      <w:r>
        <w:t>Yang Q, Luo M, Liu X. Evolution of community residents’ waste classification behavior based on multi-agent simulation[J]. Journal of the Air &amp; Waste Management Association, 2022, 72(12): 1398-1409.</w:t>
      </w:r>
    </w:p>
    <w:p w14:paraId="29201FCC">
      <w:pPr>
        <w:pStyle w:val="36"/>
        <w:numPr>
          <w:ilvl w:val="0"/>
          <w:numId w:val="2"/>
        </w:numPr>
        <w:adjustRightInd w:val="0"/>
        <w:spacing w:line="440" w:lineRule="exact"/>
        <w:ind w:left="442" w:hanging="442" w:firstLineChars="0"/>
        <w:jc w:val="both"/>
        <w:rPr>
          <w:rFonts w:hint="eastAsia"/>
        </w:rPr>
      </w:pPr>
      <w:r>
        <w:t>Zhu N, Guo Q, Wei T. Impact of Environmental Regulation on the Level of Domestic Waste Classification Among Rural Residents: A Case Study from Rural China[J]. Agriculture, 2024, 15(1): 41.</w:t>
      </w:r>
    </w:p>
    <w:p w14:paraId="50709061">
      <w:pPr>
        <w:pStyle w:val="36"/>
        <w:numPr>
          <w:ilvl w:val="0"/>
          <w:numId w:val="2"/>
        </w:numPr>
        <w:adjustRightInd w:val="0"/>
        <w:spacing w:line="440" w:lineRule="exact"/>
        <w:ind w:left="442" w:hanging="442" w:firstLineChars="0"/>
        <w:jc w:val="both"/>
        <w:rPr>
          <w:rFonts w:hint="eastAsia"/>
        </w:rPr>
      </w:pPr>
      <w:r>
        <w:t>Yang T, Xu J, Zhao Y, et al. Classification technology of domestic waste from 2000 to 2019: a bibliometrics-based review[J]. Environmental Science and Pollution Research, 2021, 28: 26313-26324.</w:t>
      </w:r>
    </w:p>
    <w:p w14:paraId="095FA6B8">
      <w:pPr>
        <w:pStyle w:val="36"/>
        <w:numPr>
          <w:ilvl w:val="0"/>
          <w:numId w:val="2"/>
        </w:numPr>
        <w:adjustRightInd w:val="0"/>
        <w:spacing w:line="440" w:lineRule="exact"/>
        <w:ind w:left="442" w:hanging="442" w:firstLineChars="0"/>
        <w:jc w:val="both"/>
        <w:rPr>
          <w:rFonts w:hint="eastAsia"/>
        </w:rPr>
      </w:pPr>
      <w:bookmarkStart w:id="114" w:name="_Ref197681694"/>
      <w:r>
        <w:rPr>
          <w:rFonts w:hint="eastAsia"/>
        </w:rPr>
        <w:t>沈娉婷</w:t>
      </w:r>
      <w:r>
        <w:t>,</w:t>
      </w:r>
      <w:r>
        <w:rPr>
          <w:rFonts w:hint="eastAsia"/>
        </w:rPr>
        <w:t>蒋思</w:t>
      </w:r>
      <w:r>
        <w:t>.</w:t>
      </w:r>
      <w:r>
        <w:rPr>
          <w:rFonts w:hint="eastAsia"/>
        </w:rPr>
        <w:t>践行垃圾分类</w:t>
      </w:r>
      <w:r>
        <w:t>,</w:t>
      </w:r>
      <w:r>
        <w:rPr>
          <w:rFonts w:hint="eastAsia"/>
        </w:rPr>
        <w:t>共筑绿色梦想</w:t>
      </w:r>
      <w:r>
        <w:t>[J].</w:t>
      </w:r>
      <w:r>
        <w:rPr>
          <w:rFonts w:hint="eastAsia"/>
        </w:rPr>
        <w:t>环境教育</w:t>
      </w:r>
      <w:r>
        <w:t>,2025,(04):126-127.</w:t>
      </w:r>
      <w:bookmarkEnd w:id="114"/>
    </w:p>
    <w:p w14:paraId="358B8D47">
      <w:pPr>
        <w:pStyle w:val="36"/>
        <w:numPr>
          <w:ilvl w:val="0"/>
          <w:numId w:val="2"/>
        </w:numPr>
        <w:adjustRightInd w:val="0"/>
        <w:spacing w:line="440" w:lineRule="exact"/>
        <w:ind w:left="442" w:hanging="442" w:firstLineChars="0"/>
        <w:jc w:val="both"/>
        <w:rPr>
          <w:rFonts w:hint="eastAsia"/>
        </w:rPr>
      </w:pPr>
      <w:r>
        <w:rPr>
          <w:rFonts w:hint="eastAsia"/>
        </w:rPr>
        <w:t>韦孟宇</w:t>
      </w:r>
      <w:r>
        <w:t>,</w:t>
      </w:r>
      <w:r>
        <w:rPr>
          <w:rFonts w:hint="eastAsia"/>
        </w:rPr>
        <w:t>童张法</w:t>
      </w:r>
      <w:r>
        <w:t>,</w:t>
      </w:r>
      <w:r>
        <w:rPr>
          <w:rFonts w:hint="eastAsia"/>
        </w:rPr>
        <w:t>蒋迎花</w:t>
      </w:r>
      <w:r>
        <w:t>.</w:t>
      </w:r>
      <w:r>
        <w:rPr>
          <w:rFonts w:hint="eastAsia"/>
        </w:rPr>
        <w:t>基于垃圾分类的城市固体废弃物供应链网络多目标优化</w:t>
      </w:r>
      <w:r>
        <w:t>[J/OL].</w:t>
      </w:r>
      <w:r>
        <w:rPr>
          <w:rFonts w:hint="eastAsia"/>
        </w:rPr>
        <w:t>化工进展</w:t>
      </w:r>
      <w:r>
        <w:t>,1-17[2025-05-08].https://doi.org/10.16085/j.issn.1000-6613.2024-1588.</w:t>
      </w:r>
    </w:p>
    <w:p w14:paraId="45B7AB9E">
      <w:pPr>
        <w:pStyle w:val="36"/>
        <w:numPr>
          <w:ilvl w:val="0"/>
          <w:numId w:val="2"/>
        </w:numPr>
        <w:adjustRightInd w:val="0"/>
        <w:spacing w:line="440" w:lineRule="exact"/>
        <w:ind w:left="442" w:hanging="442" w:firstLineChars="0"/>
        <w:jc w:val="both"/>
        <w:rPr>
          <w:rFonts w:hint="eastAsia"/>
        </w:rPr>
      </w:pPr>
      <w:bookmarkStart w:id="115" w:name="_Ref197626657"/>
      <w:r>
        <w:rPr>
          <w:rFonts w:hint="eastAsia"/>
        </w:rPr>
        <w:t>荣英杰</w:t>
      </w:r>
      <w:r>
        <w:t>.</w:t>
      </w:r>
      <w:r>
        <w:rPr>
          <w:rFonts w:hint="eastAsia"/>
        </w:rPr>
        <w:t>基于</w:t>
      </w:r>
      <w:r>
        <w:t>YOLOv5</w:t>
      </w:r>
      <w:r>
        <w:rPr>
          <w:rFonts w:hint="eastAsia"/>
        </w:rPr>
        <w:t>算法的景区垃圾分类检测研究</w:t>
      </w:r>
      <w:r>
        <w:t>[J].</w:t>
      </w:r>
      <w:r>
        <w:rPr>
          <w:rFonts w:hint="eastAsia"/>
        </w:rPr>
        <w:t>交通科技与管理</w:t>
      </w:r>
      <w:r>
        <w:t>,2025,6(07):13-16.</w:t>
      </w:r>
      <w:bookmarkEnd w:id="115"/>
    </w:p>
    <w:p w14:paraId="323FA989">
      <w:pPr>
        <w:pStyle w:val="36"/>
        <w:numPr>
          <w:ilvl w:val="0"/>
          <w:numId w:val="2"/>
        </w:numPr>
        <w:adjustRightInd w:val="0"/>
        <w:spacing w:line="440" w:lineRule="exact"/>
        <w:ind w:left="442" w:hanging="442" w:firstLineChars="0"/>
        <w:jc w:val="both"/>
        <w:rPr>
          <w:rFonts w:hint="eastAsia"/>
        </w:rPr>
      </w:pPr>
      <w:r>
        <w:rPr>
          <w:rFonts w:hint="eastAsia"/>
        </w:rPr>
        <w:t>李登将</w:t>
      </w:r>
      <w:r>
        <w:t>,</w:t>
      </w:r>
      <w:r>
        <w:rPr>
          <w:rFonts w:hint="eastAsia"/>
        </w:rPr>
        <w:t>张泽均</w:t>
      </w:r>
      <w:r>
        <w:t>,</w:t>
      </w:r>
      <w:r>
        <w:rPr>
          <w:rFonts w:hint="eastAsia"/>
        </w:rPr>
        <w:t>唐长兵</w:t>
      </w:r>
      <w:r>
        <w:t>,</w:t>
      </w:r>
      <w:r>
        <w:rPr>
          <w:rFonts w:hint="eastAsia"/>
        </w:rPr>
        <w:t>等</w:t>
      </w:r>
      <w:r>
        <w:t>.</w:t>
      </w:r>
      <w:r>
        <w:rPr>
          <w:rFonts w:hint="eastAsia"/>
        </w:rPr>
        <w:t>深度学习在垃圾分类中的应用</w:t>
      </w:r>
      <w:r>
        <w:t>[J].</w:t>
      </w:r>
      <w:r>
        <w:rPr>
          <w:rFonts w:hint="eastAsia"/>
        </w:rPr>
        <w:t>龙岩学院学报</w:t>
      </w:r>
      <w:r>
        <w:t>,2025,43(02):31-37.DOI:10.16813/j.cnki.cn35-1286/g4.2025.02.006.</w:t>
      </w:r>
    </w:p>
    <w:p w14:paraId="4F57BE24">
      <w:pPr>
        <w:pStyle w:val="36"/>
        <w:numPr>
          <w:ilvl w:val="0"/>
          <w:numId w:val="2"/>
        </w:numPr>
        <w:adjustRightInd w:val="0"/>
        <w:spacing w:line="440" w:lineRule="exact"/>
        <w:ind w:left="442" w:hanging="442" w:firstLineChars="0"/>
        <w:jc w:val="both"/>
        <w:rPr>
          <w:rFonts w:hint="eastAsia"/>
        </w:rPr>
      </w:pPr>
      <w:bookmarkStart w:id="116" w:name="_Ref197626679"/>
      <w:r>
        <w:rPr>
          <w:rFonts w:hint="eastAsia"/>
        </w:rPr>
        <w:t>王燕霞</w:t>
      </w:r>
      <w:r>
        <w:t>.</w:t>
      </w:r>
      <w:r>
        <w:rPr>
          <w:rFonts w:hint="eastAsia"/>
        </w:rPr>
        <w:t>垃圾分类“分”出美丽宜居家园</w:t>
      </w:r>
      <w:r>
        <w:t>[J].</w:t>
      </w:r>
      <w:r>
        <w:rPr>
          <w:rFonts w:hint="eastAsia"/>
        </w:rPr>
        <w:t>法治与社会</w:t>
      </w:r>
      <w:r>
        <w:t>,2025,(04):72-73.</w:t>
      </w:r>
      <w:bookmarkEnd w:id="116"/>
    </w:p>
    <w:p w14:paraId="74264EF4">
      <w:pPr>
        <w:pStyle w:val="36"/>
        <w:numPr>
          <w:ilvl w:val="0"/>
          <w:numId w:val="2"/>
        </w:numPr>
        <w:adjustRightInd w:val="0"/>
        <w:spacing w:line="440" w:lineRule="exact"/>
        <w:ind w:left="442" w:hanging="442" w:firstLineChars="0"/>
        <w:jc w:val="both"/>
        <w:rPr>
          <w:rFonts w:hint="eastAsia"/>
        </w:rPr>
      </w:pPr>
      <w:r>
        <w:rPr>
          <w:rFonts w:hint="eastAsia"/>
        </w:rPr>
        <w:t>冀钢</w:t>
      </w:r>
      <w:r>
        <w:t>.</w:t>
      </w:r>
      <w:r>
        <w:rPr>
          <w:rFonts w:hint="eastAsia"/>
        </w:rPr>
        <w:t>基于云平台的垃圾分类互动系统的优化设计</w:t>
      </w:r>
      <w:r>
        <w:t>[J].</w:t>
      </w:r>
      <w:r>
        <w:rPr>
          <w:rFonts w:hint="eastAsia"/>
        </w:rPr>
        <w:t>科技与创新</w:t>
      </w:r>
      <w:r>
        <w:t>,2025,(06):59-62.DOI:10.15913/j.cnki.kjycx.2025.06.016.</w:t>
      </w:r>
    </w:p>
    <w:p w14:paraId="7CAFEBB6">
      <w:pPr>
        <w:pStyle w:val="36"/>
        <w:numPr>
          <w:ilvl w:val="0"/>
          <w:numId w:val="2"/>
        </w:numPr>
        <w:adjustRightInd w:val="0"/>
        <w:spacing w:line="440" w:lineRule="exact"/>
        <w:ind w:left="442" w:hanging="442" w:firstLineChars="0"/>
        <w:jc w:val="both"/>
        <w:rPr>
          <w:rFonts w:hint="eastAsia"/>
        </w:rPr>
      </w:pPr>
      <w:bookmarkStart w:id="117" w:name="_Ref197626717"/>
      <w:r>
        <w:rPr>
          <w:rFonts w:hint="eastAsia"/>
        </w:rPr>
        <w:t>谭瑞鸿</w:t>
      </w:r>
      <w:r>
        <w:t>,</w:t>
      </w:r>
      <w:r>
        <w:rPr>
          <w:rFonts w:hint="eastAsia"/>
        </w:rPr>
        <w:t>刘宇杰</w:t>
      </w:r>
      <w:r>
        <w:t>,</w:t>
      </w:r>
      <w:r>
        <w:rPr>
          <w:rFonts w:hint="eastAsia"/>
        </w:rPr>
        <w:t>刘杭</w:t>
      </w:r>
      <w:r>
        <w:t>,</w:t>
      </w:r>
      <w:r>
        <w:rPr>
          <w:rFonts w:hint="eastAsia"/>
        </w:rPr>
        <w:t>等</w:t>
      </w:r>
      <w:r>
        <w:t>.</w:t>
      </w:r>
      <w:r>
        <w:rPr>
          <w:rFonts w:hint="eastAsia"/>
        </w:rPr>
        <w:t>基于树莓派的智能化垃圾分类系统</w:t>
      </w:r>
      <w:r>
        <w:t>[J].</w:t>
      </w:r>
      <w:r>
        <w:rPr>
          <w:rFonts w:hint="eastAsia"/>
        </w:rPr>
        <w:t>物联网技术</w:t>
      </w:r>
      <w:r>
        <w:t>,2025,15(06):113-115+119.DOI:10.16667/j.issn.2095-1302.2025.06.023.</w:t>
      </w:r>
      <w:bookmarkEnd w:id="117"/>
    </w:p>
    <w:p w14:paraId="03F295BD">
      <w:pPr>
        <w:pStyle w:val="36"/>
        <w:numPr>
          <w:ilvl w:val="0"/>
          <w:numId w:val="2"/>
        </w:numPr>
        <w:adjustRightInd w:val="0"/>
        <w:spacing w:line="440" w:lineRule="exact"/>
        <w:ind w:left="442" w:hanging="442" w:firstLineChars="0"/>
        <w:jc w:val="both"/>
        <w:rPr>
          <w:rFonts w:hint="eastAsia"/>
        </w:rPr>
      </w:pPr>
      <w:bookmarkStart w:id="118" w:name="_Ref197626742"/>
      <w:r>
        <w:rPr>
          <w:rFonts w:hint="eastAsia"/>
        </w:rPr>
        <w:t>卫诗娴</w:t>
      </w:r>
      <w:r>
        <w:t>,</w:t>
      </w:r>
      <w:r>
        <w:rPr>
          <w:rFonts w:hint="eastAsia"/>
        </w:rPr>
        <w:t>陶庆</w:t>
      </w:r>
      <w:r>
        <w:t>.</w:t>
      </w:r>
      <w:r>
        <w:rPr>
          <w:rFonts w:hint="eastAsia"/>
        </w:rPr>
        <w:t>城市垃圾分类治理中的公众参与研究</w:t>
      </w:r>
      <w:r>
        <w:t>[J].</w:t>
      </w:r>
      <w:r>
        <w:rPr>
          <w:rFonts w:hint="eastAsia"/>
        </w:rPr>
        <w:t>清洗世界</w:t>
      </w:r>
      <w:r>
        <w:t>,2025,41(02):67-70.</w:t>
      </w:r>
      <w:bookmarkEnd w:id="118"/>
    </w:p>
    <w:p w14:paraId="0C672770">
      <w:pPr>
        <w:pStyle w:val="36"/>
        <w:numPr>
          <w:ilvl w:val="0"/>
          <w:numId w:val="2"/>
        </w:numPr>
        <w:adjustRightInd w:val="0"/>
        <w:spacing w:line="440" w:lineRule="exact"/>
        <w:ind w:left="442" w:hanging="442" w:firstLineChars="0"/>
        <w:jc w:val="both"/>
        <w:rPr>
          <w:rFonts w:hint="eastAsia"/>
        </w:rPr>
      </w:pPr>
      <w:bookmarkStart w:id="119" w:name="_Ref197626766"/>
      <w:r>
        <w:t>Weng X. Research on the Treatment of Municipal Solid Waste Source Classification Behavior Based on Institutional Engineering–Comment on “Shanghai Municipal Domestic Waste Management Regulations”[J]. Pol. J. Environ. Stud, 2022, 31(1): 883-898.</w:t>
      </w:r>
      <w:bookmarkEnd w:id="119"/>
    </w:p>
    <w:p w14:paraId="6C60BADE">
      <w:pPr>
        <w:pStyle w:val="36"/>
        <w:numPr>
          <w:ilvl w:val="0"/>
          <w:numId w:val="2"/>
        </w:numPr>
        <w:adjustRightInd w:val="0"/>
        <w:spacing w:line="440" w:lineRule="exact"/>
        <w:ind w:left="442" w:hanging="442" w:firstLineChars="0"/>
        <w:jc w:val="both"/>
        <w:rPr>
          <w:rFonts w:hint="eastAsia"/>
        </w:rPr>
      </w:pPr>
      <w:bookmarkStart w:id="120" w:name="_Ref197626786"/>
      <w:r>
        <w:t>Zhang J, Zhang Z, Zhang J, et al. A quantitative study on the benefit of various waste classifications[J]. Advances in Civil Engineering, 2021, 2021(1): 6660927.</w:t>
      </w:r>
      <w:bookmarkEnd w:id="120"/>
    </w:p>
    <w:p w14:paraId="55EDC5EA">
      <w:pPr>
        <w:adjustRightInd w:val="0"/>
        <w:snapToGrid w:val="0"/>
        <w:rPr>
          <w:sz w:val="21"/>
          <w:szCs w:val="21"/>
        </w:rPr>
      </w:pPr>
    </w:p>
    <w:p w14:paraId="2618DD99">
      <w:pPr>
        <w:pStyle w:val="2"/>
        <w:jc w:val="both"/>
        <w:rPr>
          <w:rFonts w:ascii="Cambria" w:hAnsi="Cambria" w:cs="宋体"/>
          <w:bCs w:val="0"/>
          <w:kern w:val="32"/>
          <w:szCs w:val="20"/>
          <w:lang w:bidi="en-US"/>
        </w:rPr>
      </w:pPr>
      <w:bookmarkStart w:id="121" w:name="_Toc468117612"/>
      <w:bookmarkStart w:id="122" w:name="_Toc196663152"/>
      <w:bookmarkStart w:id="123" w:name="_Toc216894850"/>
      <w:bookmarkStart w:id="124" w:name="_Toc10851"/>
    </w:p>
    <w:p w14:paraId="6BAE6F6D">
      <w:pPr>
        <w:pStyle w:val="2"/>
        <w:jc w:val="both"/>
        <w:rPr>
          <w:rFonts w:ascii="Cambria" w:hAnsi="Cambria" w:cs="宋体"/>
          <w:bCs w:val="0"/>
          <w:kern w:val="32"/>
          <w:szCs w:val="20"/>
          <w:lang w:bidi="en-US"/>
        </w:rPr>
      </w:pPr>
    </w:p>
    <w:p w14:paraId="39B247C8">
      <w:pPr>
        <w:pStyle w:val="2"/>
        <w:jc w:val="both"/>
        <w:rPr>
          <w:rFonts w:ascii="Cambria" w:hAnsi="Cambria" w:cs="宋体"/>
          <w:bCs w:val="0"/>
          <w:kern w:val="32"/>
          <w:szCs w:val="20"/>
          <w:lang w:bidi="en-US"/>
        </w:rPr>
      </w:pPr>
    </w:p>
    <w:p w14:paraId="3A10B95E">
      <w:pPr>
        <w:rPr>
          <w:lang w:bidi="en-US"/>
        </w:rPr>
      </w:pPr>
    </w:p>
    <w:p w14:paraId="1DCE982C">
      <w:pPr>
        <w:pStyle w:val="2"/>
      </w:pPr>
      <w:bookmarkStart w:id="125" w:name="_Toc198563295"/>
      <w:r>
        <w:rPr>
          <w:rFonts w:hint="eastAsia" w:ascii="Cambria" w:hAnsi="Cambria" w:cs="宋体"/>
          <w:bCs w:val="0"/>
          <w:kern w:val="32"/>
          <w:szCs w:val="20"/>
          <w:lang w:bidi="en-US"/>
        </w:rPr>
        <w:t xml:space="preserve">附录A  </w:t>
      </w:r>
      <w:bookmarkEnd w:id="121"/>
      <w:bookmarkEnd w:id="122"/>
      <w:bookmarkEnd w:id="123"/>
      <w:bookmarkEnd w:id="124"/>
      <w:r>
        <w:rPr>
          <w:rFonts w:hint="eastAsia" w:ascii="Cambria" w:hAnsi="Cambria" w:cs="宋体"/>
          <w:bCs w:val="0"/>
          <w:kern w:val="32"/>
          <w:szCs w:val="20"/>
          <w:lang w:bidi="en-US"/>
        </w:rPr>
        <w:t>系统实现实物图</w:t>
      </w:r>
      <w:bookmarkEnd w:id="125"/>
    </w:p>
    <w:p w14:paraId="19B0949F">
      <w:pPr>
        <w:spacing w:line="440" w:lineRule="atLeast"/>
      </w:pPr>
      <w:r>
        <w:drawing>
          <wp:inline distT="0" distB="0" distL="0" distR="0">
            <wp:extent cx="5341620" cy="2948305"/>
            <wp:effectExtent l="0" t="0" r="0" b="0"/>
            <wp:docPr id="1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4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341620" cy="2948305"/>
                    </a:xfrm>
                    <a:prstGeom prst="rect">
                      <a:avLst/>
                    </a:prstGeom>
                    <a:noFill/>
                    <a:ln>
                      <a:noFill/>
                    </a:ln>
                  </pic:spPr>
                </pic:pic>
              </a:graphicData>
            </a:graphic>
          </wp:inline>
        </w:drawing>
      </w:r>
    </w:p>
    <w:p w14:paraId="264259ED">
      <w:pPr>
        <w:spacing w:line="440" w:lineRule="exact"/>
      </w:pPr>
    </w:p>
    <w:p w14:paraId="4DE1D48A">
      <w:pPr>
        <w:spacing w:line="440" w:lineRule="atLeast"/>
      </w:pPr>
      <w:r>
        <w:drawing>
          <wp:inline distT="0" distB="0" distL="0" distR="0">
            <wp:extent cx="5337810" cy="2199640"/>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337810" cy="2199640"/>
                    </a:xfrm>
                    <a:prstGeom prst="rect">
                      <a:avLst/>
                    </a:prstGeom>
                    <a:noFill/>
                    <a:ln>
                      <a:noFill/>
                    </a:ln>
                  </pic:spPr>
                </pic:pic>
              </a:graphicData>
            </a:graphic>
          </wp:inline>
        </w:drawing>
      </w:r>
    </w:p>
    <w:sectPr>
      <w:headerReference r:id="rId18" w:type="default"/>
      <w:footerReference r:id="rId20" w:type="default"/>
      <w:headerReference r:id="rId19" w:type="even"/>
      <w:footerReference r:id="rId21" w:type="even"/>
      <w:pgSz w:w="11906" w:h="16838"/>
      <w:pgMar w:top="1418" w:right="1191" w:bottom="1191" w:left="1191" w:header="1418" w:footer="1134" w:gutter="567"/>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2000000000000000000"/>
    <w:charset w:val="86"/>
    <w:family w:val="script"/>
    <w:pitch w:val="default"/>
    <w:sig w:usb0="A00002BF" w:usb1="38CF7CFA" w:usb2="00082016" w:usb3="00000000" w:csb0="00040001"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6755F">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BEC78">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A0ED9">
    <w:pPr>
      <w:pStyle w:val="12"/>
      <w:jc w:val="cente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7A2A0">
    <w:pPr>
      <w:pStyle w:val="12"/>
      <w:jc w:val="center"/>
      <w:rPr>
        <w:rFonts w:hint="eastAsia"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48BFE">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3B1F1">
    <w:pPr>
      <w:pStyle w:val="12"/>
      <w:jc w:val="center"/>
      <w:rPr>
        <w:rFonts w:hint="eastAsia"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V</w:t>
    </w:r>
    <w:r>
      <w:rPr>
        <w:rFonts w:ascii="宋体" w:hAnsi="宋体"/>
      </w:rPr>
      <w:fldChar w:fldCharType="end"/>
    </w:r>
    <w:r>
      <w:rPr>
        <w:rFonts w:ascii="宋体" w:hAnsi="宋体"/>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DC80D">
    <w:pPr>
      <w:pStyle w:val="12"/>
      <w:jc w:val="center"/>
    </w:pPr>
    <w:r>
      <w:rPr>
        <w:rStyle w:val="23"/>
      </w:rPr>
      <w:t>–</w:t>
    </w:r>
    <w:r>
      <w:fldChar w:fldCharType="begin"/>
    </w:r>
    <w:r>
      <w:rPr>
        <w:rStyle w:val="23"/>
      </w:rPr>
      <w:instrText xml:space="preserve"> PAGE </w:instrText>
    </w:r>
    <w:r>
      <w:fldChar w:fldCharType="separate"/>
    </w:r>
    <w:r>
      <w:rPr>
        <w:rStyle w:val="23"/>
      </w:rPr>
      <w:t>2</w:t>
    </w:r>
    <w:r>
      <w:fldChar w:fldCharType="end"/>
    </w:r>
    <w:r>
      <w:rPr>
        <w:rStyle w:val="23"/>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4883">
    <w:pPr>
      <w:pStyle w:val="12"/>
      <w:jc w:val="center"/>
      <w:rPr>
        <w:rFonts w:hint="eastAsia" w:ascii="宋体" w:hAnsi="宋体"/>
      </w:rPr>
    </w:pPr>
    <w:r>
      <w:fldChar w:fldCharType="begin"/>
    </w:r>
    <w:r>
      <w:rPr>
        <w:rStyle w:val="23"/>
      </w:rPr>
      <w:instrText xml:space="preserve"> PAGE </w:instrText>
    </w:r>
    <w:r>
      <w:fldChar w:fldCharType="separate"/>
    </w:r>
    <w:r>
      <w:rPr>
        <w:rStyle w:val="23"/>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E21C5">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D8720">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CD75D">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C309">
    <w:pPr>
      <w:pStyle w:val="13"/>
      <w:rPr>
        <w:rFonts w:hint="eastAsia"/>
      </w:rPr>
    </w:pPr>
    <w:r>
      <w:rPr>
        <w:rFonts w:hint="eastAsia"/>
      </w:rPr>
      <w:t>基于STM32的</w:t>
    </w:r>
    <w:r>
      <w:rPr>
        <w:rFonts w:hint="eastAsia"/>
        <w:lang w:val="en-US" w:eastAsia="zh-CN"/>
      </w:rPr>
      <w:t>音频信号采集与可视化</w:t>
    </w:r>
    <w:r>
      <w:rPr>
        <w:rFonts w:hint="eastAsia"/>
      </w:rPr>
      <w:t>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54E5">
    <w:pPr>
      <w:pStyle w:val="13"/>
    </w:pPr>
    <w:r>
      <w:rPr>
        <w:rFonts w:hint="eastAsia"/>
      </w:rPr>
      <w:t>大连理工大学毕业设计（论文）格式规范</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CAA5">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1A321">
    <w:pPr>
      <w:pStyle w:val="13"/>
    </w:pPr>
    <w:r>
      <w:rPr>
        <w:rFonts w:hint="eastAsia"/>
      </w:rPr>
      <w:t>基于STM32的智能语音识别垃圾分类系统的设计与实现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1B9B4">
    <w:pPr>
      <w:pStyle w:val="13"/>
    </w:pPr>
    <w:r>
      <w:rPr>
        <w:rFonts w:hint="eastAsia"/>
      </w:rPr>
      <w:t>重庆交通大学202</w:t>
    </w:r>
    <w:r>
      <w:rPr>
        <w:rFonts w:hint="eastAsia"/>
        <w:lang w:val="en-US" w:eastAsia="zh-CN"/>
      </w:rPr>
      <w:t>6</w:t>
    </w:r>
    <w:r>
      <w:rPr>
        <w:rFonts w:hint="eastAsia"/>
      </w:rPr>
      <w:t>届通信工程专业毕业设计（论文）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F5142">
    <w:pPr>
      <w:pStyle w:val="13"/>
    </w:pPr>
    <w:r>
      <w:rPr>
        <w:rFonts w:hint="eastAsia"/>
      </w:rPr>
      <w:t>大连理工大学毕业设计（论文）格式规范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3741F2"/>
    <w:multiLevelType w:val="singleLevel"/>
    <w:tmpl w:val="C53741F2"/>
    <w:lvl w:ilvl="0" w:tentative="0">
      <w:start w:val="3"/>
      <w:numFmt w:val="decimal"/>
      <w:suff w:val="space"/>
      <w:lvlText w:val="第%1章"/>
      <w:lvlJc w:val="left"/>
    </w:lvl>
  </w:abstractNum>
  <w:abstractNum w:abstractNumId="1">
    <w:nsid w:val="12EC1BE4"/>
    <w:multiLevelType w:val="multilevel"/>
    <w:tmpl w:val="12EC1BE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15"/>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429"/>
    <w:rsid w:val="00001A19"/>
    <w:rsid w:val="0000434F"/>
    <w:rsid w:val="00006D86"/>
    <w:rsid w:val="000071BE"/>
    <w:rsid w:val="00007D02"/>
    <w:rsid w:val="000102C0"/>
    <w:rsid w:val="00015216"/>
    <w:rsid w:val="00016228"/>
    <w:rsid w:val="00017166"/>
    <w:rsid w:val="000175AE"/>
    <w:rsid w:val="00021BD1"/>
    <w:rsid w:val="00022EEB"/>
    <w:rsid w:val="00026B0C"/>
    <w:rsid w:val="00030792"/>
    <w:rsid w:val="00031363"/>
    <w:rsid w:val="00031563"/>
    <w:rsid w:val="000336DA"/>
    <w:rsid w:val="00035651"/>
    <w:rsid w:val="00036763"/>
    <w:rsid w:val="000402E7"/>
    <w:rsid w:val="00041DCE"/>
    <w:rsid w:val="0004348A"/>
    <w:rsid w:val="00047FF6"/>
    <w:rsid w:val="00052596"/>
    <w:rsid w:val="00057D90"/>
    <w:rsid w:val="00060622"/>
    <w:rsid w:val="000628F6"/>
    <w:rsid w:val="00063C50"/>
    <w:rsid w:val="00067CA5"/>
    <w:rsid w:val="00067F14"/>
    <w:rsid w:val="0007267C"/>
    <w:rsid w:val="0007376F"/>
    <w:rsid w:val="000755DB"/>
    <w:rsid w:val="00076C21"/>
    <w:rsid w:val="000813BD"/>
    <w:rsid w:val="000913D3"/>
    <w:rsid w:val="00093572"/>
    <w:rsid w:val="000968B9"/>
    <w:rsid w:val="000A1220"/>
    <w:rsid w:val="000A18BC"/>
    <w:rsid w:val="000A1A9A"/>
    <w:rsid w:val="000A293E"/>
    <w:rsid w:val="000A548C"/>
    <w:rsid w:val="000B2875"/>
    <w:rsid w:val="000B2EAE"/>
    <w:rsid w:val="000B3AED"/>
    <w:rsid w:val="000B419C"/>
    <w:rsid w:val="000B5F92"/>
    <w:rsid w:val="000B7870"/>
    <w:rsid w:val="000C3230"/>
    <w:rsid w:val="000C5DFD"/>
    <w:rsid w:val="000C7710"/>
    <w:rsid w:val="000D2067"/>
    <w:rsid w:val="000D2A5D"/>
    <w:rsid w:val="000D5680"/>
    <w:rsid w:val="000E4E32"/>
    <w:rsid w:val="000E6C9A"/>
    <w:rsid w:val="000E7CB3"/>
    <w:rsid w:val="000F0F05"/>
    <w:rsid w:val="000F2B5D"/>
    <w:rsid w:val="000F7A2A"/>
    <w:rsid w:val="00106A9C"/>
    <w:rsid w:val="00111CC8"/>
    <w:rsid w:val="001124D0"/>
    <w:rsid w:val="001136EC"/>
    <w:rsid w:val="001145AD"/>
    <w:rsid w:val="00114E3D"/>
    <w:rsid w:val="001151CF"/>
    <w:rsid w:val="00115FCC"/>
    <w:rsid w:val="00116D01"/>
    <w:rsid w:val="0011741E"/>
    <w:rsid w:val="00122CCE"/>
    <w:rsid w:val="0012466E"/>
    <w:rsid w:val="00125CCB"/>
    <w:rsid w:val="00127DFE"/>
    <w:rsid w:val="0013060A"/>
    <w:rsid w:val="0013107B"/>
    <w:rsid w:val="00136156"/>
    <w:rsid w:val="00141AC5"/>
    <w:rsid w:val="00146965"/>
    <w:rsid w:val="00147B52"/>
    <w:rsid w:val="00147EF7"/>
    <w:rsid w:val="001514B1"/>
    <w:rsid w:val="001520B6"/>
    <w:rsid w:val="00152D60"/>
    <w:rsid w:val="00155B98"/>
    <w:rsid w:val="001567C8"/>
    <w:rsid w:val="001614B6"/>
    <w:rsid w:val="00161E88"/>
    <w:rsid w:val="00164863"/>
    <w:rsid w:val="001702BF"/>
    <w:rsid w:val="00174E94"/>
    <w:rsid w:val="00181AE5"/>
    <w:rsid w:val="0018507C"/>
    <w:rsid w:val="00186172"/>
    <w:rsid w:val="00187308"/>
    <w:rsid w:val="00193FEE"/>
    <w:rsid w:val="001973E4"/>
    <w:rsid w:val="001975F8"/>
    <w:rsid w:val="001A463E"/>
    <w:rsid w:val="001A56D0"/>
    <w:rsid w:val="001A5DF4"/>
    <w:rsid w:val="001A6DD1"/>
    <w:rsid w:val="001A7156"/>
    <w:rsid w:val="001A753E"/>
    <w:rsid w:val="001B4B60"/>
    <w:rsid w:val="001C207C"/>
    <w:rsid w:val="001C41BB"/>
    <w:rsid w:val="001C4E17"/>
    <w:rsid w:val="001C58F3"/>
    <w:rsid w:val="001C7552"/>
    <w:rsid w:val="001D1EC7"/>
    <w:rsid w:val="001D21BE"/>
    <w:rsid w:val="001D4C91"/>
    <w:rsid w:val="001D6D54"/>
    <w:rsid w:val="001E37FE"/>
    <w:rsid w:val="001E491F"/>
    <w:rsid w:val="001E7B55"/>
    <w:rsid w:val="001E7D22"/>
    <w:rsid w:val="001F1CDE"/>
    <w:rsid w:val="001F207C"/>
    <w:rsid w:val="001F242E"/>
    <w:rsid w:val="001F2C73"/>
    <w:rsid w:val="001F3530"/>
    <w:rsid w:val="001F5763"/>
    <w:rsid w:val="0020133F"/>
    <w:rsid w:val="00203BC4"/>
    <w:rsid w:val="00206D2E"/>
    <w:rsid w:val="00214606"/>
    <w:rsid w:val="0021465A"/>
    <w:rsid w:val="00220CA1"/>
    <w:rsid w:val="002214AE"/>
    <w:rsid w:val="00221BF2"/>
    <w:rsid w:val="00222BF6"/>
    <w:rsid w:val="00231091"/>
    <w:rsid w:val="002346B7"/>
    <w:rsid w:val="00235B02"/>
    <w:rsid w:val="00237C70"/>
    <w:rsid w:val="00240133"/>
    <w:rsid w:val="0024551E"/>
    <w:rsid w:val="002528F4"/>
    <w:rsid w:val="0025632C"/>
    <w:rsid w:val="00256337"/>
    <w:rsid w:val="00257337"/>
    <w:rsid w:val="00260DBB"/>
    <w:rsid w:val="002622E8"/>
    <w:rsid w:val="00265D27"/>
    <w:rsid w:val="00266A85"/>
    <w:rsid w:val="00267B67"/>
    <w:rsid w:val="002727DF"/>
    <w:rsid w:val="00280E91"/>
    <w:rsid w:val="00283FF0"/>
    <w:rsid w:val="00285716"/>
    <w:rsid w:val="00286FCA"/>
    <w:rsid w:val="00290EDD"/>
    <w:rsid w:val="00295CF4"/>
    <w:rsid w:val="00297184"/>
    <w:rsid w:val="00297A8B"/>
    <w:rsid w:val="002A0209"/>
    <w:rsid w:val="002A2E17"/>
    <w:rsid w:val="002A5D82"/>
    <w:rsid w:val="002A7856"/>
    <w:rsid w:val="002B060D"/>
    <w:rsid w:val="002B1A21"/>
    <w:rsid w:val="002B3167"/>
    <w:rsid w:val="002B5998"/>
    <w:rsid w:val="002B62F3"/>
    <w:rsid w:val="002B7645"/>
    <w:rsid w:val="002C0E1C"/>
    <w:rsid w:val="002D1876"/>
    <w:rsid w:val="002D1A2C"/>
    <w:rsid w:val="002D2B76"/>
    <w:rsid w:val="002D3192"/>
    <w:rsid w:val="002D412D"/>
    <w:rsid w:val="002D7BD6"/>
    <w:rsid w:val="002E49C9"/>
    <w:rsid w:val="002E4E2D"/>
    <w:rsid w:val="002F26EF"/>
    <w:rsid w:val="002F3951"/>
    <w:rsid w:val="002F4E92"/>
    <w:rsid w:val="00300ABD"/>
    <w:rsid w:val="003031BA"/>
    <w:rsid w:val="003037C5"/>
    <w:rsid w:val="00306F98"/>
    <w:rsid w:val="0030737F"/>
    <w:rsid w:val="00307A4E"/>
    <w:rsid w:val="00311502"/>
    <w:rsid w:val="00312AE9"/>
    <w:rsid w:val="00312E1C"/>
    <w:rsid w:val="00313098"/>
    <w:rsid w:val="00316891"/>
    <w:rsid w:val="00320B03"/>
    <w:rsid w:val="00327AA9"/>
    <w:rsid w:val="00327CEE"/>
    <w:rsid w:val="00327FAA"/>
    <w:rsid w:val="00341F39"/>
    <w:rsid w:val="00346352"/>
    <w:rsid w:val="00353F3F"/>
    <w:rsid w:val="00361217"/>
    <w:rsid w:val="00361DBE"/>
    <w:rsid w:val="00364726"/>
    <w:rsid w:val="00367A12"/>
    <w:rsid w:val="00371421"/>
    <w:rsid w:val="00371AC6"/>
    <w:rsid w:val="00372253"/>
    <w:rsid w:val="0037288E"/>
    <w:rsid w:val="003767AC"/>
    <w:rsid w:val="00386767"/>
    <w:rsid w:val="0039329B"/>
    <w:rsid w:val="00394182"/>
    <w:rsid w:val="003A222D"/>
    <w:rsid w:val="003A3E60"/>
    <w:rsid w:val="003A4006"/>
    <w:rsid w:val="003A661C"/>
    <w:rsid w:val="003B148A"/>
    <w:rsid w:val="003B19B3"/>
    <w:rsid w:val="003B44E1"/>
    <w:rsid w:val="003B4742"/>
    <w:rsid w:val="003B6218"/>
    <w:rsid w:val="003B6429"/>
    <w:rsid w:val="003C1E11"/>
    <w:rsid w:val="003C3BEB"/>
    <w:rsid w:val="003C454E"/>
    <w:rsid w:val="003C7B52"/>
    <w:rsid w:val="003D4F92"/>
    <w:rsid w:val="003E21ED"/>
    <w:rsid w:val="003E25F1"/>
    <w:rsid w:val="003E4509"/>
    <w:rsid w:val="003E7286"/>
    <w:rsid w:val="003F0112"/>
    <w:rsid w:val="003F0174"/>
    <w:rsid w:val="003F1F07"/>
    <w:rsid w:val="003F2E33"/>
    <w:rsid w:val="003F3F8E"/>
    <w:rsid w:val="003F4D69"/>
    <w:rsid w:val="003F59E9"/>
    <w:rsid w:val="003F6615"/>
    <w:rsid w:val="003F7CFE"/>
    <w:rsid w:val="004006EE"/>
    <w:rsid w:val="004014FB"/>
    <w:rsid w:val="004043B1"/>
    <w:rsid w:val="0040569E"/>
    <w:rsid w:val="00413A6E"/>
    <w:rsid w:val="004249D0"/>
    <w:rsid w:val="00424E2E"/>
    <w:rsid w:val="0042582C"/>
    <w:rsid w:val="00435D73"/>
    <w:rsid w:val="0044097B"/>
    <w:rsid w:val="00441882"/>
    <w:rsid w:val="004421A6"/>
    <w:rsid w:val="004502CC"/>
    <w:rsid w:val="004654F4"/>
    <w:rsid w:val="00465777"/>
    <w:rsid w:val="00466E3C"/>
    <w:rsid w:val="0046718C"/>
    <w:rsid w:val="00473738"/>
    <w:rsid w:val="004750A3"/>
    <w:rsid w:val="0047521F"/>
    <w:rsid w:val="00475690"/>
    <w:rsid w:val="00482B84"/>
    <w:rsid w:val="00485617"/>
    <w:rsid w:val="004873CE"/>
    <w:rsid w:val="00492A81"/>
    <w:rsid w:val="00494B6A"/>
    <w:rsid w:val="004A346A"/>
    <w:rsid w:val="004A4FE8"/>
    <w:rsid w:val="004B22BB"/>
    <w:rsid w:val="004B353B"/>
    <w:rsid w:val="004B5DC7"/>
    <w:rsid w:val="004C17B2"/>
    <w:rsid w:val="004C2EE4"/>
    <w:rsid w:val="004C3C34"/>
    <w:rsid w:val="004C59AC"/>
    <w:rsid w:val="004D1B4F"/>
    <w:rsid w:val="004D1FB9"/>
    <w:rsid w:val="004E07CE"/>
    <w:rsid w:val="004E6AF9"/>
    <w:rsid w:val="004E6D80"/>
    <w:rsid w:val="004E7DBB"/>
    <w:rsid w:val="004F002B"/>
    <w:rsid w:val="004F0653"/>
    <w:rsid w:val="004F2BA4"/>
    <w:rsid w:val="004F34ED"/>
    <w:rsid w:val="005018E9"/>
    <w:rsid w:val="005038F5"/>
    <w:rsid w:val="00504834"/>
    <w:rsid w:val="00504E96"/>
    <w:rsid w:val="00505E82"/>
    <w:rsid w:val="00516099"/>
    <w:rsid w:val="0051670E"/>
    <w:rsid w:val="0051748B"/>
    <w:rsid w:val="005217C6"/>
    <w:rsid w:val="0052389A"/>
    <w:rsid w:val="005334E0"/>
    <w:rsid w:val="00533F00"/>
    <w:rsid w:val="00534320"/>
    <w:rsid w:val="00534ADA"/>
    <w:rsid w:val="0053613E"/>
    <w:rsid w:val="0053684A"/>
    <w:rsid w:val="00543BC7"/>
    <w:rsid w:val="00545CB9"/>
    <w:rsid w:val="00546E48"/>
    <w:rsid w:val="00550175"/>
    <w:rsid w:val="00553739"/>
    <w:rsid w:val="00554228"/>
    <w:rsid w:val="00555128"/>
    <w:rsid w:val="00556CFB"/>
    <w:rsid w:val="005650CE"/>
    <w:rsid w:val="00567829"/>
    <w:rsid w:val="00572B2E"/>
    <w:rsid w:val="00574CE2"/>
    <w:rsid w:val="00576F62"/>
    <w:rsid w:val="00582CB5"/>
    <w:rsid w:val="00584E61"/>
    <w:rsid w:val="00586099"/>
    <w:rsid w:val="00587697"/>
    <w:rsid w:val="0059701F"/>
    <w:rsid w:val="005A1354"/>
    <w:rsid w:val="005A16E1"/>
    <w:rsid w:val="005A1FDB"/>
    <w:rsid w:val="005A5967"/>
    <w:rsid w:val="005A7768"/>
    <w:rsid w:val="005B000C"/>
    <w:rsid w:val="005B16CC"/>
    <w:rsid w:val="005C385C"/>
    <w:rsid w:val="005C5B05"/>
    <w:rsid w:val="005D6F47"/>
    <w:rsid w:val="005D7A68"/>
    <w:rsid w:val="005E0EEA"/>
    <w:rsid w:val="005E1475"/>
    <w:rsid w:val="005E3901"/>
    <w:rsid w:val="005E598A"/>
    <w:rsid w:val="005E5AC6"/>
    <w:rsid w:val="005F08FF"/>
    <w:rsid w:val="005F1755"/>
    <w:rsid w:val="005F2CCB"/>
    <w:rsid w:val="005F5C09"/>
    <w:rsid w:val="00613D3C"/>
    <w:rsid w:val="006144B6"/>
    <w:rsid w:val="00616547"/>
    <w:rsid w:val="0061697C"/>
    <w:rsid w:val="00621AC8"/>
    <w:rsid w:val="00621EA2"/>
    <w:rsid w:val="00624D23"/>
    <w:rsid w:val="00627915"/>
    <w:rsid w:val="006304F9"/>
    <w:rsid w:val="00631F12"/>
    <w:rsid w:val="00632E46"/>
    <w:rsid w:val="00632EF6"/>
    <w:rsid w:val="00642B2D"/>
    <w:rsid w:val="00644683"/>
    <w:rsid w:val="0064787D"/>
    <w:rsid w:val="006548B5"/>
    <w:rsid w:val="00656479"/>
    <w:rsid w:val="006566D7"/>
    <w:rsid w:val="00660390"/>
    <w:rsid w:val="00662F5E"/>
    <w:rsid w:val="006675D0"/>
    <w:rsid w:val="0067175A"/>
    <w:rsid w:val="00672807"/>
    <w:rsid w:val="00674E38"/>
    <w:rsid w:val="00675872"/>
    <w:rsid w:val="00676020"/>
    <w:rsid w:val="00680FBC"/>
    <w:rsid w:val="0068131A"/>
    <w:rsid w:val="006826F4"/>
    <w:rsid w:val="00683899"/>
    <w:rsid w:val="00684F89"/>
    <w:rsid w:val="00686E46"/>
    <w:rsid w:val="00690B05"/>
    <w:rsid w:val="006943BD"/>
    <w:rsid w:val="00695D27"/>
    <w:rsid w:val="006A4497"/>
    <w:rsid w:val="006A4719"/>
    <w:rsid w:val="006B1F49"/>
    <w:rsid w:val="006C0430"/>
    <w:rsid w:val="006C0DF1"/>
    <w:rsid w:val="006C127D"/>
    <w:rsid w:val="006C1D98"/>
    <w:rsid w:val="006C1FBF"/>
    <w:rsid w:val="006C2558"/>
    <w:rsid w:val="006C5425"/>
    <w:rsid w:val="006C743F"/>
    <w:rsid w:val="006D5C8D"/>
    <w:rsid w:val="006E0E74"/>
    <w:rsid w:val="006E48A9"/>
    <w:rsid w:val="006E4B0D"/>
    <w:rsid w:val="006E4DEB"/>
    <w:rsid w:val="006E528E"/>
    <w:rsid w:val="006F252A"/>
    <w:rsid w:val="006F4AD3"/>
    <w:rsid w:val="00703E65"/>
    <w:rsid w:val="0070457D"/>
    <w:rsid w:val="00705A94"/>
    <w:rsid w:val="00705C11"/>
    <w:rsid w:val="0070606F"/>
    <w:rsid w:val="0070748C"/>
    <w:rsid w:val="007111BB"/>
    <w:rsid w:val="00712AE8"/>
    <w:rsid w:val="00712DC2"/>
    <w:rsid w:val="00713889"/>
    <w:rsid w:val="00714EE1"/>
    <w:rsid w:val="00715CFB"/>
    <w:rsid w:val="007162F0"/>
    <w:rsid w:val="0072125A"/>
    <w:rsid w:val="007213F3"/>
    <w:rsid w:val="007250DA"/>
    <w:rsid w:val="00734D1A"/>
    <w:rsid w:val="00735C57"/>
    <w:rsid w:val="0074146B"/>
    <w:rsid w:val="00747912"/>
    <w:rsid w:val="00751746"/>
    <w:rsid w:val="00751CBF"/>
    <w:rsid w:val="0076364D"/>
    <w:rsid w:val="00764824"/>
    <w:rsid w:val="00764D49"/>
    <w:rsid w:val="00771CD6"/>
    <w:rsid w:val="0077260E"/>
    <w:rsid w:val="00774488"/>
    <w:rsid w:val="00774B06"/>
    <w:rsid w:val="00783E66"/>
    <w:rsid w:val="00783F12"/>
    <w:rsid w:val="007937BB"/>
    <w:rsid w:val="007A0F52"/>
    <w:rsid w:val="007A3B49"/>
    <w:rsid w:val="007A552B"/>
    <w:rsid w:val="007A59FD"/>
    <w:rsid w:val="007A60DF"/>
    <w:rsid w:val="007B0F01"/>
    <w:rsid w:val="007B1F07"/>
    <w:rsid w:val="007B6C65"/>
    <w:rsid w:val="007B79C5"/>
    <w:rsid w:val="007C082E"/>
    <w:rsid w:val="007C18C4"/>
    <w:rsid w:val="007D1747"/>
    <w:rsid w:val="007D2D74"/>
    <w:rsid w:val="007D33A8"/>
    <w:rsid w:val="007D40B6"/>
    <w:rsid w:val="007D56D3"/>
    <w:rsid w:val="007F00FC"/>
    <w:rsid w:val="007F3F65"/>
    <w:rsid w:val="007F56FB"/>
    <w:rsid w:val="007F571F"/>
    <w:rsid w:val="00801C39"/>
    <w:rsid w:val="008052F5"/>
    <w:rsid w:val="0080570A"/>
    <w:rsid w:val="008064D1"/>
    <w:rsid w:val="0081029F"/>
    <w:rsid w:val="00810EF7"/>
    <w:rsid w:val="0081115A"/>
    <w:rsid w:val="0081501D"/>
    <w:rsid w:val="00822EA9"/>
    <w:rsid w:val="00824A17"/>
    <w:rsid w:val="00826306"/>
    <w:rsid w:val="00826DD5"/>
    <w:rsid w:val="00827BDD"/>
    <w:rsid w:val="008347EF"/>
    <w:rsid w:val="008404F8"/>
    <w:rsid w:val="00842655"/>
    <w:rsid w:val="00842DF5"/>
    <w:rsid w:val="008441F7"/>
    <w:rsid w:val="00844423"/>
    <w:rsid w:val="00846C35"/>
    <w:rsid w:val="00847B48"/>
    <w:rsid w:val="00853DB3"/>
    <w:rsid w:val="00853FFB"/>
    <w:rsid w:val="00854369"/>
    <w:rsid w:val="0085615A"/>
    <w:rsid w:val="0085795F"/>
    <w:rsid w:val="008609A9"/>
    <w:rsid w:val="00862AF2"/>
    <w:rsid w:val="0086394D"/>
    <w:rsid w:val="0086407A"/>
    <w:rsid w:val="0086498A"/>
    <w:rsid w:val="008675DF"/>
    <w:rsid w:val="008731AB"/>
    <w:rsid w:val="00880E1A"/>
    <w:rsid w:val="00884415"/>
    <w:rsid w:val="008859A1"/>
    <w:rsid w:val="00891258"/>
    <w:rsid w:val="00891CCF"/>
    <w:rsid w:val="008928E2"/>
    <w:rsid w:val="008933C5"/>
    <w:rsid w:val="00895D53"/>
    <w:rsid w:val="008A6465"/>
    <w:rsid w:val="008B0287"/>
    <w:rsid w:val="008B0E4B"/>
    <w:rsid w:val="008B13E0"/>
    <w:rsid w:val="008B165B"/>
    <w:rsid w:val="008B234C"/>
    <w:rsid w:val="008B2C80"/>
    <w:rsid w:val="008B3D03"/>
    <w:rsid w:val="008B6A43"/>
    <w:rsid w:val="008B7436"/>
    <w:rsid w:val="008C0C17"/>
    <w:rsid w:val="008C4A7D"/>
    <w:rsid w:val="008C5EBB"/>
    <w:rsid w:val="008C6F30"/>
    <w:rsid w:val="008C7FF3"/>
    <w:rsid w:val="008D5637"/>
    <w:rsid w:val="008E1C32"/>
    <w:rsid w:val="008E1DD9"/>
    <w:rsid w:val="008E6A1F"/>
    <w:rsid w:val="008F0053"/>
    <w:rsid w:val="008F46CE"/>
    <w:rsid w:val="008F46F9"/>
    <w:rsid w:val="008F54A5"/>
    <w:rsid w:val="008F6D20"/>
    <w:rsid w:val="008F716C"/>
    <w:rsid w:val="008F7A16"/>
    <w:rsid w:val="00900709"/>
    <w:rsid w:val="009019A5"/>
    <w:rsid w:val="00906269"/>
    <w:rsid w:val="00910135"/>
    <w:rsid w:val="0091536A"/>
    <w:rsid w:val="00921B3A"/>
    <w:rsid w:val="009243E7"/>
    <w:rsid w:val="00924BC7"/>
    <w:rsid w:val="009255A5"/>
    <w:rsid w:val="00925D92"/>
    <w:rsid w:val="0093366C"/>
    <w:rsid w:val="00933B0D"/>
    <w:rsid w:val="0093456F"/>
    <w:rsid w:val="00937D67"/>
    <w:rsid w:val="00940CB9"/>
    <w:rsid w:val="0094201A"/>
    <w:rsid w:val="00942607"/>
    <w:rsid w:val="0094453E"/>
    <w:rsid w:val="009475CA"/>
    <w:rsid w:val="00951A21"/>
    <w:rsid w:val="00952326"/>
    <w:rsid w:val="00961FD9"/>
    <w:rsid w:val="009731FE"/>
    <w:rsid w:val="00973CE1"/>
    <w:rsid w:val="00973E57"/>
    <w:rsid w:val="00975309"/>
    <w:rsid w:val="00975C4D"/>
    <w:rsid w:val="009771B9"/>
    <w:rsid w:val="00977CDC"/>
    <w:rsid w:val="00983264"/>
    <w:rsid w:val="00983794"/>
    <w:rsid w:val="00984D99"/>
    <w:rsid w:val="00987D54"/>
    <w:rsid w:val="0099118E"/>
    <w:rsid w:val="00992485"/>
    <w:rsid w:val="0099282B"/>
    <w:rsid w:val="00992CD0"/>
    <w:rsid w:val="009944F0"/>
    <w:rsid w:val="00996090"/>
    <w:rsid w:val="009A075A"/>
    <w:rsid w:val="009A1DBC"/>
    <w:rsid w:val="009A359C"/>
    <w:rsid w:val="009A65FD"/>
    <w:rsid w:val="009A6CC3"/>
    <w:rsid w:val="009B09A7"/>
    <w:rsid w:val="009B2A04"/>
    <w:rsid w:val="009B5394"/>
    <w:rsid w:val="009B6966"/>
    <w:rsid w:val="009B7264"/>
    <w:rsid w:val="009B770F"/>
    <w:rsid w:val="009C0AF6"/>
    <w:rsid w:val="009C0F43"/>
    <w:rsid w:val="009C2E0D"/>
    <w:rsid w:val="009C43D6"/>
    <w:rsid w:val="009C626C"/>
    <w:rsid w:val="009C69B1"/>
    <w:rsid w:val="009D2AFB"/>
    <w:rsid w:val="009D31DB"/>
    <w:rsid w:val="009D3F06"/>
    <w:rsid w:val="009D7F1D"/>
    <w:rsid w:val="009E7121"/>
    <w:rsid w:val="009F0048"/>
    <w:rsid w:val="009F24CB"/>
    <w:rsid w:val="009F38A0"/>
    <w:rsid w:val="009F59D1"/>
    <w:rsid w:val="00A01328"/>
    <w:rsid w:val="00A03B5C"/>
    <w:rsid w:val="00A03DA8"/>
    <w:rsid w:val="00A04F5C"/>
    <w:rsid w:val="00A05DA8"/>
    <w:rsid w:val="00A10842"/>
    <w:rsid w:val="00A11084"/>
    <w:rsid w:val="00A14739"/>
    <w:rsid w:val="00A14F54"/>
    <w:rsid w:val="00A153F9"/>
    <w:rsid w:val="00A2495D"/>
    <w:rsid w:val="00A32E4B"/>
    <w:rsid w:val="00A33EDB"/>
    <w:rsid w:val="00A36C70"/>
    <w:rsid w:val="00A41020"/>
    <w:rsid w:val="00A4124B"/>
    <w:rsid w:val="00A4662E"/>
    <w:rsid w:val="00A52F71"/>
    <w:rsid w:val="00A5663D"/>
    <w:rsid w:val="00A56C50"/>
    <w:rsid w:val="00A56E69"/>
    <w:rsid w:val="00A5702B"/>
    <w:rsid w:val="00A57147"/>
    <w:rsid w:val="00A61B48"/>
    <w:rsid w:val="00A63341"/>
    <w:rsid w:val="00A717AF"/>
    <w:rsid w:val="00A77BD6"/>
    <w:rsid w:val="00A8332F"/>
    <w:rsid w:val="00A92F78"/>
    <w:rsid w:val="00A9402E"/>
    <w:rsid w:val="00A9470C"/>
    <w:rsid w:val="00A9533A"/>
    <w:rsid w:val="00A97AEE"/>
    <w:rsid w:val="00AA0D1B"/>
    <w:rsid w:val="00AA3AC0"/>
    <w:rsid w:val="00AB196E"/>
    <w:rsid w:val="00AB3552"/>
    <w:rsid w:val="00AB3A36"/>
    <w:rsid w:val="00AB5F15"/>
    <w:rsid w:val="00AC0694"/>
    <w:rsid w:val="00AC5230"/>
    <w:rsid w:val="00AC6362"/>
    <w:rsid w:val="00AD0A40"/>
    <w:rsid w:val="00AE25A0"/>
    <w:rsid w:val="00AE3977"/>
    <w:rsid w:val="00AE3D3B"/>
    <w:rsid w:val="00AE77FA"/>
    <w:rsid w:val="00AE79B5"/>
    <w:rsid w:val="00AF3203"/>
    <w:rsid w:val="00AF4E9A"/>
    <w:rsid w:val="00AF763D"/>
    <w:rsid w:val="00AF78F1"/>
    <w:rsid w:val="00B0009F"/>
    <w:rsid w:val="00B014BE"/>
    <w:rsid w:val="00B02A00"/>
    <w:rsid w:val="00B10E95"/>
    <w:rsid w:val="00B11926"/>
    <w:rsid w:val="00B159C7"/>
    <w:rsid w:val="00B22C6D"/>
    <w:rsid w:val="00B23181"/>
    <w:rsid w:val="00B237D7"/>
    <w:rsid w:val="00B23C11"/>
    <w:rsid w:val="00B26112"/>
    <w:rsid w:val="00B30578"/>
    <w:rsid w:val="00B30F21"/>
    <w:rsid w:val="00B324C8"/>
    <w:rsid w:val="00B4110A"/>
    <w:rsid w:val="00B419B7"/>
    <w:rsid w:val="00B50883"/>
    <w:rsid w:val="00B50F71"/>
    <w:rsid w:val="00B560E6"/>
    <w:rsid w:val="00B56743"/>
    <w:rsid w:val="00B603BF"/>
    <w:rsid w:val="00B611E1"/>
    <w:rsid w:val="00B6161F"/>
    <w:rsid w:val="00B70644"/>
    <w:rsid w:val="00B73345"/>
    <w:rsid w:val="00B7412E"/>
    <w:rsid w:val="00B764E2"/>
    <w:rsid w:val="00B8235E"/>
    <w:rsid w:val="00B83963"/>
    <w:rsid w:val="00B84ACE"/>
    <w:rsid w:val="00B873C6"/>
    <w:rsid w:val="00B8788A"/>
    <w:rsid w:val="00B9613F"/>
    <w:rsid w:val="00B96302"/>
    <w:rsid w:val="00B97B6C"/>
    <w:rsid w:val="00BA0234"/>
    <w:rsid w:val="00BA49C2"/>
    <w:rsid w:val="00BA5746"/>
    <w:rsid w:val="00BA63F0"/>
    <w:rsid w:val="00BA7D9C"/>
    <w:rsid w:val="00BB33F2"/>
    <w:rsid w:val="00BB4580"/>
    <w:rsid w:val="00BB66E4"/>
    <w:rsid w:val="00BC35AB"/>
    <w:rsid w:val="00BC7724"/>
    <w:rsid w:val="00BD5CB2"/>
    <w:rsid w:val="00BD73A5"/>
    <w:rsid w:val="00BE07E5"/>
    <w:rsid w:val="00BE1E19"/>
    <w:rsid w:val="00BE2AF1"/>
    <w:rsid w:val="00BE3052"/>
    <w:rsid w:val="00BE4BED"/>
    <w:rsid w:val="00BF1E3D"/>
    <w:rsid w:val="00BF2DFF"/>
    <w:rsid w:val="00BF4485"/>
    <w:rsid w:val="00BF5A16"/>
    <w:rsid w:val="00C02188"/>
    <w:rsid w:val="00C03574"/>
    <w:rsid w:val="00C051D9"/>
    <w:rsid w:val="00C0671E"/>
    <w:rsid w:val="00C06783"/>
    <w:rsid w:val="00C06F4F"/>
    <w:rsid w:val="00C07B11"/>
    <w:rsid w:val="00C107DC"/>
    <w:rsid w:val="00C11167"/>
    <w:rsid w:val="00C305D4"/>
    <w:rsid w:val="00C30607"/>
    <w:rsid w:val="00C31D25"/>
    <w:rsid w:val="00C50BF8"/>
    <w:rsid w:val="00C51BD9"/>
    <w:rsid w:val="00C53234"/>
    <w:rsid w:val="00C54455"/>
    <w:rsid w:val="00C6009B"/>
    <w:rsid w:val="00C635B1"/>
    <w:rsid w:val="00C63E70"/>
    <w:rsid w:val="00C654FA"/>
    <w:rsid w:val="00C73493"/>
    <w:rsid w:val="00C74093"/>
    <w:rsid w:val="00C75A41"/>
    <w:rsid w:val="00C83709"/>
    <w:rsid w:val="00C85715"/>
    <w:rsid w:val="00C86DC5"/>
    <w:rsid w:val="00C925DF"/>
    <w:rsid w:val="00C93A54"/>
    <w:rsid w:val="00C94272"/>
    <w:rsid w:val="00C944B8"/>
    <w:rsid w:val="00C9489E"/>
    <w:rsid w:val="00CB340B"/>
    <w:rsid w:val="00CB38A8"/>
    <w:rsid w:val="00CC0551"/>
    <w:rsid w:val="00CC520D"/>
    <w:rsid w:val="00CC6CA0"/>
    <w:rsid w:val="00CC78B8"/>
    <w:rsid w:val="00CE0CDF"/>
    <w:rsid w:val="00CE2559"/>
    <w:rsid w:val="00CE3900"/>
    <w:rsid w:val="00CE4F6D"/>
    <w:rsid w:val="00CF0710"/>
    <w:rsid w:val="00CF394C"/>
    <w:rsid w:val="00CF44DF"/>
    <w:rsid w:val="00CF4E9A"/>
    <w:rsid w:val="00CF507F"/>
    <w:rsid w:val="00CF6D27"/>
    <w:rsid w:val="00CF72FA"/>
    <w:rsid w:val="00D05759"/>
    <w:rsid w:val="00D05AC3"/>
    <w:rsid w:val="00D06ABF"/>
    <w:rsid w:val="00D1080A"/>
    <w:rsid w:val="00D14499"/>
    <w:rsid w:val="00D14A45"/>
    <w:rsid w:val="00D1567B"/>
    <w:rsid w:val="00D20F51"/>
    <w:rsid w:val="00D247F8"/>
    <w:rsid w:val="00D25CF5"/>
    <w:rsid w:val="00D26002"/>
    <w:rsid w:val="00D30AA2"/>
    <w:rsid w:val="00D32AF7"/>
    <w:rsid w:val="00D33043"/>
    <w:rsid w:val="00D44D66"/>
    <w:rsid w:val="00D463C8"/>
    <w:rsid w:val="00D465AA"/>
    <w:rsid w:val="00D50F21"/>
    <w:rsid w:val="00D53219"/>
    <w:rsid w:val="00D55B45"/>
    <w:rsid w:val="00D61812"/>
    <w:rsid w:val="00D64D0D"/>
    <w:rsid w:val="00D66355"/>
    <w:rsid w:val="00D66CBC"/>
    <w:rsid w:val="00D705B1"/>
    <w:rsid w:val="00D716A5"/>
    <w:rsid w:val="00D7182D"/>
    <w:rsid w:val="00D75A6A"/>
    <w:rsid w:val="00D8061E"/>
    <w:rsid w:val="00D8108A"/>
    <w:rsid w:val="00D83E60"/>
    <w:rsid w:val="00D9112F"/>
    <w:rsid w:val="00D92A7E"/>
    <w:rsid w:val="00DA0545"/>
    <w:rsid w:val="00DA79C5"/>
    <w:rsid w:val="00DB2993"/>
    <w:rsid w:val="00DB5FF9"/>
    <w:rsid w:val="00DC3ACE"/>
    <w:rsid w:val="00DC58DE"/>
    <w:rsid w:val="00DD246A"/>
    <w:rsid w:val="00DD33CB"/>
    <w:rsid w:val="00DD4DEC"/>
    <w:rsid w:val="00DD5201"/>
    <w:rsid w:val="00DD7335"/>
    <w:rsid w:val="00DE0561"/>
    <w:rsid w:val="00DE1969"/>
    <w:rsid w:val="00DE4AB4"/>
    <w:rsid w:val="00DE4CFF"/>
    <w:rsid w:val="00DE727E"/>
    <w:rsid w:val="00DE7919"/>
    <w:rsid w:val="00DF73E1"/>
    <w:rsid w:val="00E00724"/>
    <w:rsid w:val="00E00D60"/>
    <w:rsid w:val="00E013B3"/>
    <w:rsid w:val="00E03A38"/>
    <w:rsid w:val="00E056B2"/>
    <w:rsid w:val="00E07A13"/>
    <w:rsid w:val="00E103CC"/>
    <w:rsid w:val="00E11AC7"/>
    <w:rsid w:val="00E13035"/>
    <w:rsid w:val="00E13F0D"/>
    <w:rsid w:val="00E161EE"/>
    <w:rsid w:val="00E22B92"/>
    <w:rsid w:val="00E24059"/>
    <w:rsid w:val="00E319DD"/>
    <w:rsid w:val="00E3398E"/>
    <w:rsid w:val="00E33B1C"/>
    <w:rsid w:val="00E34034"/>
    <w:rsid w:val="00E373E3"/>
    <w:rsid w:val="00E427B8"/>
    <w:rsid w:val="00E43E9D"/>
    <w:rsid w:val="00E46D54"/>
    <w:rsid w:val="00E5102F"/>
    <w:rsid w:val="00E54D9E"/>
    <w:rsid w:val="00E556BF"/>
    <w:rsid w:val="00E64F19"/>
    <w:rsid w:val="00E65CAD"/>
    <w:rsid w:val="00E66154"/>
    <w:rsid w:val="00E8168C"/>
    <w:rsid w:val="00E85347"/>
    <w:rsid w:val="00E8634C"/>
    <w:rsid w:val="00E9045E"/>
    <w:rsid w:val="00E9131D"/>
    <w:rsid w:val="00E92A4D"/>
    <w:rsid w:val="00E93B69"/>
    <w:rsid w:val="00EB0F64"/>
    <w:rsid w:val="00EB3843"/>
    <w:rsid w:val="00EB5AED"/>
    <w:rsid w:val="00EC13E2"/>
    <w:rsid w:val="00ED7F7C"/>
    <w:rsid w:val="00EE074D"/>
    <w:rsid w:val="00EE3CBF"/>
    <w:rsid w:val="00EE4F50"/>
    <w:rsid w:val="00EE5065"/>
    <w:rsid w:val="00EE514E"/>
    <w:rsid w:val="00EE68E9"/>
    <w:rsid w:val="00EE767E"/>
    <w:rsid w:val="00EF58C5"/>
    <w:rsid w:val="00EF5A01"/>
    <w:rsid w:val="00EF7B9B"/>
    <w:rsid w:val="00F049D2"/>
    <w:rsid w:val="00F04F80"/>
    <w:rsid w:val="00F0770B"/>
    <w:rsid w:val="00F127E5"/>
    <w:rsid w:val="00F164D8"/>
    <w:rsid w:val="00F16F5E"/>
    <w:rsid w:val="00F17489"/>
    <w:rsid w:val="00F203D7"/>
    <w:rsid w:val="00F20B38"/>
    <w:rsid w:val="00F22D82"/>
    <w:rsid w:val="00F2393A"/>
    <w:rsid w:val="00F263AF"/>
    <w:rsid w:val="00F30B15"/>
    <w:rsid w:val="00F3145A"/>
    <w:rsid w:val="00F36134"/>
    <w:rsid w:val="00F43091"/>
    <w:rsid w:val="00F4381C"/>
    <w:rsid w:val="00F44CA5"/>
    <w:rsid w:val="00F4654E"/>
    <w:rsid w:val="00F5142D"/>
    <w:rsid w:val="00F54D43"/>
    <w:rsid w:val="00F550C2"/>
    <w:rsid w:val="00F55128"/>
    <w:rsid w:val="00F55BD6"/>
    <w:rsid w:val="00F56C01"/>
    <w:rsid w:val="00F57E6B"/>
    <w:rsid w:val="00F62AC9"/>
    <w:rsid w:val="00F67264"/>
    <w:rsid w:val="00F8022E"/>
    <w:rsid w:val="00F803B7"/>
    <w:rsid w:val="00F80623"/>
    <w:rsid w:val="00F86B6C"/>
    <w:rsid w:val="00F870A4"/>
    <w:rsid w:val="00F87CE1"/>
    <w:rsid w:val="00F9067C"/>
    <w:rsid w:val="00F93883"/>
    <w:rsid w:val="00F95FD1"/>
    <w:rsid w:val="00FA1B15"/>
    <w:rsid w:val="00FA2033"/>
    <w:rsid w:val="00FA212F"/>
    <w:rsid w:val="00FB7376"/>
    <w:rsid w:val="00FB7F2E"/>
    <w:rsid w:val="00FD3FD0"/>
    <w:rsid w:val="00FD51FF"/>
    <w:rsid w:val="00FD6DA6"/>
    <w:rsid w:val="00FD7D1C"/>
    <w:rsid w:val="00FE00BC"/>
    <w:rsid w:val="00FE068D"/>
    <w:rsid w:val="00FE0E15"/>
    <w:rsid w:val="00FE2B94"/>
    <w:rsid w:val="00FE36CE"/>
    <w:rsid w:val="00FE682B"/>
    <w:rsid w:val="00FF2A3A"/>
    <w:rsid w:val="00FF4B67"/>
    <w:rsid w:val="059E0EE2"/>
    <w:rsid w:val="0A233780"/>
    <w:rsid w:val="0B746B46"/>
    <w:rsid w:val="0EEC7508"/>
    <w:rsid w:val="241D7143"/>
    <w:rsid w:val="2BCC4267"/>
    <w:rsid w:val="2F8322D4"/>
    <w:rsid w:val="34AC59CD"/>
    <w:rsid w:val="34B40D92"/>
    <w:rsid w:val="391F5588"/>
    <w:rsid w:val="40DC4931"/>
    <w:rsid w:val="41B21C7F"/>
    <w:rsid w:val="42F010A9"/>
    <w:rsid w:val="50894BE5"/>
    <w:rsid w:val="56BD52FF"/>
    <w:rsid w:val="5EF0702E"/>
    <w:rsid w:val="67F93338"/>
    <w:rsid w:val="6F141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jc w:val="center"/>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6">
    <w:name w:val="toc 7"/>
    <w:basedOn w:val="1"/>
    <w:next w:val="1"/>
    <w:semiHidden/>
    <w:qFormat/>
    <w:uiPriority w:val="0"/>
    <w:pPr>
      <w:widowControl w:val="0"/>
      <w:tabs>
        <w:tab w:val="clear" w:pos="377"/>
      </w:tabs>
      <w:spacing w:line="240" w:lineRule="auto"/>
      <w:ind w:left="2520" w:leftChars="1200"/>
    </w:pPr>
    <w:rPr>
      <w:kern w:val="2"/>
      <w:sz w:val="21"/>
    </w:rPr>
  </w:style>
  <w:style w:type="paragraph" w:styleId="7">
    <w:name w:val="annotation text"/>
    <w:basedOn w:val="1"/>
    <w:link w:val="42"/>
    <w:qFormat/>
    <w:uiPriority w:val="0"/>
    <w:pPr>
      <w:jc w:val="left"/>
    </w:pPr>
  </w:style>
  <w:style w:type="paragraph" w:styleId="8">
    <w:name w:val="Body Text Indent"/>
    <w:basedOn w:val="1"/>
    <w:link w:val="26"/>
    <w:qFormat/>
    <w:uiPriority w:val="0"/>
    <w:pPr>
      <w:spacing w:after="120"/>
      <w:ind w:left="420" w:leftChars="200"/>
    </w:pPr>
  </w:style>
  <w:style w:type="paragraph" w:styleId="9">
    <w:name w:val="toc 3"/>
    <w:basedOn w:val="1"/>
    <w:next w:val="1"/>
    <w:qFormat/>
    <w:uiPriority w:val="39"/>
    <w:pPr>
      <w:tabs>
        <w:tab w:val="clear" w:pos="377"/>
      </w:tabs>
      <w:ind w:left="840" w:leftChars="400"/>
    </w:pPr>
  </w:style>
  <w:style w:type="paragraph" w:styleId="10">
    <w:name w:val="Body Text Indent 2"/>
    <w:basedOn w:val="1"/>
    <w:link w:val="27"/>
    <w:qFormat/>
    <w:uiPriority w:val="0"/>
    <w:pPr>
      <w:widowControl w:val="0"/>
      <w:tabs>
        <w:tab w:val="clear" w:pos="377"/>
      </w:tabs>
      <w:spacing w:line="240" w:lineRule="auto"/>
      <w:ind w:firstLine="435"/>
    </w:pPr>
    <w:rPr>
      <w:kern w:val="2"/>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 w:val="clear" w:pos="377"/>
      </w:tabs>
      <w:spacing w:before="600" w:line="180" w:lineRule="atLeast"/>
      <w:jc w:val="left"/>
    </w:pPr>
    <w:rPr>
      <w:sz w:val="18"/>
      <w:szCs w:val="18"/>
    </w:rPr>
  </w:style>
  <w:style w:type="paragraph" w:styleId="13">
    <w:name w:val="header"/>
    <w:basedOn w:val="1"/>
    <w:qFormat/>
    <w:uiPriority w:val="0"/>
    <w:pPr>
      <w:keepLines/>
      <w:pBdr>
        <w:bottom w:val="single" w:color="auto" w:sz="6" w:space="1"/>
      </w:pBdr>
      <w:tabs>
        <w:tab w:val="center" w:pos="4153"/>
        <w:tab w:val="right" w:pos="8306"/>
        <w:tab w:val="clear" w:pos="377"/>
      </w:tabs>
      <w:snapToGrid w:val="0"/>
      <w:spacing w:after="600" w:line="180" w:lineRule="atLeast"/>
      <w:jc w:val="center"/>
    </w:pPr>
    <w:rPr>
      <w:spacing w:val="-5"/>
      <w:sz w:val="21"/>
      <w:szCs w:val="21"/>
    </w:rPr>
  </w:style>
  <w:style w:type="paragraph" w:styleId="14">
    <w:name w:val="toc 1"/>
    <w:basedOn w:val="1"/>
    <w:next w:val="1"/>
    <w:qFormat/>
    <w:uiPriority w:val="39"/>
    <w:pPr>
      <w:tabs>
        <w:tab w:val="clear" w:pos="377"/>
      </w:tabs>
    </w:pPr>
  </w:style>
  <w:style w:type="paragraph" w:styleId="15">
    <w:name w:val="toc 6"/>
    <w:basedOn w:val="1"/>
    <w:next w:val="1"/>
    <w:semiHidden/>
    <w:qFormat/>
    <w:uiPriority w:val="0"/>
    <w:pPr>
      <w:widowControl w:val="0"/>
      <w:tabs>
        <w:tab w:val="clear" w:pos="377"/>
      </w:tabs>
      <w:spacing w:line="240" w:lineRule="auto"/>
      <w:ind w:left="2100" w:leftChars="1000"/>
    </w:pPr>
    <w:rPr>
      <w:kern w:val="2"/>
      <w:sz w:val="21"/>
    </w:rPr>
  </w:style>
  <w:style w:type="paragraph" w:styleId="16">
    <w:name w:val="toc 2"/>
    <w:basedOn w:val="1"/>
    <w:next w:val="1"/>
    <w:qFormat/>
    <w:uiPriority w:val="39"/>
    <w:pPr>
      <w:tabs>
        <w:tab w:val="clear" w:pos="377"/>
      </w:tabs>
      <w:ind w:left="420" w:leftChars="200"/>
    </w:p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basedOn w:val="1"/>
    <w:next w:val="1"/>
    <w:link w:val="45"/>
    <w:qFormat/>
    <w:uiPriority w:val="0"/>
    <w:pPr>
      <w:spacing w:before="240" w:after="60"/>
      <w:jc w:val="center"/>
      <w:outlineLvl w:val="0"/>
    </w:pPr>
    <w:rPr>
      <w:rFonts w:ascii="等线 Light" w:hAnsi="等线 Light"/>
      <w:b/>
      <w:bCs/>
      <w:sz w:val="32"/>
      <w:szCs w:val="32"/>
    </w:rPr>
  </w:style>
  <w:style w:type="paragraph" w:styleId="19">
    <w:name w:val="annotation subject"/>
    <w:basedOn w:val="7"/>
    <w:next w:val="7"/>
    <w:link w:val="43"/>
    <w:qFormat/>
    <w:uiPriority w:val="0"/>
    <w:rPr>
      <w:b/>
      <w:bCs/>
    </w:rPr>
  </w:style>
  <w:style w:type="table" w:styleId="21">
    <w:name w:val="Table Grid"/>
    <w:basedOn w:val="20"/>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qFormat/>
    <w:uiPriority w:val="0"/>
  </w:style>
  <w:style w:type="character" w:styleId="24">
    <w:name w:val="Hyperlink"/>
    <w:qFormat/>
    <w:uiPriority w:val="99"/>
    <w:rPr>
      <w:color w:val="0000FF"/>
      <w:u w:val="single"/>
    </w:rPr>
  </w:style>
  <w:style w:type="character" w:styleId="25">
    <w:name w:val="annotation reference"/>
    <w:qFormat/>
    <w:uiPriority w:val="0"/>
    <w:rPr>
      <w:sz w:val="21"/>
      <w:szCs w:val="21"/>
    </w:rPr>
  </w:style>
  <w:style w:type="character" w:customStyle="1" w:styleId="26">
    <w:name w:val="正文文本缩进 字符"/>
    <w:link w:val="8"/>
    <w:qFormat/>
    <w:uiPriority w:val="0"/>
    <w:rPr>
      <w:sz w:val="24"/>
      <w:szCs w:val="24"/>
    </w:rPr>
  </w:style>
  <w:style w:type="character" w:customStyle="1" w:styleId="27">
    <w:name w:val="正文文本缩进 2 字符"/>
    <w:link w:val="10"/>
    <w:qFormat/>
    <w:uiPriority w:val="0"/>
    <w:rPr>
      <w:kern w:val="2"/>
      <w:sz w:val="24"/>
      <w:szCs w:val="24"/>
    </w:rPr>
  </w:style>
  <w:style w:type="character" w:customStyle="1" w:styleId="28">
    <w:name w:val="图名英文 Char"/>
    <w:link w:val="29"/>
    <w:qFormat/>
    <w:uiPriority w:val="0"/>
    <w:rPr>
      <w:rFonts w:eastAsia="宋体"/>
      <w:sz w:val="21"/>
      <w:szCs w:val="21"/>
      <w:lang w:val="en-US" w:eastAsia="en-US" w:bidi="en-US"/>
    </w:rPr>
  </w:style>
  <w:style w:type="paragraph" w:customStyle="1" w:styleId="29">
    <w:name w:val="图名英文"/>
    <w:basedOn w:val="1"/>
    <w:link w:val="28"/>
    <w:qFormat/>
    <w:uiPriority w:val="0"/>
    <w:pPr>
      <w:tabs>
        <w:tab w:val="clear" w:pos="377"/>
      </w:tabs>
      <w:snapToGrid w:val="0"/>
      <w:ind w:firstLine="480" w:firstLineChars="200"/>
      <w:jc w:val="center"/>
    </w:pPr>
    <w:rPr>
      <w:sz w:val="21"/>
      <w:szCs w:val="21"/>
      <w:lang w:eastAsia="en-US" w:bidi="en-US"/>
    </w:rPr>
  </w:style>
  <w:style w:type="character" w:customStyle="1" w:styleId="30">
    <w:name w:val="图名中文 Char"/>
    <w:link w:val="31"/>
    <w:qFormat/>
    <w:uiPriority w:val="0"/>
    <w:rPr>
      <w:rFonts w:ascii="宋体" w:hAnsi="宋体" w:eastAsia="宋体"/>
      <w:sz w:val="21"/>
      <w:szCs w:val="21"/>
      <w:lang w:val="en-US" w:eastAsia="en-US" w:bidi="en-US"/>
    </w:rPr>
  </w:style>
  <w:style w:type="paragraph" w:customStyle="1" w:styleId="31">
    <w:name w:val="图名中文"/>
    <w:basedOn w:val="1"/>
    <w:link w:val="30"/>
    <w:qFormat/>
    <w:uiPriority w:val="0"/>
    <w:pPr>
      <w:tabs>
        <w:tab w:val="clear" w:pos="377"/>
      </w:tabs>
      <w:snapToGrid w:val="0"/>
      <w:ind w:firstLine="480" w:firstLineChars="200"/>
      <w:jc w:val="center"/>
    </w:pPr>
    <w:rPr>
      <w:rFonts w:ascii="宋体" w:hAnsi="宋体"/>
      <w:sz w:val="21"/>
      <w:szCs w:val="21"/>
      <w:lang w:eastAsia="en-US" w:bidi="en-US"/>
    </w:rPr>
  </w:style>
  <w:style w:type="character" w:customStyle="1" w:styleId="32">
    <w:name w:val="正文1 Char"/>
    <w:link w:val="33"/>
    <w:qFormat/>
    <w:uiPriority w:val="0"/>
    <w:rPr>
      <w:rFonts w:eastAsia="宋体"/>
      <w:sz w:val="24"/>
      <w:lang w:val="en-US" w:eastAsia="en-US" w:bidi="en-US"/>
    </w:rPr>
  </w:style>
  <w:style w:type="paragraph" w:customStyle="1" w:styleId="33">
    <w:name w:val="正文1"/>
    <w:basedOn w:val="1"/>
    <w:link w:val="32"/>
    <w:qFormat/>
    <w:uiPriority w:val="0"/>
    <w:pPr>
      <w:tabs>
        <w:tab w:val="clear" w:pos="377"/>
      </w:tabs>
      <w:snapToGrid w:val="0"/>
      <w:ind w:firstLine="480" w:firstLineChars="200"/>
      <w:jc w:val="left"/>
    </w:pPr>
    <w:rPr>
      <w:szCs w:val="20"/>
      <w:lang w:eastAsia="en-US" w:bidi="en-US"/>
    </w:rPr>
  </w:style>
  <w:style w:type="character" w:customStyle="1" w:styleId="34">
    <w:name w:val="关键词 Char"/>
    <w:qFormat/>
    <w:uiPriority w:val="0"/>
    <w:rPr>
      <w:rFonts w:ascii="仿宋_GB2312" w:eastAsia="仿宋_GB2312"/>
      <w:sz w:val="24"/>
      <w:szCs w:val="24"/>
      <w:lang w:bidi="en-US"/>
    </w:rPr>
  </w:style>
  <w:style w:type="character" w:customStyle="1" w:styleId="35">
    <w:name w:val="参考文献正文 Char"/>
    <w:link w:val="36"/>
    <w:qFormat/>
    <w:uiPriority w:val="0"/>
    <w:rPr>
      <w:rFonts w:ascii="宋体" w:hAnsi="宋体" w:eastAsia="宋体"/>
      <w:sz w:val="21"/>
      <w:szCs w:val="21"/>
      <w:lang w:val="en-US" w:eastAsia="zh-CN" w:bidi="en-US"/>
    </w:rPr>
  </w:style>
  <w:style w:type="paragraph" w:customStyle="1" w:styleId="36">
    <w:name w:val="参考文献正文"/>
    <w:basedOn w:val="1"/>
    <w:link w:val="35"/>
    <w:qFormat/>
    <w:uiPriority w:val="0"/>
    <w:pPr>
      <w:tabs>
        <w:tab w:val="clear" w:pos="377"/>
      </w:tabs>
      <w:snapToGrid w:val="0"/>
      <w:ind w:firstLine="480" w:firstLineChars="200"/>
      <w:jc w:val="left"/>
    </w:pPr>
    <w:rPr>
      <w:rFonts w:ascii="宋体" w:hAnsi="宋体"/>
      <w:sz w:val="21"/>
      <w:szCs w:val="21"/>
      <w:lang w:bidi="en-US"/>
    </w:rPr>
  </w:style>
  <w:style w:type="character" w:customStyle="1" w:styleId="37">
    <w:name w:val="关键词题头 Char"/>
    <w:qFormat/>
    <w:uiPriority w:val="0"/>
    <w:rPr>
      <w:rFonts w:ascii="黑体" w:eastAsia="黑体"/>
      <w:sz w:val="24"/>
      <w:szCs w:val="24"/>
      <w:lang w:bidi="en-US"/>
    </w:rPr>
  </w:style>
  <w:style w:type="character" w:customStyle="1" w:styleId="38">
    <w:name w:val="英文关键词 Char"/>
    <w:qFormat/>
    <w:uiPriority w:val="0"/>
    <w:rPr>
      <w:rFonts w:ascii="Calibri" w:hAnsi="Calibri" w:eastAsia="宋体"/>
      <w:sz w:val="24"/>
      <w:szCs w:val="24"/>
      <w:lang w:eastAsia="en-US" w:bidi="en-US"/>
    </w:rPr>
  </w:style>
  <w:style w:type="paragraph" w:customStyle="1" w:styleId="39">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 w:type="paragraph" w:customStyle="1" w:styleId="40">
    <w:name w:val="样式 参考文献标题 + 段后: 1 行"/>
    <w:basedOn w:val="1"/>
    <w:qFormat/>
    <w:uiPriority w:val="0"/>
    <w:pPr>
      <w:keepNext/>
      <w:tabs>
        <w:tab w:val="clear" w:pos="377"/>
      </w:tabs>
      <w:snapToGrid w:val="0"/>
      <w:spacing w:after="240" w:afterLines="100" w:line="360" w:lineRule="auto"/>
      <w:jc w:val="center"/>
      <w:outlineLvl w:val="0"/>
    </w:pPr>
    <w:rPr>
      <w:rFonts w:ascii="Cambria" w:hAnsi="Cambria" w:eastAsia="黑体" w:cs="宋体"/>
      <w:kern w:val="32"/>
      <w:sz w:val="30"/>
      <w:szCs w:val="20"/>
      <w:lang w:bidi="en-US"/>
    </w:rPr>
  </w:style>
  <w:style w:type="paragraph" w:customStyle="1" w:styleId="41">
    <w:name w:val="Revision"/>
    <w:unhideWhenUsed/>
    <w:qFormat/>
    <w:uiPriority w:val="99"/>
    <w:rPr>
      <w:rFonts w:ascii="Times New Roman" w:hAnsi="Times New Roman" w:eastAsia="宋体" w:cs="Times New Roman"/>
      <w:sz w:val="24"/>
      <w:szCs w:val="24"/>
      <w:lang w:val="en-US" w:eastAsia="zh-CN" w:bidi="ar-SA"/>
    </w:rPr>
  </w:style>
  <w:style w:type="character" w:customStyle="1" w:styleId="42">
    <w:name w:val="批注文字 字符"/>
    <w:link w:val="7"/>
    <w:qFormat/>
    <w:uiPriority w:val="0"/>
    <w:rPr>
      <w:sz w:val="24"/>
      <w:szCs w:val="24"/>
    </w:rPr>
  </w:style>
  <w:style w:type="character" w:customStyle="1" w:styleId="43">
    <w:name w:val="批注主题 字符"/>
    <w:link w:val="19"/>
    <w:qFormat/>
    <w:uiPriority w:val="0"/>
    <w:rPr>
      <w:b/>
      <w:bCs/>
      <w:sz w:val="24"/>
      <w:szCs w:val="24"/>
    </w:rPr>
  </w:style>
  <w:style w:type="character" w:customStyle="1" w:styleId="44">
    <w:name w:val="Unresolved Mention"/>
    <w:semiHidden/>
    <w:unhideWhenUsed/>
    <w:qFormat/>
    <w:uiPriority w:val="99"/>
    <w:rPr>
      <w:color w:val="605E5C"/>
      <w:shd w:val="clear" w:color="auto" w:fill="E1DFDD"/>
    </w:rPr>
  </w:style>
  <w:style w:type="character" w:customStyle="1" w:styleId="45">
    <w:name w:val="标题 字符"/>
    <w:link w:val="18"/>
    <w:qFormat/>
    <w:uiPriority w:val="0"/>
    <w:rPr>
      <w:rFonts w:ascii="等线 Light" w:hAnsi="等线 Light"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numbering" Target="numbering.xml"/><Relationship Id="rId8" Type="http://schemas.openxmlformats.org/officeDocument/2006/relationships/footer" Target="footer1.xml"/><Relationship Id="rId79" Type="http://schemas.openxmlformats.org/officeDocument/2006/relationships/image" Target="media/image57.jpeg"/><Relationship Id="rId78" Type="http://schemas.openxmlformats.org/officeDocument/2006/relationships/image" Target="media/image56.jpeg"/><Relationship Id="rId77" Type="http://schemas.openxmlformats.org/officeDocument/2006/relationships/image" Target="media/image55.jpeg"/><Relationship Id="rId76" Type="http://schemas.openxmlformats.org/officeDocument/2006/relationships/image" Target="media/image54.jpeg"/><Relationship Id="rId75" Type="http://schemas.openxmlformats.org/officeDocument/2006/relationships/image" Target="media/image53.jpeg"/><Relationship Id="rId74" Type="http://schemas.openxmlformats.org/officeDocument/2006/relationships/image" Target="media/image52.png"/><Relationship Id="rId73" Type="http://schemas.openxmlformats.org/officeDocument/2006/relationships/image" Target="media/image51.jpeg"/><Relationship Id="rId72" Type="http://schemas.openxmlformats.org/officeDocument/2006/relationships/image" Target="media/image50.jpeg"/><Relationship Id="rId71" Type="http://schemas.openxmlformats.org/officeDocument/2006/relationships/image" Target="media/image49.jpeg"/><Relationship Id="rId70" Type="http://schemas.openxmlformats.org/officeDocument/2006/relationships/image" Target="media/image48.png"/><Relationship Id="rId7" Type="http://schemas.openxmlformats.org/officeDocument/2006/relationships/header" Target="header3.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emf"/><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header" Target="header2.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jpeg"/><Relationship Id="rId31" Type="http://schemas.openxmlformats.org/officeDocument/2006/relationships/image" Target="media/image9.jpe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AB4E8-7AAF-4D5C-9662-B739946F84C6}">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Template>
  <Pages>61</Pages>
  <Words>11873</Words>
  <Characters>15010</Characters>
  <Lines>982</Lines>
  <Paragraphs>831</Paragraphs>
  <TotalTime>64</TotalTime>
  <ScaleCrop>false</ScaleCrop>
  <LinksUpToDate>false</LinksUpToDate>
  <CharactersWithSpaces>15743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2025-05-19T07:17:00Z</dcterms:created>
  <dc:creator>tomtree</dc:creator>
  <cp:lastModifiedBy>WPS_1772442843</cp:lastModifiedBy>
  <cp:lastPrinted>2017-06-09T03:54:00Z</cp:lastPrinted>
  <dcterms:modified xsi:type="dcterms:W3CDTF">2026-04-26T13:22:21Z</dcterms:modified>
  <dc:subject>模板</dc:subject>
  <dc:title>大连理工大学本科毕业设计（论文）模板</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eyJoZGlkIjoiNWMyNjllMmU0YTcwZjNhMTY0NmE1Zjk3MGY5NmI4MWYiLCJ1c2VySWQiOiIxODA2ODcyNjQyIn0=</vt:lpwstr>
  </property>
  <property fmtid="{D5CDD505-2E9C-101B-9397-08002B2CF9AE}" pid="4" name="ICV">
    <vt:lpwstr>ABD1F266AD024A8BAFBB7E34A67FC52A_12</vt:lpwstr>
  </property>
</Properties>
</file>