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55183" w14:textId="7CEDB3BC" w:rsidR="00DC083E" w:rsidRPr="00A82C2D" w:rsidRDefault="00DC083E" w:rsidP="00DC083E">
      <w:pPr>
        <w:pStyle w:val="NoSpacing"/>
        <w:rPr>
          <w:b/>
          <w:bCs/>
        </w:rPr>
      </w:pPr>
      <w:proofErr w:type="spellStart"/>
      <w:r w:rsidRPr="00DC083E">
        <w:rPr>
          <w:b/>
          <w:bCs/>
        </w:rPr>
        <w:t>Haleon</w:t>
      </w:r>
      <w:proofErr w:type="spellEnd"/>
      <w:r w:rsidRPr="00DC083E">
        <w:rPr>
          <w:b/>
          <w:bCs/>
        </w:rPr>
        <w:t xml:space="preserve"> long</w:t>
      </w:r>
    </w:p>
    <w:p w14:paraId="60AF5511" w14:textId="4E111372" w:rsidR="007D40FC" w:rsidRDefault="00DC083E" w:rsidP="00DC083E">
      <w:pPr>
        <w:pStyle w:val="NoSpacing"/>
      </w:pPr>
      <w:r>
        <w:t xml:space="preserve">I am pitching long </w:t>
      </w:r>
      <w:proofErr w:type="spellStart"/>
      <w:r>
        <w:t>Haleon</w:t>
      </w:r>
      <w:proofErr w:type="spellEnd"/>
      <w:r>
        <w:t>, with a price target of 4</w:t>
      </w:r>
      <w:r w:rsidR="00093346">
        <w:t>3</w:t>
      </w:r>
      <w:r>
        <w:t>0</w:t>
      </w:r>
      <w:r w:rsidR="00470A8B">
        <w:t>p</w:t>
      </w:r>
      <w:r>
        <w:t>,</w:t>
      </w:r>
      <w:r w:rsidR="00382CAE">
        <w:t xml:space="preserve"> implying</w:t>
      </w:r>
      <w:r>
        <w:t xml:space="preserve"> 3</w:t>
      </w:r>
      <w:r w:rsidR="00093346">
        <w:t>0</w:t>
      </w:r>
      <w:r>
        <w:t>%</w:t>
      </w:r>
      <w:r w:rsidR="00A72178">
        <w:t xml:space="preserve"> upside</w:t>
      </w:r>
      <w:r>
        <w:t xml:space="preserve">. </w:t>
      </w:r>
      <w:proofErr w:type="spellStart"/>
      <w:r>
        <w:t>Haleon</w:t>
      </w:r>
      <w:proofErr w:type="spellEnd"/>
      <w:r>
        <w:t xml:space="preserve"> is the only pure play Consumer Health business in European </w:t>
      </w:r>
      <w:r w:rsidR="00382CAE">
        <w:t>S</w:t>
      </w:r>
      <w:r>
        <w:t>taples, with</w:t>
      </w:r>
      <w:r w:rsidR="00382CAE">
        <w:t xml:space="preserve"> leading</w:t>
      </w:r>
      <w:r>
        <w:t xml:space="preserve"> brands </w:t>
      </w:r>
      <w:r w:rsidR="00382CAE">
        <w:t>including</w:t>
      </w:r>
      <w:r>
        <w:t xml:space="preserve"> Sensodyne, Panadol, Advil, and Centrum, and a market</w:t>
      </w:r>
      <w:r w:rsidR="00382CAE">
        <w:t xml:space="preserve"> </w:t>
      </w:r>
      <w:r>
        <w:t>cap of 36bn.</w:t>
      </w:r>
      <w:r w:rsidR="00381AE6">
        <w:t xml:space="preserve"> </w:t>
      </w:r>
      <w:r w:rsidR="007D40FC">
        <w:t xml:space="preserve">My </w:t>
      </w:r>
      <w:r w:rsidR="007D40FC" w:rsidRPr="007D40FC">
        <w:t xml:space="preserve">thesis is that the market is undervaluing the </w:t>
      </w:r>
      <w:r w:rsidR="00A72178">
        <w:t xml:space="preserve">defensiveness and </w:t>
      </w:r>
      <w:r w:rsidR="007D40FC" w:rsidRPr="007D40FC">
        <w:t xml:space="preserve">quality of </w:t>
      </w:r>
      <w:r w:rsidR="007D40FC">
        <w:t>Haleon’s</w:t>
      </w:r>
      <w:r w:rsidR="007D40FC" w:rsidRPr="007D40FC">
        <w:t xml:space="preserve"> organic growth</w:t>
      </w:r>
      <w:r w:rsidR="007D40FC">
        <w:t xml:space="preserve">, and </w:t>
      </w:r>
      <w:r w:rsidR="007D40FC" w:rsidRPr="007D40FC">
        <w:t>underestimating</w:t>
      </w:r>
      <w:r w:rsidR="007D40FC">
        <w:t xml:space="preserve"> its</w:t>
      </w:r>
      <w:r w:rsidR="007D40FC" w:rsidRPr="007D40FC">
        <w:t xml:space="preserve"> margin and FCF </w:t>
      </w:r>
      <w:r w:rsidR="00A72178">
        <w:t>drop through from its cost savings programme</w:t>
      </w:r>
      <w:r w:rsidR="007D40FC">
        <w:t>.</w:t>
      </w:r>
    </w:p>
    <w:p w14:paraId="7659486D" w14:textId="77777777" w:rsidR="00DC083E" w:rsidRDefault="00DC083E" w:rsidP="00DC083E">
      <w:pPr>
        <w:pStyle w:val="NoSpacing"/>
      </w:pPr>
    </w:p>
    <w:p w14:paraId="59F89E28" w14:textId="37DD52BD" w:rsidR="00DC083E" w:rsidRDefault="00DC083E" w:rsidP="00DC083E">
      <w:pPr>
        <w:pStyle w:val="NoSpacing"/>
      </w:pPr>
      <w:r>
        <w:t xml:space="preserve">Firstly, Haleon’s </w:t>
      </w:r>
      <w:r w:rsidR="00382CAE">
        <w:t>exposure to</w:t>
      </w:r>
      <w:r>
        <w:t xml:space="preserve"> therapeutic oral health, VMS, and OTC, gives it positive structural exposure to health trends</w:t>
      </w:r>
      <w:r w:rsidR="00513BC9">
        <w:t xml:space="preserve"> and</w:t>
      </w:r>
      <w:r>
        <w:t xml:space="preserve"> aging populations</w:t>
      </w:r>
      <w:r w:rsidR="00382CAE">
        <w:t>.</w:t>
      </w:r>
      <w:r w:rsidR="00696780">
        <w:t xml:space="preserve"> </w:t>
      </w:r>
      <w:r w:rsidR="00382CAE">
        <w:t>This</w:t>
      </w:r>
      <w:r w:rsidR="00B150C8">
        <w:t xml:space="preserve"> should support sector leading and relatively defensive OSG through </w:t>
      </w:r>
      <w:r w:rsidR="00FF0806">
        <w:t xml:space="preserve">FY26 to </w:t>
      </w:r>
      <w:r w:rsidR="00B150C8">
        <w:t>27</w:t>
      </w:r>
      <w:r>
        <w:t xml:space="preserve">. I believe it can deliver +3.5% OSG for FY26 and +4.6% OSG for FY27, both </w:t>
      </w:r>
      <w:r w:rsidR="00382CAE">
        <w:t xml:space="preserve">around </w:t>
      </w:r>
      <w:r>
        <w:t xml:space="preserve">20bps above consensus, </w:t>
      </w:r>
      <w:r w:rsidR="00382CAE">
        <w:t>and towards</w:t>
      </w:r>
      <w:r w:rsidR="00095107">
        <w:t xml:space="preserve"> the</w:t>
      </w:r>
      <w:r>
        <w:t xml:space="preserve"> top end of the Staples </w:t>
      </w:r>
      <w:r w:rsidR="00382CAE">
        <w:t xml:space="preserve">peer group. </w:t>
      </w:r>
      <w:r w:rsidR="00D3241A">
        <w:t>Yet d</w:t>
      </w:r>
      <w:r w:rsidR="00382CAE">
        <w:t>espite this</w:t>
      </w:r>
      <w:r w:rsidR="00D3241A">
        <w:t xml:space="preserve"> growth profile</w:t>
      </w:r>
      <w:r w:rsidR="00382CAE">
        <w:t xml:space="preserve">, </w:t>
      </w:r>
      <w:proofErr w:type="spellStart"/>
      <w:r w:rsidR="00382CAE">
        <w:t>Haleon</w:t>
      </w:r>
      <w:proofErr w:type="spellEnd"/>
      <w:r w:rsidR="00382CAE">
        <w:t xml:space="preserve"> trades at a 20-30% PEG</w:t>
      </w:r>
      <w:r>
        <w:t xml:space="preserve"> discount </w:t>
      </w:r>
      <w:r w:rsidR="00382CAE">
        <w:t xml:space="preserve">to </w:t>
      </w:r>
      <w:r>
        <w:t>European HPC peers for FY2</w:t>
      </w:r>
      <w:r w:rsidR="00382CAE">
        <w:t>7.</w:t>
      </w:r>
      <w:r w:rsidR="00263A16">
        <w:t xml:space="preserve"> </w:t>
      </w:r>
      <w:r w:rsidR="00402440">
        <w:t>While m</w:t>
      </w:r>
      <w:r w:rsidR="00513BC9" w:rsidRPr="00513BC9">
        <w:t xml:space="preserve">y top-line estimates are only modestly above consensus, I think the market is </w:t>
      </w:r>
      <w:r w:rsidR="00263A16">
        <w:t xml:space="preserve">pricing this structurally supported, defensive </w:t>
      </w:r>
      <w:r w:rsidR="00513BC9" w:rsidRPr="00513BC9">
        <w:t>growth</w:t>
      </w:r>
      <w:r w:rsidR="00263A16">
        <w:t xml:space="preserve"> t</w:t>
      </w:r>
      <w:r w:rsidR="00402440">
        <w:t>o</w:t>
      </w:r>
      <w:r w:rsidR="00263A16">
        <w:t>o cheaply</w:t>
      </w:r>
      <w:r w:rsidR="00513BC9" w:rsidRPr="00513BC9">
        <w:t>, particularly given its lower macro</w:t>
      </w:r>
      <w:r w:rsidR="00FF0806">
        <w:t xml:space="preserve"> sensitivity than peers</w:t>
      </w:r>
      <w:r w:rsidR="00513BC9" w:rsidRPr="00513BC9">
        <w:t>.</w:t>
      </w:r>
    </w:p>
    <w:p w14:paraId="437B2AB4" w14:textId="77777777" w:rsidR="00DC083E" w:rsidRDefault="00DC083E" w:rsidP="00DC083E">
      <w:pPr>
        <w:pStyle w:val="NoSpacing"/>
      </w:pPr>
    </w:p>
    <w:p w14:paraId="216A2C0C" w14:textId="646EAFE9" w:rsidR="00DC083E" w:rsidRDefault="00DC083E" w:rsidP="00DC083E">
      <w:pPr>
        <w:pStyle w:val="NoSpacing"/>
      </w:pPr>
      <w:r>
        <w:t xml:space="preserve">Secondly, </w:t>
      </w:r>
      <w:r w:rsidR="0081484F">
        <w:t xml:space="preserve">I think </w:t>
      </w:r>
      <w:r>
        <w:t xml:space="preserve">consensus margin expectations and FCF forecasts are too low. With Haleon’s cost savings programme </w:t>
      </w:r>
      <w:r w:rsidR="0081484F">
        <w:t>progressing</w:t>
      </w:r>
      <w:r>
        <w:t xml:space="preserve"> well, supply chain rationalisation, and operating leverage, I forecast </w:t>
      </w:r>
      <w:proofErr w:type="spellStart"/>
      <w:r>
        <w:t>adj</w:t>
      </w:r>
      <w:proofErr w:type="spellEnd"/>
      <w:r>
        <w:t xml:space="preserve"> EBIT margins of 24.3% in FY26, </w:t>
      </w:r>
      <w:r w:rsidR="0081484F">
        <w:t xml:space="preserve">around </w:t>
      </w:r>
      <w:r>
        <w:t xml:space="preserve">50bps above consensus, and 25.3% in FY27, </w:t>
      </w:r>
      <w:r w:rsidR="0081484F">
        <w:t xml:space="preserve">around </w:t>
      </w:r>
      <w:r>
        <w:t>100bps above consensus.</w:t>
      </w:r>
      <w:r w:rsidR="0081484F">
        <w:t xml:space="preserve"> </w:t>
      </w:r>
      <w:r w:rsidR="001A08FF">
        <w:t xml:space="preserve">My key variant view is that a greater proportion of savings will drop through to the bottom line than what consensus assumes. </w:t>
      </w:r>
      <w:proofErr w:type="spellStart"/>
      <w:r w:rsidR="00BE07E8" w:rsidRPr="00BE07E8">
        <w:t>Haleon</w:t>
      </w:r>
      <w:proofErr w:type="spellEnd"/>
      <w:r w:rsidR="00BE07E8" w:rsidRPr="00BE07E8">
        <w:t xml:space="preserve"> is already relatively well invested, reducing the need for incremental reinvestment, unlike peers such as Unilever and Reckitt where productivity savings are being more heavily recycled or offsetting stranded costs.</w:t>
      </w:r>
      <w:r w:rsidR="00BE07E8" w:rsidRPr="00BE07E8">
        <w:t xml:space="preserve"> </w:t>
      </w:r>
      <w:r>
        <w:t xml:space="preserve">This </w:t>
      </w:r>
      <w:r w:rsidR="00CF41B8">
        <w:t>drives</w:t>
      </w:r>
      <w:r>
        <w:t xml:space="preserve"> double digit EPS CAGR</w:t>
      </w:r>
      <w:r w:rsidR="00CF41B8">
        <w:t xml:space="preserve"> despite modest topline upside</w:t>
      </w:r>
      <w:r>
        <w:t>.</w:t>
      </w:r>
      <w:r w:rsidR="0081484F">
        <w:t xml:space="preserve"> I also think consensus is understating </w:t>
      </w:r>
      <w:r>
        <w:t xml:space="preserve">FCF </w:t>
      </w:r>
      <w:r w:rsidR="0081484F">
        <w:t xml:space="preserve">both because of the higher EBIT drop through and because Haleon’s working capital reduction programme is not fully reflected in forecasts. </w:t>
      </w:r>
      <w:r w:rsidR="007C013C" w:rsidRPr="007C013C">
        <w:t xml:space="preserve">I forecast FCF around 5-10% above consensus for FY26 and FY27, </w:t>
      </w:r>
      <w:r w:rsidR="00FF0806">
        <w:t>supporting greater buyback and bolt-on M&amp;A optionality</w:t>
      </w:r>
      <w:r w:rsidR="00BC31A9">
        <w:t>.</w:t>
      </w:r>
    </w:p>
    <w:p w14:paraId="2163E963" w14:textId="77777777" w:rsidR="00DC083E" w:rsidRDefault="00DC083E" w:rsidP="00DC083E">
      <w:pPr>
        <w:pStyle w:val="NoSpacing"/>
      </w:pPr>
    </w:p>
    <w:p w14:paraId="5BB928FC" w14:textId="6AF92DDA" w:rsidR="00DC083E" w:rsidRDefault="000F452B" w:rsidP="00DC083E">
      <w:pPr>
        <w:pStyle w:val="NoSpacing"/>
      </w:pPr>
      <w:r>
        <w:t xml:space="preserve">Finally on valuation, </w:t>
      </w:r>
      <w:proofErr w:type="spellStart"/>
      <w:r>
        <w:t>Haleon</w:t>
      </w:r>
      <w:proofErr w:type="spellEnd"/>
      <w:r>
        <w:t xml:space="preserve"> looks very attractive. </w:t>
      </w:r>
      <w:proofErr w:type="spellStart"/>
      <w:r>
        <w:t>Haleon</w:t>
      </w:r>
      <w:proofErr w:type="spellEnd"/>
      <w:r>
        <w:t xml:space="preserve"> trades on a </w:t>
      </w:r>
      <w:r w:rsidR="00820552">
        <w:t xml:space="preserve">FY26 and </w:t>
      </w:r>
      <w:r>
        <w:t>27 PE of 15.8x and 14.2x</w:t>
      </w:r>
      <w:r w:rsidR="00820552">
        <w:t xml:space="preserve"> </w:t>
      </w:r>
      <w:r>
        <w:t>at a 20%</w:t>
      </w:r>
      <w:r w:rsidR="00470A8B">
        <w:t xml:space="preserve"> discount</w:t>
      </w:r>
      <w:r>
        <w:t xml:space="preserve"> to E</w:t>
      </w:r>
      <w:r w:rsidR="00820552">
        <w:t>uropean</w:t>
      </w:r>
      <w:r>
        <w:t xml:space="preserve"> HPC for both years. </w:t>
      </w:r>
      <w:r w:rsidR="00820552">
        <w:t xml:space="preserve">It </w:t>
      </w:r>
      <w:r>
        <w:t xml:space="preserve">also offers an FCF yield of 5.7% and 6.8%, </w:t>
      </w:r>
      <w:r w:rsidR="00820552">
        <w:t xml:space="preserve">around </w:t>
      </w:r>
      <w:r>
        <w:t>30%</w:t>
      </w:r>
      <w:r w:rsidR="00B02095">
        <w:t>-</w:t>
      </w:r>
      <w:r>
        <w:t xml:space="preserve">40% </w:t>
      </w:r>
      <w:r w:rsidR="00820552">
        <w:t xml:space="preserve">higher </w:t>
      </w:r>
      <w:r>
        <w:t>than E</w:t>
      </w:r>
      <w:r w:rsidR="00820552">
        <w:t>uropean</w:t>
      </w:r>
      <w:r>
        <w:t xml:space="preserve"> HPC</w:t>
      </w:r>
      <w:r w:rsidR="00820552">
        <w:t xml:space="preserve"> peers</w:t>
      </w:r>
      <w:r>
        <w:t xml:space="preserve">. </w:t>
      </w:r>
      <w:r w:rsidR="00743B0C" w:rsidRPr="00743B0C">
        <w:t>I think t</w:t>
      </w:r>
      <w:r w:rsidR="003644C8">
        <w:t xml:space="preserve">his </w:t>
      </w:r>
      <w:r w:rsidR="00743B0C" w:rsidRPr="00743B0C">
        <w:t>discount is</w:t>
      </w:r>
      <w:r w:rsidR="00DD3BDE">
        <w:t xml:space="preserve"> inconsistent with Haleon’s </w:t>
      </w:r>
      <w:r w:rsidR="00743B0C" w:rsidRPr="00743B0C">
        <w:t>superior earnings growth</w:t>
      </w:r>
      <w:r w:rsidR="00563582">
        <w:t xml:space="preserve"> </w:t>
      </w:r>
      <w:r w:rsidR="00743B0C" w:rsidRPr="00743B0C">
        <w:t xml:space="preserve">and </w:t>
      </w:r>
      <w:r w:rsidR="006B5717">
        <w:t xml:space="preserve">top-quartile </w:t>
      </w:r>
      <w:r w:rsidR="00B02095">
        <w:t>OSG</w:t>
      </w:r>
      <w:r w:rsidR="00B6338D">
        <w:t xml:space="preserve">. </w:t>
      </w:r>
      <w:r w:rsidR="005E5EB0">
        <w:t xml:space="preserve">My price target </w:t>
      </w:r>
      <w:r w:rsidR="00B6338D">
        <w:t>implies</w:t>
      </w:r>
      <w:r w:rsidR="005E5EB0">
        <w:t xml:space="preserve"> a</w:t>
      </w:r>
      <w:r w:rsidR="00B6338D">
        <w:t>n</w:t>
      </w:r>
      <w:r w:rsidR="005E5EB0">
        <w:t xml:space="preserve"> </w:t>
      </w:r>
      <w:r w:rsidR="008D52D5">
        <w:t>18.5</w:t>
      </w:r>
      <w:r w:rsidR="00140D1E">
        <w:t>x</w:t>
      </w:r>
      <w:r w:rsidR="00B02095">
        <w:t xml:space="preserve"> FY27 PE</w:t>
      </w:r>
      <w:r w:rsidR="005E5EB0">
        <w:t>,</w:t>
      </w:r>
      <w:r w:rsidR="00B6338D">
        <w:t xml:space="preserve"> </w:t>
      </w:r>
      <w:r w:rsidR="005E5EB0">
        <w:t xml:space="preserve">a </w:t>
      </w:r>
      <w:r w:rsidR="008D52D5">
        <w:t>small premium</w:t>
      </w:r>
      <w:r w:rsidR="005E5EB0">
        <w:t xml:space="preserve"> to HPC peers</w:t>
      </w:r>
      <w:r w:rsidR="00095107">
        <w:t xml:space="preserve"> despite its superior growth profile.</w:t>
      </w:r>
    </w:p>
    <w:p w14:paraId="7B6C5BD7" w14:textId="77777777" w:rsidR="000F452B" w:rsidRDefault="000F452B" w:rsidP="00DC083E">
      <w:pPr>
        <w:pStyle w:val="NoSpacing"/>
      </w:pPr>
    </w:p>
    <w:p w14:paraId="786FD9CE" w14:textId="13293A2B" w:rsidR="00820552" w:rsidRDefault="000F452B" w:rsidP="00DC083E">
      <w:pPr>
        <w:pStyle w:val="NoSpacing"/>
      </w:pPr>
      <w:r>
        <w:t xml:space="preserve">So why now? </w:t>
      </w:r>
      <w:proofErr w:type="spellStart"/>
      <w:r>
        <w:t>Haleon</w:t>
      </w:r>
      <w:proofErr w:type="spellEnd"/>
      <w:r>
        <w:t xml:space="preserve"> has been overly punished by </w:t>
      </w:r>
      <w:r w:rsidR="00820552">
        <w:t>the recent increase in</w:t>
      </w:r>
      <w:r>
        <w:t xml:space="preserve"> oil prices and</w:t>
      </w:r>
      <w:r w:rsidR="000305F1">
        <w:t xml:space="preserve"> </w:t>
      </w:r>
      <w:r>
        <w:t>yields. The share price is down low-teens % since mid</w:t>
      </w:r>
      <w:r w:rsidR="008C2080">
        <w:t>-</w:t>
      </w:r>
      <w:r>
        <w:t>August</w:t>
      </w:r>
      <w:r w:rsidR="005E5EB0">
        <w:t>, despite no material deterioration in the underlying earnings outlook</w:t>
      </w:r>
      <w:r>
        <w:t xml:space="preserve">. </w:t>
      </w:r>
      <w:r w:rsidR="00B25039" w:rsidRPr="00B25039">
        <w:t>I think the market has ove</w:t>
      </w:r>
      <w:r w:rsidR="00392D05">
        <w:t>restimated the sensitivity to</w:t>
      </w:r>
      <w:r w:rsidR="0052419E">
        <w:t xml:space="preserve"> higher</w:t>
      </w:r>
      <w:r w:rsidR="00392D05">
        <w:t xml:space="preserve"> oil prices. O</w:t>
      </w:r>
      <w:r w:rsidR="00B25039" w:rsidRPr="00B25039">
        <w:t xml:space="preserve">il-linked costs are only around 3% of revenue, while </w:t>
      </w:r>
      <w:proofErr w:type="spellStart"/>
      <w:r w:rsidR="00B25039" w:rsidRPr="00B25039">
        <w:t>Haleon</w:t>
      </w:r>
      <w:proofErr w:type="spellEnd"/>
      <w:r w:rsidR="00B25039" w:rsidRPr="00B25039">
        <w:t xml:space="preserve"> also benefits from lower category elasticities than many other peers.</w:t>
      </w:r>
      <w:r w:rsidR="00B25039" w:rsidRPr="00B25039">
        <w:t xml:space="preserve"> </w:t>
      </w:r>
      <w:r w:rsidR="00820552" w:rsidRPr="00820552">
        <w:t>Higher bond yields have put further pressure on the multiple</w:t>
      </w:r>
      <w:r w:rsidR="005F5250">
        <w:t xml:space="preserve">. </w:t>
      </w:r>
      <w:r w:rsidR="0036240C">
        <w:t>With earnings intact but the valuation reset, I see an attractive entry.</w:t>
      </w:r>
    </w:p>
    <w:p w14:paraId="4C7D6700" w14:textId="77777777" w:rsidR="00B25039" w:rsidRDefault="00B25039" w:rsidP="00820552">
      <w:pPr>
        <w:pStyle w:val="NoSpacing"/>
        <w:tabs>
          <w:tab w:val="left" w:pos="1877"/>
        </w:tabs>
      </w:pPr>
    </w:p>
    <w:p w14:paraId="51E77BCF" w14:textId="393A9BA2" w:rsidR="00DC083E" w:rsidRDefault="000F452B" w:rsidP="00820552">
      <w:pPr>
        <w:pStyle w:val="NoSpacing"/>
        <w:tabs>
          <w:tab w:val="left" w:pos="1877"/>
        </w:tabs>
      </w:pPr>
      <w:r>
        <w:t>As for catalysts,</w:t>
      </w:r>
      <w:r w:rsidR="00820552">
        <w:t xml:space="preserve"> I</w:t>
      </w:r>
      <w:r>
        <w:t xml:space="preserve"> expect OSG </w:t>
      </w:r>
      <w:r w:rsidR="0052419E">
        <w:t xml:space="preserve">to accelerate </w:t>
      </w:r>
      <w:r>
        <w:t>through FY26, with the US market continuing to benefit from increased s</w:t>
      </w:r>
      <w:r w:rsidR="00513BC9">
        <w:t>h</w:t>
      </w:r>
      <w:r>
        <w:t>elf</w:t>
      </w:r>
      <w:r w:rsidR="005F5250">
        <w:t xml:space="preserve"> </w:t>
      </w:r>
      <w:r>
        <w:t>space in key retailers.</w:t>
      </w:r>
      <w:r w:rsidR="0052419E">
        <w:t xml:space="preserve"> M</w:t>
      </w:r>
      <w:r w:rsidR="00A0743F" w:rsidRPr="00A0743F">
        <w:t>argins ahead of consensus should force EPS and FCF upgrades</w:t>
      </w:r>
      <w:r w:rsidR="0052419E">
        <w:t>, while s</w:t>
      </w:r>
      <w:r w:rsidR="00820552" w:rsidRPr="00820552">
        <w:t xml:space="preserve">trong cash generation also creates </w:t>
      </w:r>
      <w:r w:rsidR="0052419E">
        <w:t>scope</w:t>
      </w:r>
      <w:r w:rsidR="00820552" w:rsidRPr="00820552">
        <w:t xml:space="preserve"> for additional</w:t>
      </w:r>
      <w:r w:rsidR="0052419E">
        <w:t xml:space="preserve"> </w:t>
      </w:r>
      <w:r w:rsidR="00820552" w:rsidRPr="00820552">
        <w:t xml:space="preserve">buybacks </w:t>
      </w:r>
      <w:r w:rsidR="005F5250">
        <w:t>and capital returns.</w:t>
      </w:r>
    </w:p>
    <w:p w14:paraId="6E7B4E8E" w14:textId="77777777" w:rsidR="00DC083E" w:rsidRDefault="00DC083E" w:rsidP="00DC083E">
      <w:pPr>
        <w:pStyle w:val="NoSpacing"/>
      </w:pPr>
    </w:p>
    <w:p w14:paraId="023C7200" w14:textId="77777777" w:rsidR="00DC083E" w:rsidRDefault="00DC083E" w:rsidP="00DC083E">
      <w:pPr>
        <w:pStyle w:val="NoSpacing"/>
      </w:pPr>
    </w:p>
    <w:p w14:paraId="3F415644" w14:textId="77777777" w:rsidR="00DC083E" w:rsidRDefault="00DC083E" w:rsidP="00DC083E">
      <w:pPr>
        <w:pStyle w:val="NoSpacing"/>
      </w:pPr>
    </w:p>
    <w:p w14:paraId="6C70E911" w14:textId="77777777" w:rsidR="00DC083E" w:rsidRDefault="00DC083E" w:rsidP="00DC083E">
      <w:pPr>
        <w:pStyle w:val="NoSpacing"/>
      </w:pPr>
    </w:p>
    <w:p w14:paraId="125E1438" w14:textId="77777777" w:rsidR="00DC083E" w:rsidRDefault="00DC083E" w:rsidP="00DC083E">
      <w:pPr>
        <w:pStyle w:val="NoSpacing"/>
      </w:pPr>
    </w:p>
    <w:p w14:paraId="5F5A3F0A" w14:textId="77777777" w:rsidR="00DC083E" w:rsidRDefault="00DC083E" w:rsidP="00DC083E">
      <w:pPr>
        <w:pStyle w:val="NoSpacing"/>
      </w:pPr>
    </w:p>
    <w:p w14:paraId="10205D2D" w14:textId="77777777" w:rsidR="00DC083E" w:rsidRDefault="00DC083E" w:rsidP="00DC083E">
      <w:pPr>
        <w:pStyle w:val="NoSpacing"/>
      </w:pPr>
    </w:p>
    <w:p w14:paraId="44C6E5D1" w14:textId="77777777" w:rsidR="00DC083E" w:rsidRDefault="00DC083E" w:rsidP="00DC083E">
      <w:pPr>
        <w:pStyle w:val="NoSpacing"/>
      </w:pPr>
    </w:p>
    <w:p w14:paraId="3A2EC43F" w14:textId="77777777" w:rsidR="00DC083E" w:rsidRDefault="00DC083E" w:rsidP="00DC083E">
      <w:pPr>
        <w:pStyle w:val="NoSpacing"/>
      </w:pPr>
    </w:p>
    <w:p w14:paraId="334D4FDF" w14:textId="77777777" w:rsidR="00DC083E" w:rsidRDefault="00DC083E" w:rsidP="00DC083E">
      <w:pPr>
        <w:pStyle w:val="NoSpacing"/>
      </w:pPr>
    </w:p>
    <w:p w14:paraId="2453E0CB" w14:textId="77777777" w:rsidR="00DC083E" w:rsidRDefault="00DC083E" w:rsidP="00DC083E">
      <w:pPr>
        <w:pStyle w:val="NoSpacing"/>
      </w:pPr>
    </w:p>
    <w:p w14:paraId="642A4CA5" w14:textId="77777777" w:rsidR="00DC083E" w:rsidRDefault="00DC083E" w:rsidP="00DC083E">
      <w:pPr>
        <w:pStyle w:val="NoSpacing"/>
      </w:pPr>
    </w:p>
    <w:p w14:paraId="22E2F011" w14:textId="77777777" w:rsidR="00DC083E" w:rsidRDefault="00DC083E" w:rsidP="00DC083E">
      <w:pPr>
        <w:pStyle w:val="NoSpacing"/>
      </w:pPr>
    </w:p>
    <w:p w14:paraId="34A7117A" w14:textId="77777777" w:rsidR="00DC083E" w:rsidRDefault="00DC083E" w:rsidP="00DC083E">
      <w:pPr>
        <w:pStyle w:val="NoSpacing"/>
      </w:pPr>
    </w:p>
    <w:p w14:paraId="6F534A27" w14:textId="77777777" w:rsidR="00DC083E" w:rsidRDefault="00DC083E" w:rsidP="00DC083E">
      <w:pPr>
        <w:pStyle w:val="NoSpacing"/>
      </w:pPr>
    </w:p>
    <w:p w14:paraId="5960DC61" w14:textId="77777777" w:rsidR="00DC083E" w:rsidRDefault="00DC083E" w:rsidP="00DC083E">
      <w:pPr>
        <w:pStyle w:val="NoSpacing"/>
      </w:pPr>
    </w:p>
    <w:p w14:paraId="57DFE76E" w14:textId="77777777" w:rsidR="00DC083E" w:rsidRDefault="00DC083E" w:rsidP="00DC083E">
      <w:pPr>
        <w:pStyle w:val="NoSpacing"/>
      </w:pPr>
    </w:p>
    <w:p w14:paraId="7427D162" w14:textId="77777777" w:rsidR="00DC083E" w:rsidRDefault="00DC083E" w:rsidP="00DC083E">
      <w:pPr>
        <w:pStyle w:val="NoSpacing"/>
      </w:pPr>
    </w:p>
    <w:p w14:paraId="17CA1C54" w14:textId="77777777" w:rsidR="00DC083E" w:rsidRDefault="00DC083E" w:rsidP="00DC083E">
      <w:pPr>
        <w:pStyle w:val="NoSpacing"/>
      </w:pPr>
    </w:p>
    <w:p w14:paraId="7C5245EB" w14:textId="77777777" w:rsidR="00DC083E" w:rsidRDefault="00DC083E" w:rsidP="00DC083E">
      <w:pPr>
        <w:pStyle w:val="NoSpacing"/>
      </w:pPr>
    </w:p>
    <w:p w14:paraId="753DC50B" w14:textId="77777777" w:rsidR="00DC083E" w:rsidRDefault="00DC083E" w:rsidP="00DC083E">
      <w:pPr>
        <w:pStyle w:val="NoSpacing"/>
      </w:pPr>
    </w:p>
    <w:p w14:paraId="3F9C6A08" w14:textId="77777777" w:rsidR="00DC083E" w:rsidRDefault="00DC083E" w:rsidP="00DC083E">
      <w:pPr>
        <w:pStyle w:val="NoSpacing"/>
      </w:pPr>
    </w:p>
    <w:p w14:paraId="08001CD8" w14:textId="77777777" w:rsidR="00DC083E" w:rsidRDefault="00DC083E" w:rsidP="00DC083E">
      <w:pPr>
        <w:pStyle w:val="NoSpacing"/>
      </w:pPr>
    </w:p>
    <w:p w14:paraId="6EBDDD38" w14:textId="77777777" w:rsidR="00DC083E" w:rsidRDefault="00DC083E" w:rsidP="00DC083E">
      <w:pPr>
        <w:pStyle w:val="NoSpacing"/>
      </w:pPr>
    </w:p>
    <w:p w14:paraId="1CCD55B8" w14:textId="77777777" w:rsidR="00DC083E" w:rsidRDefault="00DC083E" w:rsidP="00DC083E">
      <w:pPr>
        <w:pStyle w:val="NoSpacing"/>
      </w:pPr>
    </w:p>
    <w:p w14:paraId="13D7DDCD" w14:textId="77777777" w:rsidR="00DC083E" w:rsidRDefault="00DC083E" w:rsidP="00DC083E">
      <w:pPr>
        <w:pStyle w:val="NoSpacing"/>
      </w:pPr>
    </w:p>
    <w:p w14:paraId="404B0DCA" w14:textId="77777777" w:rsidR="00DC083E" w:rsidRDefault="00DC083E" w:rsidP="00DC083E">
      <w:pPr>
        <w:pStyle w:val="NoSpacing"/>
      </w:pPr>
    </w:p>
    <w:p w14:paraId="73E616A6" w14:textId="77777777" w:rsidR="00DC083E" w:rsidRDefault="00DC083E" w:rsidP="00DC083E">
      <w:pPr>
        <w:pStyle w:val="NoSpacing"/>
      </w:pPr>
    </w:p>
    <w:sectPr w:rsidR="00DC083E" w:rsidSect="002140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3E"/>
    <w:rsid w:val="00010E42"/>
    <w:rsid w:val="000305F1"/>
    <w:rsid w:val="00064E55"/>
    <w:rsid w:val="00093346"/>
    <w:rsid w:val="00095107"/>
    <w:rsid w:val="000C2B92"/>
    <w:rsid w:val="000F452B"/>
    <w:rsid w:val="00103436"/>
    <w:rsid w:val="00140D1E"/>
    <w:rsid w:val="001A08FF"/>
    <w:rsid w:val="001B13D0"/>
    <w:rsid w:val="001E0848"/>
    <w:rsid w:val="0021407A"/>
    <w:rsid w:val="00261202"/>
    <w:rsid w:val="00263A16"/>
    <w:rsid w:val="0029419A"/>
    <w:rsid w:val="0036240C"/>
    <w:rsid w:val="003644C8"/>
    <w:rsid w:val="00381AE6"/>
    <w:rsid w:val="00382CAE"/>
    <w:rsid w:val="00392D05"/>
    <w:rsid w:val="003B586C"/>
    <w:rsid w:val="003B7E4C"/>
    <w:rsid w:val="003E5CCE"/>
    <w:rsid w:val="00402440"/>
    <w:rsid w:val="00446A5B"/>
    <w:rsid w:val="00470A8B"/>
    <w:rsid w:val="00473A95"/>
    <w:rsid w:val="004E30FA"/>
    <w:rsid w:val="00513BC9"/>
    <w:rsid w:val="0052419E"/>
    <w:rsid w:val="005251C2"/>
    <w:rsid w:val="00563582"/>
    <w:rsid w:val="005B0A96"/>
    <w:rsid w:val="005E5EB0"/>
    <w:rsid w:val="005F3C92"/>
    <w:rsid w:val="005F5250"/>
    <w:rsid w:val="00696780"/>
    <w:rsid w:val="006B5717"/>
    <w:rsid w:val="00700BDC"/>
    <w:rsid w:val="00702968"/>
    <w:rsid w:val="00743B0C"/>
    <w:rsid w:val="007C013C"/>
    <w:rsid w:val="007D40FC"/>
    <w:rsid w:val="0081484F"/>
    <w:rsid w:val="00820552"/>
    <w:rsid w:val="00825E25"/>
    <w:rsid w:val="008B0E37"/>
    <w:rsid w:val="008C2080"/>
    <w:rsid w:val="008D52D5"/>
    <w:rsid w:val="009C64F0"/>
    <w:rsid w:val="00A0743F"/>
    <w:rsid w:val="00A41F27"/>
    <w:rsid w:val="00A72178"/>
    <w:rsid w:val="00A82C2D"/>
    <w:rsid w:val="00AF05A1"/>
    <w:rsid w:val="00B003E4"/>
    <w:rsid w:val="00B02095"/>
    <w:rsid w:val="00B150C8"/>
    <w:rsid w:val="00B25039"/>
    <w:rsid w:val="00B56B3A"/>
    <w:rsid w:val="00B6338D"/>
    <w:rsid w:val="00B77310"/>
    <w:rsid w:val="00BA191D"/>
    <w:rsid w:val="00BC31A9"/>
    <w:rsid w:val="00BE07E8"/>
    <w:rsid w:val="00C41D99"/>
    <w:rsid w:val="00CA3748"/>
    <w:rsid w:val="00CF41B8"/>
    <w:rsid w:val="00D25C68"/>
    <w:rsid w:val="00D3241A"/>
    <w:rsid w:val="00D4449A"/>
    <w:rsid w:val="00DA64B7"/>
    <w:rsid w:val="00DC083E"/>
    <w:rsid w:val="00DD3BDE"/>
    <w:rsid w:val="00E4203E"/>
    <w:rsid w:val="00E849A3"/>
    <w:rsid w:val="00FF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A88AB"/>
  <w15:chartTrackingRefBased/>
  <w15:docId w15:val="{DD93B49D-FE31-A346-A1FE-6A5AE932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08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81</cp:revision>
  <dcterms:created xsi:type="dcterms:W3CDTF">2026-09-13T13:14:00Z</dcterms:created>
  <dcterms:modified xsi:type="dcterms:W3CDTF">2026-09-13T16:13:00Z</dcterms:modified>
</cp:coreProperties>
</file>