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8BB6" w14:textId="68D3858E" w:rsidR="00A265E8" w:rsidRPr="002C7EFE" w:rsidRDefault="00A265E8" w:rsidP="00A265E8">
      <w:pPr>
        <w:pStyle w:val="NoSpacing"/>
        <w:rPr>
          <w:b/>
          <w:bCs/>
          <w:sz w:val="22"/>
          <w:szCs w:val="22"/>
        </w:rPr>
      </w:pPr>
      <w:r w:rsidRPr="002C7EFE">
        <w:rPr>
          <w:b/>
          <w:bCs/>
          <w:sz w:val="22"/>
          <w:szCs w:val="22"/>
        </w:rPr>
        <w:t>Richard Li – Bunzl Pitch</w:t>
      </w:r>
    </w:p>
    <w:p w14:paraId="1D40A0E5" w14:textId="77777777" w:rsidR="009A395C" w:rsidRPr="002C7EFE" w:rsidRDefault="009A395C" w:rsidP="00A265E8">
      <w:pPr>
        <w:pStyle w:val="NoSpacing"/>
        <w:rPr>
          <w:sz w:val="22"/>
          <w:szCs w:val="22"/>
        </w:rPr>
      </w:pPr>
    </w:p>
    <w:p w14:paraId="43A747F0" w14:textId="44518664" w:rsidR="0018658A" w:rsidRPr="002C7EFE" w:rsidRDefault="0018658A" w:rsidP="0018658A">
      <w:pPr>
        <w:pStyle w:val="NoSpacing"/>
        <w:rPr>
          <w:sz w:val="22"/>
          <w:szCs w:val="22"/>
        </w:rPr>
      </w:pPr>
      <w:r w:rsidRPr="002C7EFE">
        <w:rPr>
          <w:sz w:val="22"/>
          <w:szCs w:val="22"/>
        </w:rPr>
        <w:t>I am pitching long Bunzl, with a price target of 2,900p</w:t>
      </w:r>
      <w:r w:rsidR="00F43CC0" w:rsidRPr="002C7EFE">
        <w:rPr>
          <w:sz w:val="22"/>
          <w:szCs w:val="22"/>
        </w:rPr>
        <w:t xml:space="preserve"> with a </w:t>
      </w:r>
      <w:r w:rsidR="00B4477A" w:rsidRPr="002C7EFE">
        <w:rPr>
          <w:sz w:val="22"/>
          <w:szCs w:val="22"/>
        </w:rPr>
        <w:t>6-month</w:t>
      </w:r>
      <w:r w:rsidR="00F43CC0" w:rsidRPr="002C7EFE">
        <w:rPr>
          <w:sz w:val="22"/>
          <w:szCs w:val="22"/>
        </w:rPr>
        <w:t xml:space="preserve"> view</w:t>
      </w:r>
      <w:r w:rsidRPr="002C7EFE">
        <w:rPr>
          <w:sz w:val="22"/>
          <w:szCs w:val="22"/>
        </w:rPr>
        <w:t xml:space="preserve">, implying around 10% upside. My thesis is that </w:t>
      </w:r>
      <w:r w:rsidR="0014014E">
        <w:rPr>
          <w:sz w:val="22"/>
          <w:szCs w:val="22"/>
        </w:rPr>
        <w:t xml:space="preserve">pricing and </w:t>
      </w:r>
      <w:r w:rsidRPr="002C7EFE">
        <w:rPr>
          <w:sz w:val="22"/>
          <w:szCs w:val="22"/>
        </w:rPr>
        <w:t>margins will prove more resilient than consensus expects, while strong cash generation and balance-sheet capacity support EPS through buybacks and provide M&amp;A optionality.</w:t>
      </w:r>
    </w:p>
    <w:p w14:paraId="037FADDD" w14:textId="77777777" w:rsidR="0018658A" w:rsidRPr="002C7EFE" w:rsidRDefault="0018658A" w:rsidP="0018658A">
      <w:pPr>
        <w:pStyle w:val="NoSpacing"/>
        <w:rPr>
          <w:sz w:val="22"/>
          <w:szCs w:val="22"/>
        </w:rPr>
      </w:pPr>
    </w:p>
    <w:p w14:paraId="543DAB6F" w14:textId="27E7948A" w:rsidR="0018658A" w:rsidRPr="002C7EFE" w:rsidRDefault="0018658A" w:rsidP="0018658A">
      <w:pPr>
        <w:pStyle w:val="NoSpacing"/>
        <w:rPr>
          <w:sz w:val="22"/>
          <w:szCs w:val="22"/>
        </w:rPr>
      </w:pPr>
      <w:r w:rsidRPr="002C7EFE">
        <w:rPr>
          <w:sz w:val="22"/>
          <w:szCs w:val="22"/>
        </w:rPr>
        <w:t xml:space="preserve">Firstly, I think consensus is normalising the pricing </w:t>
      </w:r>
      <w:r w:rsidR="00686B71" w:rsidRPr="002C7EFE">
        <w:rPr>
          <w:sz w:val="22"/>
          <w:szCs w:val="22"/>
        </w:rPr>
        <w:t xml:space="preserve">benefit </w:t>
      </w:r>
      <w:r w:rsidRPr="002C7EFE">
        <w:rPr>
          <w:sz w:val="22"/>
          <w:szCs w:val="22"/>
        </w:rPr>
        <w:t>too quickly. Management’s 1</w:t>
      </w:r>
      <w:r w:rsidR="00945B9C" w:rsidRPr="002C7EFE">
        <w:rPr>
          <w:sz w:val="22"/>
          <w:szCs w:val="22"/>
          <w:vertAlign w:val="superscript"/>
        </w:rPr>
        <w:t>st</w:t>
      </w:r>
      <w:r w:rsidR="00945B9C" w:rsidRPr="002C7EFE">
        <w:rPr>
          <w:sz w:val="22"/>
          <w:szCs w:val="22"/>
        </w:rPr>
        <w:t xml:space="preserve"> </w:t>
      </w:r>
      <w:r w:rsidRPr="002C7EFE">
        <w:rPr>
          <w:sz w:val="22"/>
          <w:szCs w:val="22"/>
        </w:rPr>
        <w:t>September guidance for broadly flat margins of 7.6% assume</w:t>
      </w:r>
      <w:r w:rsidR="000950C9">
        <w:rPr>
          <w:sz w:val="22"/>
          <w:szCs w:val="22"/>
        </w:rPr>
        <w:t xml:space="preserve">s an </w:t>
      </w:r>
      <w:r w:rsidRPr="002C7EFE">
        <w:rPr>
          <w:sz w:val="22"/>
          <w:szCs w:val="22"/>
        </w:rPr>
        <w:t>unwind of the temporary inflation benefit. Renewed strength in oil and selected plastics prices since then challenges the speed of that normalisation</w:t>
      </w:r>
      <w:r w:rsidR="0056103A">
        <w:rPr>
          <w:sz w:val="22"/>
          <w:szCs w:val="22"/>
        </w:rPr>
        <w:t xml:space="preserve">. </w:t>
      </w:r>
      <w:r w:rsidR="0056103A" w:rsidRPr="0056103A">
        <w:rPr>
          <w:sz w:val="22"/>
          <w:szCs w:val="22"/>
        </w:rPr>
        <w:t>I assume prompt customer repricing when supplier prices rise, with around 70 days of inventory supporting a two-month COGS lag. Retaining percentage mark-ups on higher selling prices lifts absolute gross profit</w:t>
      </w:r>
      <w:r w:rsidR="0056103A">
        <w:rPr>
          <w:sz w:val="22"/>
          <w:szCs w:val="22"/>
        </w:rPr>
        <w:t xml:space="preserve">. </w:t>
      </w:r>
      <w:r w:rsidRPr="002C7EFE">
        <w:rPr>
          <w:sz w:val="22"/>
          <w:szCs w:val="22"/>
        </w:rPr>
        <w:t xml:space="preserve">My regional pricing and cost forecasts suggest this </w:t>
      </w:r>
      <w:r w:rsidR="000203BB">
        <w:rPr>
          <w:sz w:val="22"/>
          <w:szCs w:val="22"/>
        </w:rPr>
        <w:t>support</w:t>
      </w:r>
      <w:r w:rsidRPr="002C7EFE">
        <w:rPr>
          <w:sz w:val="22"/>
          <w:szCs w:val="22"/>
        </w:rPr>
        <w:t xml:space="preserve"> persists further into 2H26 than consensus assumes. I forecast adjusted EBIT margins of 8.0% in FY26 vs consensus of 7.7%, and 7.8% in FY27 vs 7.7%. I allow margins to fall as costs catch up, but the earnings base remains above consensus. Combined with </w:t>
      </w:r>
      <w:r w:rsidR="008E27EA" w:rsidRPr="002C7EFE">
        <w:rPr>
          <w:sz w:val="22"/>
          <w:szCs w:val="22"/>
        </w:rPr>
        <w:t>buybacks</w:t>
      </w:r>
      <w:r w:rsidRPr="002C7EFE">
        <w:rPr>
          <w:sz w:val="22"/>
          <w:szCs w:val="22"/>
        </w:rPr>
        <w:t>, this gives adjusted EPS of 199p in FY26 and 20</w:t>
      </w:r>
      <w:r w:rsidR="00935532">
        <w:rPr>
          <w:sz w:val="22"/>
          <w:szCs w:val="22"/>
        </w:rPr>
        <w:t>8</w:t>
      </w:r>
      <w:r w:rsidRPr="002C7EFE">
        <w:rPr>
          <w:sz w:val="22"/>
          <w:szCs w:val="22"/>
        </w:rPr>
        <w:t>p in FY27, around 7% above consensus in both years.</w:t>
      </w:r>
    </w:p>
    <w:p w14:paraId="5CE6AB59" w14:textId="77777777" w:rsidR="0018658A" w:rsidRPr="002C7EFE" w:rsidRDefault="0018658A" w:rsidP="0018658A">
      <w:pPr>
        <w:pStyle w:val="NoSpacing"/>
        <w:rPr>
          <w:sz w:val="22"/>
          <w:szCs w:val="22"/>
        </w:rPr>
      </w:pPr>
    </w:p>
    <w:p w14:paraId="18484FFF" w14:textId="5A5E8A8A" w:rsidR="0018658A" w:rsidRPr="002C7EFE" w:rsidRDefault="00DA61FB" w:rsidP="0018658A">
      <w:pPr>
        <w:pStyle w:val="NoSpacing"/>
        <w:rPr>
          <w:sz w:val="22"/>
          <w:szCs w:val="22"/>
        </w:rPr>
      </w:pPr>
      <w:r w:rsidRPr="002C7EFE">
        <w:rPr>
          <w:sz w:val="22"/>
          <w:szCs w:val="22"/>
        </w:rPr>
        <w:t xml:space="preserve">Secondly, cash generation supports capital allocation despite modest underlying growth. </w:t>
      </w:r>
      <w:r w:rsidR="0018658A" w:rsidRPr="002C7EFE">
        <w:rPr>
          <w:sz w:val="22"/>
          <w:szCs w:val="22"/>
        </w:rPr>
        <w:t xml:space="preserve">Alongside dividends, </w:t>
      </w:r>
      <w:r w:rsidRPr="002C7EFE">
        <w:rPr>
          <w:sz w:val="22"/>
          <w:szCs w:val="22"/>
        </w:rPr>
        <w:t>I model buybacks of £250m in FY26, £300m in FY27 and £500m annually from FY28. Estimated adjusted leverage is 1.8x in FY26 and 1.7x in FY27, remaining below 2x throughout my forecast against management’s 2</w:t>
      </w:r>
      <w:r w:rsidR="00F00059" w:rsidRPr="002C7EFE">
        <w:rPr>
          <w:sz w:val="22"/>
          <w:szCs w:val="22"/>
        </w:rPr>
        <w:t>-</w:t>
      </w:r>
      <w:r w:rsidRPr="002C7EFE">
        <w:rPr>
          <w:sz w:val="22"/>
          <w:szCs w:val="22"/>
        </w:rPr>
        <w:t>2.5x target. I exclude unannounced acquisitions from my base case, though accretive M&amp;A offers further upside.</w:t>
      </w:r>
    </w:p>
    <w:p w14:paraId="2931BB3C" w14:textId="77777777" w:rsidR="0018658A" w:rsidRPr="002C7EFE" w:rsidRDefault="0018658A" w:rsidP="0018658A">
      <w:pPr>
        <w:pStyle w:val="NoSpacing"/>
        <w:rPr>
          <w:sz w:val="22"/>
          <w:szCs w:val="22"/>
        </w:rPr>
      </w:pPr>
    </w:p>
    <w:p w14:paraId="73E8BF37" w14:textId="7A6EEC04" w:rsidR="0018658A" w:rsidRPr="002C7EFE" w:rsidRDefault="0018658A" w:rsidP="0018658A">
      <w:pPr>
        <w:pStyle w:val="NoSpacing"/>
        <w:rPr>
          <w:sz w:val="22"/>
          <w:szCs w:val="22"/>
        </w:rPr>
      </w:pPr>
      <w:r w:rsidRPr="002C7EFE">
        <w:rPr>
          <w:sz w:val="22"/>
          <w:szCs w:val="22"/>
        </w:rPr>
        <w:t xml:space="preserve">Finally, on valuation, Bunzl looks inexpensive relative to distribution peers. On </w:t>
      </w:r>
      <w:r w:rsidR="00780D59" w:rsidRPr="002C7EFE">
        <w:rPr>
          <w:sz w:val="22"/>
          <w:szCs w:val="22"/>
        </w:rPr>
        <w:t>my</w:t>
      </w:r>
      <w:r w:rsidRPr="002C7EFE">
        <w:rPr>
          <w:sz w:val="22"/>
          <w:szCs w:val="22"/>
        </w:rPr>
        <w:t xml:space="preserve"> estimates, it trades on 1</w:t>
      </w:r>
      <w:r w:rsidR="00780D59" w:rsidRPr="002C7EFE">
        <w:rPr>
          <w:sz w:val="22"/>
          <w:szCs w:val="22"/>
        </w:rPr>
        <w:t xml:space="preserve">2.7x </w:t>
      </w:r>
      <w:r w:rsidRPr="002C7EFE">
        <w:rPr>
          <w:sz w:val="22"/>
          <w:szCs w:val="22"/>
        </w:rPr>
        <w:t>FY27 earnings vs 1</w:t>
      </w:r>
      <w:r w:rsidR="002479F8">
        <w:rPr>
          <w:sz w:val="22"/>
          <w:szCs w:val="22"/>
        </w:rPr>
        <w:t>6</w:t>
      </w:r>
      <w:r w:rsidRPr="002C7EFE">
        <w:rPr>
          <w:sz w:val="22"/>
          <w:szCs w:val="22"/>
        </w:rPr>
        <w:t>.</w:t>
      </w:r>
      <w:r w:rsidR="002479F8">
        <w:rPr>
          <w:sz w:val="22"/>
          <w:szCs w:val="22"/>
        </w:rPr>
        <w:t>2</w:t>
      </w:r>
      <w:r w:rsidRPr="002C7EFE">
        <w:rPr>
          <w:sz w:val="22"/>
          <w:szCs w:val="22"/>
        </w:rPr>
        <w:t xml:space="preserve">x for the weighted peer basket, with a </w:t>
      </w:r>
      <w:r w:rsidR="00780D59" w:rsidRPr="002C7EFE">
        <w:rPr>
          <w:sz w:val="22"/>
          <w:szCs w:val="22"/>
        </w:rPr>
        <w:t>FCF</w:t>
      </w:r>
      <w:r w:rsidRPr="002C7EFE">
        <w:rPr>
          <w:sz w:val="22"/>
          <w:szCs w:val="22"/>
        </w:rPr>
        <w:t xml:space="preserve"> yield of 7.</w:t>
      </w:r>
      <w:r w:rsidR="002479F8">
        <w:rPr>
          <w:sz w:val="22"/>
          <w:szCs w:val="22"/>
        </w:rPr>
        <w:t>8</w:t>
      </w:r>
      <w:r w:rsidRPr="002C7EFE">
        <w:rPr>
          <w:sz w:val="22"/>
          <w:szCs w:val="22"/>
        </w:rPr>
        <w:t xml:space="preserve">% versus </w:t>
      </w:r>
      <w:r w:rsidR="002479F8">
        <w:rPr>
          <w:sz w:val="22"/>
          <w:szCs w:val="22"/>
        </w:rPr>
        <w:t>5.4</w:t>
      </w:r>
      <w:r w:rsidRPr="002C7EFE">
        <w:rPr>
          <w:sz w:val="22"/>
          <w:szCs w:val="22"/>
        </w:rPr>
        <w:t>%. Some discount is warranted by slower organic growth, so I assume only a modest rerating</w:t>
      </w:r>
      <w:r w:rsidR="00780D59" w:rsidRPr="002C7EFE">
        <w:rPr>
          <w:sz w:val="22"/>
          <w:szCs w:val="22"/>
        </w:rPr>
        <w:t xml:space="preserve"> - </w:t>
      </w:r>
      <w:r w:rsidRPr="002C7EFE">
        <w:rPr>
          <w:sz w:val="22"/>
          <w:szCs w:val="22"/>
        </w:rPr>
        <w:t>my target implies 13.9x, retaining a substantial peer discount.</w:t>
      </w:r>
    </w:p>
    <w:p w14:paraId="42FC99B1" w14:textId="77777777" w:rsidR="0018658A" w:rsidRPr="002C7EFE" w:rsidRDefault="0018658A" w:rsidP="0018658A">
      <w:pPr>
        <w:pStyle w:val="NoSpacing"/>
        <w:rPr>
          <w:sz w:val="22"/>
          <w:szCs w:val="22"/>
        </w:rPr>
      </w:pPr>
    </w:p>
    <w:p w14:paraId="6FA0E6C0" w14:textId="76E24E58" w:rsidR="0018658A" w:rsidRPr="002C7EFE" w:rsidRDefault="0018658A" w:rsidP="0018658A">
      <w:pPr>
        <w:pStyle w:val="NoSpacing"/>
        <w:rPr>
          <w:sz w:val="22"/>
          <w:szCs w:val="22"/>
        </w:rPr>
      </w:pPr>
      <w:r w:rsidRPr="002C7EFE">
        <w:rPr>
          <w:sz w:val="22"/>
          <w:szCs w:val="22"/>
        </w:rPr>
        <w:t xml:space="preserve">So why now? The commodity backdrop has strengthened since guidance. Brent </w:t>
      </w:r>
      <w:r w:rsidR="006D4252">
        <w:rPr>
          <w:sz w:val="22"/>
          <w:szCs w:val="22"/>
        </w:rPr>
        <w:t xml:space="preserve">has risen, paper and metals have also risen, </w:t>
      </w:r>
      <w:r w:rsidRPr="002C7EFE">
        <w:rPr>
          <w:sz w:val="22"/>
          <w:szCs w:val="22"/>
        </w:rPr>
        <w:t xml:space="preserve">while </w:t>
      </w:r>
      <w:r w:rsidR="006D4252">
        <w:rPr>
          <w:sz w:val="22"/>
          <w:szCs w:val="22"/>
        </w:rPr>
        <w:t>plastic</w:t>
      </w:r>
      <w:r w:rsidRPr="002C7EFE">
        <w:rPr>
          <w:sz w:val="22"/>
          <w:szCs w:val="22"/>
        </w:rPr>
        <w:t xml:space="preserve"> prices have firmed through September. My view is that the market is underestimating how long this renewed inflation can support earnings before costs catch up.</w:t>
      </w:r>
    </w:p>
    <w:p w14:paraId="0AC15096" w14:textId="77777777" w:rsidR="0018658A" w:rsidRPr="002C7EFE" w:rsidRDefault="0018658A" w:rsidP="0018658A">
      <w:pPr>
        <w:pStyle w:val="NoSpacing"/>
        <w:rPr>
          <w:sz w:val="22"/>
          <w:szCs w:val="22"/>
        </w:rPr>
      </w:pPr>
    </w:p>
    <w:p w14:paraId="353D2F48" w14:textId="4332A4AB" w:rsidR="0018658A" w:rsidRPr="002C7EFE" w:rsidRDefault="0018658A" w:rsidP="0018658A">
      <w:pPr>
        <w:pStyle w:val="NoSpacing"/>
        <w:rPr>
          <w:sz w:val="22"/>
          <w:szCs w:val="22"/>
        </w:rPr>
      </w:pPr>
      <w:r w:rsidRPr="002C7EFE">
        <w:rPr>
          <w:sz w:val="22"/>
          <w:szCs w:val="22"/>
        </w:rPr>
        <w:t xml:space="preserve">As for catalysts, the Q3 trading update on 20 October is the first test of </w:t>
      </w:r>
      <w:r w:rsidR="00381A30" w:rsidRPr="002C7EFE">
        <w:rPr>
          <w:sz w:val="22"/>
          <w:szCs w:val="22"/>
        </w:rPr>
        <w:t xml:space="preserve">organic </w:t>
      </w:r>
      <w:r w:rsidR="00C91304" w:rsidRPr="002C7EFE">
        <w:rPr>
          <w:sz w:val="22"/>
          <w:szCs w:val="22"/>
        </w:rPr>
        <w:t>growth and</w:t>
      </w:r>
      <w:r w:rsidRPr="002C7EFE">
        <w:rPr>
          <w:sz w:val="22"/>
          <w:szCs w:val="22"/>
        </w:rPr>
        <w:t xml:space="preserve"> </w:t>
      </w:r>
      <w:r w:rsidR="008A34C7" w:rsidRPr="002C7EFE">
        <w:rPr>
          <w:sz w:val="22"/>
          <w:szCs w:val="22"/>
        </w:rPr>
        <w:t xml:space="preserve">may also </w:t>
      </w:r>
      <w:r w:rsidR="00C91304" w:rsidRPr="002C7EFE">
        <w:rPr>
          <w:sz w:val="22"/>
          <w:szCs w:val="22"/>
        </w:rPr>
        <w:t>provide</w:t>
      </w:r>
      <w:r w:rsidR="008A34C7" w:rsidRPr="002C7EFE">
        <w:rPr>
          <w:sz w:val="22"/>
          <w:szCs w:val="22"/>
        </w:rPr>
        <w:t xml:space="preserve"> an </w:t>
      </w:r>
      <w:r w:rsidR="00381A30" w:rsidRPr="002C7EFE">
        <w:rPr>
          <w:sz w:val="22"/>
          <w:szCs w:val="22"/>
        </w:rPr>
        <w:t xml:space="preserve">update </w:t>
      </w:r>
      <w:r w:rsidR="008A34C7" w:rsidRPr="002C7EFE">
        <w:rPr>
          <w:sz w:val="22"/>
          <w:szCs w:val="22"/>
        </w:rPr>
        <w:t xml:space="preserve">on </w:t>
      </w:r>
      <w:r w:rsidRPr="002C7EFE">
        <w:rPr>
          <w:sz w:val="22"/>
          <w:szCs w:val="22"/>
        </w:rPr>
        <w:t xml:space="preserve">margin guidance. FY26 results should then establish whether stronger H2 profitability supports EPS upgrades and a higher starting point for FY27. Further capital returns or accretive acquisitions are </w:t>
      </w:r>
      <w:r w:rsidR="000945D5" w:rsidRPr="002C7EFE">
        <w:rPr>
          <w:sz w:val="22"/>
          <w:szCs w:val="22"/>
        </w:rPr>
        <w:t xml:space="preserve">only </w:t>
      </w:r>
      <w:r w:rsidRPr="002C7EFE">
        <w:rPr>
          <w:sz w:val="22"/>
          <w:szCs w:val="22"/>
        </w:rPr>
        <w:t>secondary catalysts</w:t>
      </w:r>
      <w:r w:rsidR="000945D5" w:rsidRPr="002C7EFE">
        <w:rPr>
          <w:sz w:val="22"/>
          <w:szCs w:val="22"/>
        </w:rPr>
        <w:t xml:space="preserve"> for now</w:t>
      </w:r>
      <w:r w:rsidRPr="002C7EFE">
        <w:rPr>
          <w:sz w:val="22"/>
          <w:szCs w:val="22"/>
        </w:rPr>
        <w:t xml:space="preserve">: a £500m buyback has already been announced, while </w:t>
      </w:r>
      <w:r w:rsidR="009C0BCC" w:rsidRPr="002C7EFE">
        <w:rPr>
          <w:sz w:val="22"/>
          <w:szCs w:val="22"/>
        </w:rPr>
        <w:t xml:space="preserve">the </w:t>
      </w:r>
      <w:r w:rsidRPr="002C7EFE">
        <w:rPr>
          <w:sz w:val="22"/>
          <w:szCs w:val="22"/>
        </w:rPr>
        <w:t xml:space="preserve">deal </w:t>
      </w:r>
      <w:r w:rsidR="009C0BCC" w:rsidRPr="002C7EFE">
        <w:rPr>
          <w:sz w:val="22"/>
          <w:szCs w:val="22"/>
        </w:rPr>
        <w:t xml:space="preserve">outlook </w:t>
      </w:r>
      <w:r w:rsidRPr="002C7EFE">
        <w:rPr>
          <w:sz w:val="22"/>
          <w:szCs w:val="22"/>
        </w:rPr>
        <w:t>remains uncertain.</w:t>
      </w:r>
    </w:p>
    <w:p w14:paraId="074BBE1E" w14:textId="77777777" w:rsidR="0018658A" w:rsidRPr="002C7EFE" w:rsidRDefault="0018658A" w:rsidP="0018658A">
      <w:pPr>
        <w:pStyle w:val="NoSpacing"/>
        <w:rPr>
          <w:sz w:val="22"/>
          <w:szCs w:val="22"/>
        </w:rPr>
      </w:pPr>
    </w:p>
    <w:p w14:paraId="5A55370E" w14:textId="778F47F9" w:rsidR="00B32E4B" w:rsidRDefault="00381A30" w:rsidP="00A265E8">
      <w:pPr>
        <w:pStyle w:val="NoSpacing"/>
        <w:rPr>
          <w:sz w:val="22"/>
          <w:szCs w:val="22"/>
        </w:rPr>
      </w:pPr>
      <w:r w:rsidRPr="002C7EFE">
        <w:rPr>
          <w:sz w:val="22"/>
          <w:szCs w:val="22"/>
        </w:rPr>
        <w:t>The key risks are faster commodity normalisatio</w:t>
      </w:r>
      <w:r w:rsidR="0005716A">
        <w:rPr>
          <w:sz w:val="22"/>
          <w:szCs w:val="22"/>
        </w:rPr>
        <w:t>n</w:t>
      </w:r>
      <w:r w:rsidRPr="002C7EFE">
        <w:rPr>
          <w:sz w:val="22"/>
          <w:szCs w:val="22"/>
        </w:rPr>
        <w:t>, and weak demand or competition preventing</w:t>
      </w:r>
      <w:r w:rsidR="00EB6A41">
        <w:rPr>
          <w:sz w:val="22"/>
          <w:szCs w:val="22"/>
        </w:rPr>
        <w:t xml:space="preserve"> </w:t>
      </w:r>
      <w:r w:rsidRPr="002C7EFE">
        <w:rPr>
          <w:sz w:val="22"/>
          <w:szCs w:val="22"/>
        </w:rPr>
        <w:t xml:space="preserve">pass-through of supplier increases. Selling-price growth below purchasing-cost inflation would undermine my margin forecast. </w:t>
      </w:r>
      <w:r w:rsidR="00EB6A41" w:rsidRPr="00EB6A41">
        <w:rPr>
          <w:sz w:val="22"/>
          <w:szCs w:val="22"/>
        </w:rPr>
        <w:t>I would reassess the thesis if the H2 profit uplift failed to emerge.</w:t>
      </w:r>
    </w:p>
    <w:p w14:paraId="10C75BB8" w14:textId="77777777" w:rsidR="00EB6A41" w:rsidRPr="002C7EFE" w:rsidRDefault="00EB6A41" w:rsidP="00A265E8">
      <w:pPr>
        <w:pStyle w:val="NoSpacing"/>
        <w:rPr>
          <w:sz w:val="22"/>
          <w:szCs w:val="22"/>
        </w:rPr>
      </w:pPr>
    </w:p>
    <w:p w14:paraId="7E6E488B" w14:textId="77777777" w:rsidR="00B202C0" w:rsidRPr="002C7EFE" w:rsidRDefault="00B202C0" w:rsidP="00A265E8">
      <w:pPr>
        <w:pStyle w:val="NoSpacing"/>
        <w:rPr>
          <w:sz w:val="22"/>
          <w:szCs w:val="22"/>
        </w:rPr>
      </w:pPr>
    </w:p>
    <w:p w14:paraId="07068F5C" w14:textId="77777777" w:rsidR="0018658A" w:rsidRPr="002C7EFE" w:rsidRDefault="0018658A" w:rsidP="00A265E8">
      <w:pPr>
        <w:pStyle w:val="NoSpacing"/>
        <w:rPr>
          <w:sz w:val="22"/>
          <w:szCs w:val="22"/>
        </w:rPr>
      </w:pPr>
    </w:p>
    <w:p w14:paraId="551C317B" w14:textId="77777777" w:rsidR="002C7EFE" w:rsidRDefault="002C7EFE" w:rsidP="00A265E8">
      <w:pPr>
        <w:pStyle w:val="NoSpacing"/>
        <w:rPr>
          <w:sz w:val="22"/>
          <w:szCs w:val="22"/>
        </w:rPr>
      </w:pPr>
    </w:p>
    <w:p w14:paraId="0EC62D19" w14:textId="77777777" w:rsidR="00DC0C3B" w:rsidRDefault="00DC0C3B" w:rsidP="00A265E8">
      <w:pPr>
        <w:pStyle w:val="NoSpacing"/>
        <w:rPr>
          <w:sz w:val="22"/>
          <w:szCs w:val="22"/>
        </w:rPr>
      </w:pPr>
    </w:p>
    <w:p w14:paraId="2CA73D56" w14:textId="77777777" w:rsidR="00240C94" w:rsidRDefault="00240C94" w:rsidP="00A265E8">
      <w:pPr>
        <w:pStyle w:val="NoSpacing"/>
        <w:rPr>
          <w:sz w:val="22"/>
          <w:szCs w:val="22"/>
        </w:rPr>
      </w:pPr>
    </w:p>
    <w:p w14:paraId="0613A657" w14:textId="475CFB29" w:rsidR="004773C9" w:rsidRPr="002C7EFE" w:rsidRDefault="004773C9" w:rsidP="00A265E8">
      <w:pPr>
        <w:pStyle w:val="NoSpacing"/>
        <w:rPr>
          <w:b/>
          <w:bCs/>
          <w:sz w:val="22"/>
          <w:szCs w:val="22"/>
        </w:rPr>
      </w:pPr>
      <w:r w:rsidRPr="002C7EFE">
        <w:rPr>
          <w:b/>
          <w:bCs/>
          <w:sz w:val="22"/>
          <w:szCs w:val="22"/>
        </w:rPr>
        <w:lastRenderedPageBreak/>
        <w:t>What I would do if I had more time</w:t>
      </w:r>
    </w:p>
    <w:p w14:paraId="38EBD6FA" w14:textId="77777777" w:rsidR="00B32E4B" w:rsidRPr="002C7EFE" w:rsidRDefault="00B32E4B" w:rsidP="00A265E8">
      <w:pPr>
        <w:pStyle w:val="NoSpacing"/>
        <w:rPr>
          <w:sz w:val="22"/>
          <w:szCs w:val="22"/>
        </w:rPr>
      </w:pPr>
    </w:p>
    <w:p w14:paraId="3C880110" w14:textId="0FC8FE27" w:rsidR="00655D84" w:rsidRPr="002C7EFE" w:rsidRDefault="00F43CC0" w:rsidP="00A265E8">
      <w:pPr>
        <w:pStyle w:val="NoSpacing"/>
        <w:rPr>
          <w:sz w:val="22"/>
          <w:szCs w:val="22"/>
        </w:rPr>
      </w:pPr>
      <w:r w:rsidRPr="002C7EFE">
        <w:rPr>
          <w:sz w:val="22"/>
          <w:szCs w:val="22"/>
        </w:rPr>
        <w:t xml:space="preserve">1) </w:t>
      </w:r>
      <w:r w:rsidR="00524EF4" w:rsidRPr="002C7EFE">
        <w:rPr>
          <w:sz w:val="22"/>
          <w:szCs w:val="22"/>
        </w:rPr>
        <w:t xml:space="preserve">Main thing I would do: </w:t>
      </w:r>
      <w:r w:rsidR="00B32E4B" w:rsidRPr="002C7EFE">
        <w:rPr>
          <w:sz w:val="22"/>
          <w:szCs w:val="22"/>
        </w:rPr>
        <w:t>I</w:t>
      </w:r>
      <w:r w:rsidR="00655D84" w:rsidRPr="002C7EFE">
        <w:rPr>
          <w:sz w:val="22"/>
          <w:szCs w:val="22"/>
        </w:rPr>
        <w:t>mprove the commodity cost tracker model</w:t>
      </w:r>
    </w:p>
    <w:p w14:paraId="14A5499D" w14:textId="60C7E233" w:rsidR="00655D84" w:rsidRPr="002C7EFE" w:rsidRDefault="00655D84" w:rsidP="00655D84">
      <w:pPr>
        <w:pStyle w:val="NoSpacing"/>
        <w:numPr>
          <w:ilvl w:val="0"/>
          <w:numId w:val="1"/>
        </w:numPr>
        <w:rPr>
          <w:sz w:val="22"/>
          <w:szCs w:val="22"/>
        </w:rPr>
      </w:pPr>
      <w:r w:rsidRPr="002C7EFE">
        <w:rPr>
          <w:sz w:val="22"/>
          <w:szCs w:val="22"/>
        </w:rPr>
        <w:t>Investigate supplier inventories</w:t>
      </w:r>
      <w:r w:rsidR="005E7285">
        <w:rPr>
          <w:sz w:val="22"/>
          <w:szCs w:val="22"/>
        </w:rPr>
        <w:t xml:space="preserve">, </w:t>
      </w:r>
      <w:r w:rsidRPr="002C7EFE">
        <w:rPr>
          <w:sz w:val="22"/>
          <w:szCs w:val="22"/>
        </w:rPr>
        <w:t>hedging</w:t>
      </w:r>
      <w:r w:rsidR="005E7285">
        <w:rPr>
          <w:sz w:val="22"/>
          <w:szCs w:val="22"/>
        </w:rPr>
        <w:t>, and repricing</w:t>
      </w:r>
      <w:r w:rsidRPr="002C7EFE">
        <w:rPr>
          <w:sz w:val="22"/>
          <w:szCs w:val="22"/>
        </w:rPr>
        <w:t xml:space="preserve"> to estimate how long it takes for commodity cost changes to reach Bunzl</w:t>
      </w:r>
    </w:p>
    <w:p w14:paraId="4E31689C" w14:textId="505DAF2E" w:rsidR="00655D84" w:rsidRPr="002C7EFE" w:rsidRDefault="00655D84" w:rsidP="00655D84">
      <w:pPr>
        <w:pStyle w:val="NoSpacing"/>
        <w:numPr>
          <w:ilvl w:val="0"/>
          <w:numId w:val="1"/>
        </w:numPr>
        <w:rPr>
          <w:sz w:val="22"/>
          <w:szCs w:val="22"/>
        </w:rPr>
      </w:pPr>
      <w:r w:rsidRPr="002C7EFE">
        <w:rPr>
          <w:sz w:val="22"/>
          <w:szCs w:val="22"/>
        </w:rPr>
        <w:t>Backtest for each region more</w:t>
      </w:r>
      <w:r w:rsidR="00D63D66">
        <w:rPr>
          <w:sz w:val="22"/>
          <w:szCs w:val="22"/>
        </w:rPr>
        <w:t>, different lags and pass through assumptions</w:t>
      </w:r>
    </w:p>
    <w:p w14:paraId="4703AA87" w14:textId="599C591E" w:rsidR="00655D84" w:rsidRPr="002C7EFE" w:rsidRDefault="00655D84" w:rsidP="00655D84">
      <w:pPr>
        <w:pStyle w:val="NoSpacing"/>
        <w:numPr>
          <w:ilvl w:val="0"/>
          <w:numId w:val="1"/>
        </w:numPr>
        <w:rPr>
          <w:sz w:val="22"/>
          <w:szCs w:val="22"/>
        </w:rPr>
      </w:pPr>
      <w:r w:rsidRPr="002C7EFE">
        <w:rPr>
          <w:sz w:val="22"/>
          <w:szCs w:val="22"/>
        </w:rPr>
        <w:t>Refine the estimates of the weightings</w:t>
      </w:r>
      <w:r w:rsidR="00B32E4B" w:rsidRPr="002C7EFE">
        <w:rPr>
          <w:sz w:val="22"/>
          <w:szCs w:val="22"/>
        </w:rPr>
        <w:t>, as some are still too general</w:t>
      </w:r>
    </w:p>
    <w:p w14:paraId="00B3ABBD" w14:textId="77777777" w:rsidR="00655D84" w:rsidRPr="002C7EFE" w:rsidRDefault="00655D84" w:rsidP="00655D84">
      <w:pPr>
        <w:pStyle w:val="NoSpacing"/>
        <w:rPr>
          <w:sz w:val="22"/>
          <w:szCs w:val="22"/>
        </w:rPr>
      </w:pPr>
    </w:p>
    <w:p w14:paraId="54A99E5B" w14:textId="3FBD0FFD" w:rsidR="00655D84" w:rsidRPr="002C7EFE" w:rsidRDefault="00F43CC0" w:rsidP="00655D84">
      <w:pPr>
        <w:pStyle w:val="NoSpacing"/>
        <w:rPr>
          <w:sz w:val="22"/>
          <w:szCs w:val="22"/>
        </w:rPr>
      </w:pPr>
      <w:r w:rsidRPr="002C7EFE">
        <w:rPr>
          <w:sz w:val="22"/>
          <w:szCs w:val="22"/>
        </w:rPr>
        <w:t xml:space="preserve">2) </w:t>
      </w:r>
      <w:r w:rsidR="00B32E4B" w:rsidRPr="002C7EFE">
        <w:rPr>
          <w:sz w:val="22"/>
          <w:szCs w:val="22"/>
        </w:rPr>
        <w:t>Investigate M&amp;A returns more:</w:t>
      </w:r>
    </w:p>
    <w:p w14:paraId="69C1468A" w14:textId="6ACD5A3A" w:rsidR="00B32E4B" w:rsidRPr="002C7EFE" w:rsidRDefault="000F5B7D" w:rsidP="00B32E4B">
      <w:pPr>
        <w:pStyle w:val="NoSpacing"/>
        <w:numPr>
          <w:ilvl w:val="0"/>
          <w:numId w:val="1"/>
        </w:numPr>
        <w:rPr>
          <w:sz w:val="22"/>
          <w:szCs w:val="22"/>
        </w:rPr>
      </w:pPr>
      <w:r w:rsidRPr="002C7EFE">
        <w:rPr>
          <w:sz w:val="22"/>
          <w:szCs w:val="22"/>
        </w:rPr>
        <w:t>The organic growth contribution of previously acquired businesses after they enter the comparable base</w:t>
      </w:r>
      <w:r w:rsidR="00B32E4B" w:rsidRPr="002C7EFE">
        <w:rPr>
          <w:sz w:val="22"/>
          <w:szCs w:val="22"/>
        </w:rPr>
        <w:t>, to see if less M&amp;A in the future impact valuation from the P/E-to-OSG multiple</w:t>
      </w:r>
    </w:p>
    <w:p w14:paraId="20097242" w14:textId="2F8509BF" w:rsidR="00B32E4B" w:rsidRPr="002C7EFE" w:rsidRDefault="00B32E4B" w:rsidP="00B32E4B">
      <w:pPr>
        <w:pStyle w:val="NoSpacing"/>
        <w:numPr>
          <w:ilvl w:val="0"/>
          <w:numId w:val="1"/>
        </w:numPr>
        <w:rPr>
          <w:sz w:val="22"/>
          <w:szCs w:val="22"/>
        </w:rPr>
      </w:pPr>
      <w:r w:rsidRPr="002C7EFE">
        <w:rPr>
          <w:sz w:val="22"/>
          <w:szCs w:val="22"/>
        </w:rPr>
        <w:t>Compare M&amp;A returns vs SBB returns</w:t>
      </w:r>
    </w:p>
    <w:p w14:paraId="349B1638" w14:textId="77777777" w:rsidR="00B32E4B" w:rsidRPr="002C7EFE" w:rsidRDefault="00B32E4B" w:rsidP="00655D84">
      <w:pPr>
        <w:pStyle w:val="NoSpacing"/>
        <w:rPr>
          <w:sz w:val="22"/>
          <w:szCs w:val="22"/>
        </w:rPr>
      </w:pPr>
    </w:p>
    <w:p w14:paraId="5ACFE94D" w14:textId="6F20C6DA" w:rsidR="004773C9" w:rsidRPr="002C7EFE" w:rsidRDefault="00F43CC0" w:rsidP="00A265E8">
      <w:pPr>
        <w:pStyle w:val="NoSpacing"/>
        <w:rPr>
          <w:sz w:val="22"/>
          <w:szCs w:val="22"/>
        </w:rPr>
      </w:pPr>
      <w:r w:rsidRPr="002C7EFE">
        <w:rPr>
          <w:sz w:val="22"/>
          <w:szCs w:val="22"/>
        </w:rPr>
        <w:t xml:space="preserve">3) </w:t>
      </w:r>
      <w:r w:rsidR="00B32E4B" w:rsidRPr="002C7EFE">
        <w:rPr>
          <w:sz w:val="22"/>
          <w:szCs w:val="22"/>
        </w:rPr>
        <w:t>Investigate the North America SOTP thesis, as suggested by Elliot</w:t>
      </w:r>
      <w:r w:rsidR="00C621EA" w:rsidRPr="002C7EFE">
        <w:rPr>
          <w:sz w:val="22"/>
          <w:szCs w:val="22"/>
        </w:rPr>
        <w:t>t</w:t>
      </w:r>
    </w:p>
    <w:p w14:paraId="6CD65CD5" w14:textId="77777777" w:rsidR="004773C9" w:rsidRPr="002C7EFE" w:rsidRDefault="004773C9" w:rsidP="00A265E8">
      <w:pPr>
        <w:pStyle w:val="NoSpacing"/>
        <w:rPr>
          <w:sz w:val="22"/>
          <w:szCs w:val="22"/>
        </w:rPr>
      </w:pPr>
    </w:p>
    <w:p w14:paraId="00069B81" w14:textId="6D3F501F" w:rsidR="004773C9" w:rsidRPr="002C7EFE" w:rsidRDefault="00F43CC0" w:rsidP="00A265E8">
      <w:pPr>
        <w:pStyle w:val="NoSpacing"/>
        <w:rPr>
          <w:sz w:val="22"/>
          <w:szCs w:val="22"/>
        </w:rPr>
      </w:pPr>
      <w:r w:rsidRPr="002C7EFE">
        <w:rPr>
          <w:sz w:val="22"/>
          <w:szCs w:val="22"/>
        </w:rPr>
        <w:t xml:space="preserve">4) </w:t>
      </w:r>
      <w:r w:rsidR="00B32E4B" w:rsidRPr="002C7EFE">
        <w:rPr>
          <w:sz w:val="22"/>
          <w:szCs w:val="22"/>
        </w:rPr>
        <w:t>Improve model construction:</w:t>
      </w:r>
    </w:p>
    <w:p w14:paraId="356BB076" w14:textId="77777777" w:rsidR="00B32E4B" w:rsidRPr="002C7EFE" w:rsidRDefault="00B32E4B" w:rsidP="00B32E4B">
      <w:pPr>
        <w:pStyle w:val="NoSpacing"/>
        <w:numPr>
          <w:ilvl w:val="0"/>
          <w:numId w:val="1"/>
        </w:numPr>
        <w:rPr>
          <w:sz w:val="22"/>
          <w:szCs w:val="22"/>
        </w:rPr>
      </w:pPr>
      <w:r w:rsidRPr="002C7EFE">
        <w:rPr>
          <w:sz w:val="22"/>
          <w:szCs w:val="22"/>
        </w:rPr>
        <w:t>Can use employee costs and depreciation to get better sense of COGS in operating segments</w:t>
      </w:r>
    </w:p>
    <w:p w14:paraId="456DB487" w14:textId="44BA2771" w:rsidR="00B32E4B" w:rsidRPr="002C7EFE" w:rsidRDefault="00B32E4B" w:rsidP="00B32E4B">
      <w:pPr>
        <w:pStyle w:val="NoSpacing"/>
        <w:numPr>
          <w:ilvl w:val="0"/>
          <w:numId w:val="1"/>
        </w:numPr>
        <w:rPr>
          <w:sz w:val="22"/>
          <w:szCs w:val="22"/>
        </w:rPr>
      </w:pPr>
      <w:r w:rsidRPr="002C7EFE">
        <w:rPr>
          <w:sz w:val="22"/>
          <w:szCs w:val="22"/>
        </w:rPr>
        <w:t>Currently the adjusted EBIT of operating segments is a function of the group, not vice versa, as needed COGS estimates</w:t>
      </w:r>
      <w:r w:rsidR="00341013" w:rsidRPr="002C7EFE">
        <w:rPr>
          <w:sz w:val="22"/>
          <w:szCs w:val="22"/>
        </w:rPr>
        <w:t xml:space="preserve"> to do so</w:t>
      </w:r>
    </w:p>
    <w:p w14:paraId="62615B14" w14:textId="77777777" w:rsidR="00B32E4B" w:rsidRPr="002C7EFE" w:rsidRDefault="00B32E4B" w:rsidP="00A265E8">
      <w:pPr>
        <w:pStyle w:val="NoSpacing"/>
        <w:rPr>
          <w:sz w:val="22"/>
          <w:szCs w:val="22"/>
        </w:rPr>
      </w:pPr>
    </w:p>
    <w:p w14:paraId="44A9C3B8" w14:textId="2329160B" w:rsidR="00330A8C" w:rsidRPr="002C7EFE" w:rsidRDefault="00F43CC0" w:rsidP="00A265E8">
      <w:pPr>
        <w:pStyle w:val="NoSpacing"/>
        <w:rPr>
          <w:sz w:val="22"/>
          <w:szCs w:val="22"/>
        </w:rPr>
      </w:pPr>
      <w:r w:rsidRPr="002C7EFE">
        <w:rPr>
          <w:sz w:val="22"/>
          <w:szCs w:val="22"/>
        </w:rPr>
        <w:t xml:space="preserve">5) </w:t>
      </w:r>
      <w:r w:rsidR="00330A8C" w:rsidRPr="002C7EFE">
        <w:rPr>
          <w:sz w:val="22"/>
          <w:szCs w:val="22"/>
        </w:rPr>
        <w:t>Look into end market growth</w:t>
      </w:r>
    </w:p>
    <w:p w14:paraId="67A3DCDF" w14:textId="60BA985B" w:rsidR="00330A8C" w:rsidRDefault="00330A8C" w:rsidP="00330A8C">
      <w:pPr>
        <w:pStyle w:val="NoSpacing"/>
        <w:numPr>
          <w:ilvl w:val="0"/>
          <w:numId w:val="1"/>
        </w:numPr>
        <w:rPr>
          <w:sz w:val="22"/>
          <w:szCs w:val="22"/>
        </w:rPr>
      </w:pPr>
      <w:r w:rsidRPr="002C7EFE">
        <w:rPr>
          <w:sz w:val="22"/>
          <w:szCs w:val="22"/>
        </w:rPr>
        <w:t>Understand the structural drivers of OSG in each operating segment for each category</w:t>
      </w:r>
      <w:r w:rsidR="00F43CC0" w:rsidRPr="002C7EFE">
        <w:rPr>
          <w:sz w:val="22"/>
          <w:szCs w:val="22"/>
        </w:rPr>
        <w:t xml:space="preserve">, can get a better understanding of growth in further out years, </w:t>
      </w:r>
      <w:r w:rsidR="00494D12" w:rsidRPr="002C7EFE">
        <w:rPr>
          <w:sz w:val="22"/>
          <w:szCs w:val="22"/>
        </w:rPr>
        <w:t>and</w:t>
      </w:r>
      <w:r w:rsidR="00F43CC0" w:rsidRPr="002C7EFE">
        <w:rPr>
          <w:sz w:val="22"/>
          <w:szCs w:val="22"/>
        </w:rPr>
        <w:t xml:space="preserve"> terminal growt</w:t>
      </w:r>
      <w:r w:rsidR="00494D12" w:rsidRPr="002C7EFE">
        <w:rPr>
          <w:sz w:val="22"/>
          <w:szCs w:val="22"/>
        </w:rPr>
        <w:t>h</w:t>
      </w:r>
    </w:p>
    <w:p w14:paraId="4E6DC4F0" w14:textId="4F02B4E0" w:rsidR="007C4547" w:rsidRPr="002C7EFE" w:rsidRDefault="007C4547" w:rsidP="00330A8C">
      <w:pPr>
        <w:pStyle w:val="NoSpacing"/>
        <w:numPr>
          <w:ilvl w:val="0"/>
          <w:numId w:val="1"/>
        </w:numPr>
        <w:rPr>
          <w:sz w:val="22"/>
          <w:szCs w:val="22"/>
        </w:rPr>
      </w:pPr>
      <w:r>
        <w:rPr>
          <w:sz w:val="22"/>
          <w:szCs w:val="22"/>
        </w:rPr>
        <w:t>Investigate mix to higher growth categories – cleaning, hygiene, healthcare</w:t>
      </w:r>
    </w:p>
    <w:p w14:paraId="6A75D597" w14:textId="77777777" w:rsidR="00655D84" w:rsidRPr="002C7EFE" w:rsidRDefault="00655D84" w:rsidP="00A265E8">
      <w:pPr>
        <w:pStyle w:val="NoSpacing"/>
        <w:rPr>
          <w:sz w:val="22"/>
          <w:szCs w:val="22"/>
        </w:rPr>
      </w:pPr>
    </w:p>
    <w:p w14:paraId="38BA197E" w14:textId="77777777" w:rsidR="003E6C70" w:rsidRPr="002C7EFE" w:rsidRDefault="003E6C70" w:rsidP="00A265E8">
      <w:pPr>
        <w:pStyle w:val="NoSpacing"/>
        <w:rPr>
          <w:sz w:val="22"/>
          <w:szCs w:val="22"/>
        </w:rPr>
      </w:pPr>
    </w:p>
    <w:p w14:paraId="2CA15DBA" w14:textId="2318FC07" w:rsidR="004773C9" w:rsidRPr="002C7EFE" w:rsidRDefault="004773C9" w:rsidP="00A265E8">
      <w:pPr>
        <w:pStyle w:val="NoSpacing"/>
        <w:rPr>
          <w:b/>
          <w:bCs/>
          <w:sz w:val="22"/>
          <w:szCs w:val="22"/>
        </w:rPr>
      </w:pPr>
      <w:r w:rsidRPr="002C7EFE">
        <w:rPr>
          <w:b/>
          <w:bCs/>
          <w:sz w:val="22"/>
          <w:szCs w:val="22"/>
        </w:rPr>
        <w:t>Questions for management</w:t>
      </w:r>
    </w:p>
    <w:p w14:paraId="695B74CE" w14:textId="77777777" w:rsidR="004773C9" w:rsidRPr="002C7EFE" w:rsidRDefault="004773C9" w:rsidP="00A265E8">
      <w:pPr>
        <w:pStyle w:val="NoSpacing"/>
        <w:rPr>
          <w:sz w:val="22"/>
          <w:szCs w:val="22"/>
        </w:rPr>
      </w:pPr>
    </w:p>
    <w:p w14:paraId="41BEFF87" w14:textId="44BCF82F" w:rsidR="004773C9" w:rsidRPr="002C7EFE" w:rsidRDefault="00686B71" w:rsidP="00A265E8">
      <w:pPr>
        <w:pStyle w:val="NoSpacing"/>
        <w:rPr>
          <w:sz w:val="22"/>
          <w:szCs w:val="22"/>
        </w:rPr>
      </w:pPr>
      <w:r w:rsidRPr="002C7EFE">
        <w:rPr>
          <w:sz w:val="22"/>
          <w:szCs w:val="22"/>
        </w:rPr>
        <w:t xml:space="preserve">1) </w:t>
      </w:r>
      <w:r w:rsidR="006C7750" w:rsidRPr="002C7EFE">
        <w:rPr>
          <w:sz w:val="22"/>
          <w:szCs w:val="22"/>
        </w:rPr>
        <w:t xml:space="preserve">Pricing and margins. What level of commodity or supplier-price deflation did you assume in the FY26 margin guidance issued with the H1 results? </w:t>
      </w:r>
      <w:r w:rsidRPr="002C7EFE">
        <w:rPr>
          <w:sz w:val="22"/>
          <w:szCs w:val="22"/>
        </w:rPr>
        <w:t xml:space="preserve">What </w:t>
      </w:r>
      <w:r w:rsidR="006C7750" w:rsidRPr="002C7EFE">
        <w:rPr>
          <w:sz w:val="22"/>
          <w:szCs w:val="22"/>
        </w:rPr>
        <w:t>determines whether selling-price increases run ahead of or behind COGS inflation</w:t>
      </w:r>
      <w:r w:rsidR="00760815" w:rsidRPr="002C7EFE">
        <w:rPr>
          <w:sz w:val="22"/>
          <w:szCs w:val="22"/>
        </w:rPr>
        <w:t>, aside from inventory lag</w:t>
      </w:r>
      <w:r w:rsidR="006C7750" w:rsidRPr="002C7EFE">
        <w:rPr>
          <w:sz w:val="22"/>
          <w:szCs w:val="22"/>
        </w:rPr>
        <w:t>?</w:t>
      </w:r>
    </w:p>
    <w:p w14:paraId="7C79D469" w14:textId="77777777" w:rsidR="004773C9" w:rsidRPr="002C7EFE" w:rsidRDefault="004773C9" w:rsidP="00A265E8">
      <w:pPr>
        <w:pStyle w:val="NoSpacing"/>
        <w:rPr>
          <w:sz w:val="22"/>
          <w:szCs w:val="22"/>
        </w:rPr>
      </w:pPr>
    </w:p>
    <w:p w14:paraId="653CC85F" w14:textId="768C2020" w:rsidR="004773C9" w:rsidRPr="002C7EFE" w:rsidRDefault="000D0BF0" w:rsidP="00A265E8">
      <w:pPr>
        <w:pStyle w:val="NoSpacing"/>
        <w:rPr>
          <w:sz w:val="22"/>
          <w:szCs w:val="22"/>
        </w:rPr>
      </w:pPr>
      <w:r w:rsidRPr="002C7EFE">
        <w:rPr>
          <w:sz w:val="22"/>
          <w:szCs w:val="22"/>
        </w:rPr>
        <w:t xml:space="preserve">2) </w:t>
      </w:r>
      <w:r w:rsidR="006C7750" w:rsidRPr="002C7EFE">
        <w:rPr>
          <w:sz w:val="22"/>
          <w:szCs w:val="22"/>
        </w:rPr>
        <w:t xml:space="preserve">Commodity cost timing. How long does a </w:t>
      </w:r>
      <w:r w:rsidRPr="002C7EFE">
        <w:rPr>
          <w:sz w:val="22"/>
          <w:szCs w:val="22"/>
        </w:rPr>
        <w:t xml:space="preserve">spot </w:t>
      </w:r>
      <w:r w:rsidR="006C7750" w:rsidRPr="002C7EFE">
        <w:rPr>
          <w:sz w:val="22"/>
          <w:szCs w:val="22"/>
        </w:rPr>
        <w:t>commodity-price move typically take to affect the prices you pay suppliers and then your reported COGS? How do suppliers’ hedging and inventory positions interact with your own purchasing arrangements and inventory holding periods, and how does this differ by product or region?</w:t>
      </w:r>
    </w:p>
    <w:p w14:paraId="0F14A32C" w14:textId="77777777" w:rsidR="004773C9" w:rsidRPr="002C7EFE" w:rsidRDefault="004773C9" w:rsidP="00A265E8">
      <w:pPr>
        <w:pStyle w:val="NoSpacing"/>
        <w:rPr>
          <w:sz w:val="22"/>
          <w:szCs w:val="22"/>
        </w:rPr>
      </w:pPr>
    </w:p>
    <w:p w14:paraId="7D15EE53" w14:textId="2E5C0D8C" w:rsidR="004773C9" w:rsidRPr="002C7EFE" w:rsidRDefault="000D0BF0" w:rsidP="00A265E8">
      <w:pPr>
        <w:pStyle w:val="NoSpacing"/>
        <w:rPr>
          <w:sz w:val="22"/>
          <w:szCs w:val="22"/>
        </w:rPr>
      </w:pPr>
      <w:r w:rsidRPr="002C7EFE">
        <w:rPr>
          <w:sz w:val="22"/>
          <w:szCs w:val="22"/>
        </w:rPr>
        <w:t xml:space="preserve">3) </w:t>
      </w:r>
      <w:r w:rsidR="006C7750" w:rsidRPr="002C7EFE">
        <w:rPr>
          <w:sz w:val="22"/>
          <w:szCs w:val="22"/>
        </w:rPr>
        <w:t xml:space="preserve">M&amp;A versus buybacks. What return hurdles and financial measures do you use to benchmark acquisitions, and how do you judge whether a deal offers a better return than buying back </w:t>
      </w:r>
      <w:r w:rsidRPr="002C7EFE">
        <w:rPr>
          <w:sz w:val="22"/>
          <w:szCs w:val="22"/>
        </w:rPr>
        <w:t>shares</w:t>
      </w:r>
      <w:r w:rsidR="006C7750" w:rsidRPr="002C7EFE">
        <w:rPr>
          <w:sz w:val="22"/>
          <w:szCs w:val="22"/>
        </w:rPr>
        <w:t>?</w:t>
      </w:r>
    </w:p>
    <w:p w14:paraId="2F9608E2" w14:textId="77777777" w:rsidR="004773C9" w:rsidRDefault="004773C9" w:rsidP="00A265E8">
      <w:pPr>
        <w:pStyle w:val="NoSpacing"/>
      </w:pPr>
    </w:p>
    <w:p w14:paraId="012D6791" w14:textId="77777777" w:rsidR="004773C9" w:rsidRDefault="004773C9" w:rsidP="00A265E8">
      <w:pPr>
        <w:pStyle w:val="NoSpacing"/>
      </w:pPr>
    </w:p>
    <w:p w14:paraId="26B84168" w14:textId="77777777" w:rsidR="004773C9" w:rsidRPr="00A265E8" w:rsidRDefault="004773C9" w:rsidP="00A265E8">
      <w:pPr>
        <w:pStyle w:val="NoSpacing"/>
      </w:pPr>
    </w:p>
    <w:sectPr w:rsidR="004773C9" w:rsidRPr="00A265E8" w:rsidSect="002C7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21CD5"/>
    <w:multiLevelType w:val="hybridMultilevel"/>
    <w:tmpl w:val="4594CB72"/>
    <w:lvl w:ilvl="0" w:tplc="D9E0298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116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E8"/>
    <w:rsid w:val="000203BB"/>
    <w:rsid w:val="00030803"/>
    <w:rsid w:val="00041019"/>
    <w:rsid w:val="0005716A"/>
    <w:rsid w:val="000846C9"/>
    <w:rsid w:val="00090A45"/>
    <w:rsid w:val="000945D5"/>
    <w:rsid w:val="000950C9"/>
    <w:rsid w:val="000D0BF0"/>
    <w:rsid w:val="000F5B7D"/>
    <w:rsid w:val="00106D7B"/>
    <w:rsid w:val="0014014E"/>
    <w:rsid w:val="00166516"/>
    <w:rsid w:val="0018658A"/>
    <w:rsid w:val="00217901"/>
    <w:rsid w:val="00240C94"/>
    <w:rsid w:val="00246EBF"/>
    <w:rsid w:val="00246FAE"/>
    <w:rsid w:val="002479F8"/>
    <w:rsid w:val="002646B6"/>
    <w:rsid w:val="002A547B"/>
    <w:rsid w:val="002C7EFE"/>
    <w:rsid w:val="00330A8C"/>
    <w:rsid w:val="003359B1"/>
    <w:rsid w:val="00341013"/>
    <w:rsid w:val="00366395"/>
    <w:rsid w:val="0037632D"/>
    <w:rsid w:val="00381A30"/>
    <w:rsid w:val="003938AE"/>
    <w:rsid w:val="003A1538"/>
    <w:rsid w:val="003E6C70"/>
    <w:rsid w:val="003F0FB9"/>
    <w:rsid w:val="003F4485"/>
    <w:rsid w:val="00416640"/>
    <w:rsid w:val="004272C8"/>
    <w:rsid w:val="004773C9"/>
    <w:rsid w:val="00494D12"/>
    <w:rsid w:val="004F26BE"/>
    <w:rsid w:val="00524EF4"/>
    <w:rsid w:val="005427AC"/>
    <w:rsid w:val="0056103A"/>
    <w:rsid w:val="00591860"/>
    <w:rsid w:val="005E7285"/>
    <w:rsid w:val="00655D84"/>
    <w:rsid w:val="00686B71"/>
    <w:rsid w:val="006C7750"/>
    <w:rsid w:val="006D4252"/>
    <w:rsid w:val="00707327"/>
    <w:rsid w:val="007426B2"/>
    <w:rsid w:val="00760815"/>
    <w:rsid w:val="00780D59"/>
    <w:rsid w:val="007830A7"/>
    <w:rsid w:val="007A28E1"/>
    <w:rsid w:val="007A42B6"/>
    <w:rsid w:val="007C4547"/>
    <w:rsid w:val="007E4EF5"/>
    <w:rsid w:val="00807A82"/>
    <w:rsid w:val="00820F7A"/>
    <w:rsid w:val="00831D4E"/>
    <w:rsid w:val="008A260A"/>
    <w:rsid w:val="008A34C7"/>
    <w:rsid w:val="008C5B3A"/>
    <w:rsid w:val="008E27EA"/>
    <w:rsid w:val="00935532"/>
    <w:rsid w:val="00945B9C"/>
    <w:rsid w:val="00972AA2"/>
    <w:rsid w:val="009A2057"/>
    <w:rsid w:val="009A395C"/>
    <w:rsid w:val="009C0BCC"/>
    <w:rsid w:val="00A265E8"/>
    <w:rsid w:val="00A378D4"/>
    <w:rsid w:val="00AB2805"/>
    <w:rsid w:val="00AC06B6"/>
    <w:rsid w:val="00AF7136"/>
    <w:rsid w:val="00B202C0"/>
    <w:rsid w:val="00B22395"/>
    <w:rsid w:val="00B237FF"/>
    <w:rsid w:val="00B32E4B"/>
    <w:rsid w:val="00B4477A"/>
    <w:rsid w:val="00BA1771"/>
    <w:rsid w:val="00BD4FC2"/>
    <w:rsid w:val="00C17735"/>
    <w:rsid w:val="00C31723"/>
    <w:rsid w:val="00C621EA"/>
    <w:rsid w:val="00C82FB4"/>
    <w:rsid w:val="00C91304"/>
    <w:rsid w:val="00D63D66"/>
    <w:rsid w:val="00DA61FB"/>
    <w:rsid w:val="00DC0C3B"/>
    <w:rsid w:val="00DF6DAC"/>
    <w:rsid w:val="00EB6A41"/>
    <w:rsid w:val="00F00059"/>
    <w:rsid w:val="00F436EC"/>
    <w:rsid w:val="00F43CC0"/>
    <w:rsid w:val="00F83D7E"/>
    <w:rsid w:val="00FC4369"/>
    <w:rsid w:val="00FC6B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675E"/>
  <w15:chartTrackingRefBased/>
  <w15:docId w15:val="{031719C5-8733-4C16-B051-18CD29E2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E8"/>
    <w:rPr>
      <w:rFonts w:eastAsiaTheme="majorEastAsia" w:cstheme="majorBidi"/>
      <w:color w:val="272727" w:themeColor="text1" w:themeTint="D8"/>
    </w:rPr>
  </w:style>
  <w:style w:type="paragraph" w:styleId="Title">
    <w:name w:val="Title"/>
    <w:basedOn w:val="Normal"/>
    <w:next w:val="Normal"/>
    <w:link w:val="TitleChar"/>
    <w:uiPriority w:val="10"/>
    <w:qFormat/>
    <w:rsid w:val="00A26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E8"/>
    <w:pPr>
      <w:spacing w:before="160"/>
      <w:jc w:val="center"/>
    </w:pPr>
    <w:rPr>
      <w:i/>
      <w:iCs/>
      <w:color w:val="404040" w:themeColor="text1" w:themeTint="BF"/>
    </w:rPr>
  </w:style>
  <w:style w:type="character" w:customStyle="1" w:styleId="QuoteChar">
    <w:name w:val="Quote Char"/>
    <w:basedOn w:val="DefaultParagraphFont"/>
    <w:link w:val="Quote"/>
    <w:uiPriority w:val="29"/>
    <w:rsid w:val="00A265E8"/>
    <w:rPr>
      <w:i/>
      <w:iCs/>
      <w:color w:val="404040" w:themeColor="text1" w:themeTint="BF"/>
    </w:rPr>
  </w:style>
  <w:style w:type="paragraph" w:styleId="ListParagraph">
    <w:name w:val="List Paragraph"/>
    <w:basedOn w:val="Normal"/>
    <w:uiPriority w:val="34"/>
    <w:qFormat/>
    <w:rsid w:val="00A265E8"/>
    <w:pPr>
      <w:ind w:left="720"/>
      <w:contextualSpacing/>
    </w:pPr>
  </w:style>
  <w:style w:type="character" w:styleId="IntenseEmphasis">
    <w:name w:val="Intense Emphasis"/>
    <w:basedOn w:val="DefaultParagraphFont"/>
    <w:uiPriority w:val="21"/>
    <w:qFormat/>
    <w:rsid w:val="00A265E8"/>
    <w:rPr>
      <w:i/>
      <w:iCs/>
      <w:color w:val="0F4761" w:themeColor="accent1" w:themeShade="BF"/>
    </w:rPr>
  </w:style>
  <w:style w:type="paragraph" w:styleId="IntenseQuote">
    <w:name w:val="Intense Quote"/>
    <w:basedOn w:val="Normal"/>
    <w:next w:val="Normal"/>
    <w:link w:val="IntenseQuoteChar"/>
    <w:uiPriority w:val="30"/>
    <w:qFormat/>
    <w:rsid w:val="00A26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5E8"/>
    <w:rPr>
      <w:i/>
      <w:iCs/>
      <w:color w:val="0F4761" w:themeColor="accent1" w:themeShade="BF"/>
    </w:rPr>
  </w:style>
  <w:style w:type="character" w:styleId="IntenseReference">
    <w:name w:val="Intense Reference"/>
    <w:basedOn w:val="DefaultParagraphFont"/>
    <w:uiPriority w:val="32"/>
    <w:qFormat/>
    <w:rsid w:val="00A265E8"/>
    <w:rPr>
      <w:b/>
      <w:bCs/>
      <w:smallCaps/>
      <w:color w:val="0F4761" w:themeColor="accent1" w:themeShade="BF"/>
      <w:spacing w:val="5"/>
    </w:rPr>
  </w:style>
  <w:style w:type="paragraph" w:styleId="NoSpacing">
    <w:name w:val="No Spacing"/>
    <w:uiPriority w:val="1"/>
    <w:qFormat/>
    <w:rsid w:val="00A265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B8974-78F0-4FB6-B238-CC88D6CD3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2</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Li</dc:creator>
  <cp:keywords/>
  <dc:description/>
  <cp:lastModifiedBy>Richard Li</cp:lastModifiedBy>
  <cp:revision>83</cp:revision>
  <dcterms:created xsi:type="dcterms:W3CDTF">2026-09-27T16:49:00Z</dcterms:created>
  <dcterms:modified xsi:type="dcterms:W3CDTF">2026-10-04T20:11:00Z</dcterms:modified>
</cp:coreProperties>
</file>