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Bunzl debrief preparation</w:t>
      </w:r>
    </w:p>
    <w:p>
      <w:pPr>
        <w:spacing w:after="240"/>
      </w:pPr>
      <w:r>
        <w:rPr>
          <w:sz w:val="24"/>
        </w:rPr>
        <w:t>Monday 5 October 2026 at 3pm London time</w:t>
      </w:r>
    </w:p>
    <w:p>
      <w:r>
        <w:t>Your submitted recommendation is long Bunzl at a 2,900p target over six months. The strongest defence is a specific earnings forecast: resilient near-term pricing, modest volume growth, controlled operating costs and capital returns. The weakest defence would be to suggest that rising oil mechanically guarantees a margin beat, or that every part of the model is independently established by company disclosure.</w:t>
      </w:r>
    </w:p>
    <w:p>
      <w:r>
        <w:t>Use this pack to practise an answer, its numerical support and the follow-up question. Keep the submitted files fixed. The calculations below use their saved values and formulas; new sensitivities are interview illustrations, not changes to the submission. Company evidence and the distinction between disclosed inputs and analyst estimates are recorded at the end.</w:t>
      </w:r>
    </w:p>
    <w:p>
      <w:pPr>
        <w:pStyle w:val="Heading2"/>
      </w:pPr>
      <w:r>
        <w:t>How to use this pack</w:t>
      </w:r>
    </w:p>
    <w:p>
      <w:r>
        <w:t>Start with the opening answer and numbers in section 1. Spend most preparation time on pricing, volumes and costs in sections 2 to 4. Use sections 5 to 9 for the earnings bridge, pitch, valuation and interview follow-ups. Finish with the rehearsal questions and workbook navigation.</w:t>
      </w:r>
    </w:p>
    <w:p>
      <w:pPr>
        <w:pStyle w:val="Heading2"/>
      </w:pPr>
      <w:r>
        <w:t>Contents</w:t>
      </w:r>
    </w:p>
    <w:p>
      <w:pPr>
        <w:spacing w:after="60"/>
      </w:pPr>
      <w:r>
        <w:rPr>
          <w:sz w:val="21"/>
        </w:rPr>
        <w:t>1 What to know before you enter</w:t>
      </w:r>
    </w:p>
    <w:p>
      <w:pPr>
        <w:spacing w:after="60"/>
      </w:pPr>
      <w:r>
        <w:rPr>
          <w:sz w:val="21"/>
        </w:rPr>
        <w:t>2 Pricing and the commodity model</w:t>
      </w:r>
    </w:p>
    <w:p>
      <w:pPr>
        <w:spacing w:after="60"/>
      </w:pPr>
      <w:r>
        <w:rPr>
          <w:sz w:val="21"/>
        </w:rPr>
        <w:t>3 Volumes and the revenue bridge</w:t>
      </w:r>
    </w:p>
    <w:p>
      <w:pPr>
        <w:spacing w:after="60"/>
      </w:pPr>
      <w:r>
        <w:rPr>
          <w:sz w:val="21"/>
        </w:rPr>
        <w:t>4 Costs and gross margin</w:t>
      </w:r>
    </w:p>
    <w:p>
      <w:pPr>
        <w:spacing w:after="60"/>
      </w:pPr>
      <w:r>
        <w:rPr>
          <w:sz w:val="21"/>
        </w:rPr>
        <w:t>5 The earnings bridge and capital allocation</w:t>
      </w:r>
    </w:p>
    <w:p>
      <w:pPr>
        <w:spacing w:after="60"/>
      </w:pPr>
      <w:r>
        <w:rPr>
          <w:sz w:val="21"/>
        </w:rPr>
        <w:t>6 Defending the pitch paragraph by paragraph</w:t>
      </w:r>
    </w:p>
    <w:p>
      <w:pPr>
        <w:spacing w:after="60"/>
      </w:pPr>
      <w:r>
        <w:rPr>
          <w:sz w:val="21"/>
        </w:rPr>
        <w:t>7 Valuation and the rest of the model</w:t>
      </w:r>
    </w:p>
    <w:p>
      <w:pPr>
        <w:spacing w:after="60"/>
      </w:pPr>
      <w:r>
        <w:rPr>
          <w:sz w:val="21"/>
        </w:rPr>
        <w:t>8 General Bunzl questions</w:t>
      </w:r>
    </w:p>
    <w:p>
      <w:pPr>
        <w:spacing w:after="60"/>
      </w:pPr>
      <w:r>
        <w:rPr>
          <w:sz w:val="21"/>
        </w:rPr>
        <w:t>9 Process questions and management questions</w:t>
      </w:r>
    </w:p>
    <w:p>
      <w:pPr>
        <w:spacing w:after="60"/>
      </w:pPr>
      <w:r>
        <w:rPr>
          <w:sz w:val="21"/>
        </w:rPr>
        <w:t>10 Rehearsal plan and rapid drill</w:t>
      </w:r>
    </w:p>
    <w:p>
      <w:pPr>
        <w:spacing w:after="60"/>
      </w:pPr>
      <w:r>
        <w:rPr>
          <w:sz w:val="21"/>
        </w:rPr>
        <w:t>11 Model navigation and source notes</w:t>
      </w:r>
    </w:p>
    <w:p>
      <w:r>
        <w:br w:type="page"/>
      </w:r>
    </w:p>
    <w:p>
      <w:pPr>
        <w:pStyle w:val="Heading1"/>
      </w:pPr>
      <w:r>
        <w:t>1 What to know before you enter</w:t>
      </w:r>
    </w:p>
    <w:p>
      <w:pPr>
        <w:pStyle w:val="Heading2"/>
      </w:pPr>
      <w:r>
        <w:t>Your opening answer</w:t>
      </w:r>
    </w:p>
    <w:p>
      <w:r>
        <w:t>“I am long Bunzl with a 2,900p target over six months. My main variant is the durability of near-term earnings as selling-price inflation feeds through to gross profit. I model modest volume growth, so this is not dependent on a strong demand recovery. My FY26 adjusted operating profit is £987m, versus £933m consensus. In FY27 the operating-profit advantage narrows to £27m as product costs catch up. Lower finance expense and a smaller share count then also support the EPS difference.</w:t>
      </w:r>
    </w:p>
    <w:p>
      <w:r>
        <w:t>“My submitted adjusted basic EPS estimates are about 199p and 209p, approximately 7% above the consensus in my file. The target implies about 13.9 times FY27 earnings and approximately 10% price upside from the submitted 2,638p share price. The key test is whether realised selling prices and gross-profit pounds hold up without damaging volume. I would reassess if that spread disappoints or cost savings fail to offset operating inflation.”</w:t>
      </w:r>
    </w:p>
    <w:p>
      <w:r>
        <w:t>Do not force the entire opening into one breath. Deliver the recommendation, earnings difference and falsification test in roughly 90 seconds. Use “adjusted EPS” or “adjusted basic EPS” for the pitch numbers. The valuation tab uses diluted EPS, which is slightly lower.</w:t>
      </w:r>
    </w:p>
    <w:p>
      <w:pPr>
        <w:pStyle w:val="Heading2"/>
      </w:pPr>
      <w:r>
        <w:t>The numbers to learn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Metric</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FY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FY 2027</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Revenue £m</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6,341.7</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12,274.8</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12,522.5</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Organic growth</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3.54%</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3.41%</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1.54%</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Group volume growth</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0.98%</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1.48%</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0.92%</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Group selling-price growth</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2.56%</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1.93%</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0.62%</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Adjusted EBIT £m</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546.7</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987.3</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977.8</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Consensus adjusted EBIT £m</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495.0</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932.9</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951.3</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Adjusted EBIT margin in model</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8.62%</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8.04%</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7.81%</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Adjusted basic EPS p</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111.74</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199.23</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208.82</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Consensus adjusted basic EPS p</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99.82</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186.67</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195.65</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Adjusted diluted EPS p</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198.74</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208.28</w:t>
            </w:r>
          </w:p>
        </w:tc>
      </w:tr>
    </w:tbl>
    <w:p>
      <w:pPr>
        <w:spacing w:after="40" w:before="0" w:line="240" w:lineRule="auto"/>
      </w:pPr>
      <w:r>
        <w:rPr>
          <w:sz w:val="6"/>
        </w:rPr>
      </w:r>
    </w:p>
    <w:p>
      <w:r>
        <w:t>Model!AS/AT/BA, rows 340–345, 421–422, 467–468; VS Cons rows 26 and 35. FY26 model margin uses revenue after tariff refunds. On the model’s approximate refund-excluded revenue denominator it is about 8.00%, so the pitch’s rounded 8.0% survives. Do not compare more precise margin differences without aligning denominators.</w:t>
      </w:r>
    </w:p>
    <w:p>
      <w:pPr>
        <w:pStyle w:val="Heading2"/>
      </w:pPr>
      <w:r>
        <w:t>The five questions most likely to matter</w:t>
      </w:r>
    </w:p>
    <w:p>
      <w:pPr>
        <w:ind w:left="317" w:hanging="317"/>
      </w:pPr>
      <w:r>
        <w:t>1. Why does a commodity rise benefit a distributor when it also raises purchasing and delivery costs?</w:t>
      </w:r>
    </w:p>
    <w:p>
      <w:pPr>
        <w:ind w:left="317" w:hanging="317"/>
      </w:pPr>
      <w:r>
        <w:t>2. Why is the commodity response 29%, and why can selling prices respond before recognised COGS?</w:t>
      </w:r>
    </w:p>
    <w:p>
      <w:pPr>
        <w:ind w:left="317" w:hanging="317"/>
      </w:pPr>
      <w:r>
        <w:t>3. Why do operating costs behave as you forecast, particularly flat other operating expenses in FY27?</w:t>
      </w:r>
    </w:p>
    <w:p>
      <w:pPr>
        <w:ind w:left="317" w:hanging="317"/>
      </w:pPr>
      <w:r>
        <w:t>4. How much of your EPS difference comes from operations, financing and buybacks?</w:t>
      </w:r>
    </w:p>
    <w:p>
      <w:pPr>
        <w:ind w:left="317" w:hanging="317"/>
      </w:pPr>
      <w:r>
        <w:t>5. Why pay a higher multiple for earnings whose temporary benefit is already reversing?</w:t>
      </w:r>
    </w:p>
    <w:p>
      <w:r>
        <w:t>Your answer pattern should be: conclusion, mechanism, number, boundary. For example: “I am assuming pricing remains ahead of recognised product costs in H2. The model produces £51.5m of incremental gross-profit pounds from price and product-cost changes, but only about £6.4m is the timing component under an equal-inflation comparison. The rest assumes percentage mark-ups are maintained. That assumption needs to be judged against realised customer pricing.”</w:t>
      </w:r>
    </w:p>
    <w:p>
      <w:pPr>
        <w:pStyle w:val="Heading2"/>
      </w:pPr>
      <w:r>
        <w:t>What you can stand behind and what to qualify</w:t>
      </w:r>
    </w:p>
    <w:p>
      <w:r>
        <w:t>The model separates revenue volume, selling prices, purchased-goods costs, employees, other operating costs and depreciation. Its North America sector weights and customer-win starting point have company support. It explicitly allows the price-cost timing effect to reverse in H1 2027. These are substantive strengths.</w:t>
      </w:r>
    </w:p>
    <w:p>
      <w:r>
        <w:t>The 29% factor, regional product weights, two-month lag, exact end-market growth rates and cost savings are estimates. Explain the evidence and their consequences; do not call them management guidance. The regional EBIT forecast is allocated from a group cost build, so it is not four independently estimated regional income statements.</w:t>
      </w:r>
    </w:p>
    <w:p>
      <w:r>
        <w:t>There are also specific presentation and modelling limitations: the historical acquisition bridge absorbs the tariff effect; some consensus gross-profit definitions do not reconcile; the “cash interest yield” is actually based on total finance income; and selected margin and cash-flow lines use different refund bases. Acknowledge the particular issue and quantify it. Avoid either dismissing everything as immaterial or describing the entire submission as broken.</w:t>
      </w:r>
    </w:p>
    <w:p>
      <w:pPr>
        <w:pStyle w:val="Heading1"/>
      </w:pPr>
      <w:r>
        <w:t>2 Pricing and the commodity model</w:t>
      </w:r>
    </w:p>
    <w:p>
      <w:pPr>
        <w:pStyle w:val="Heading2"/>
      </w:pPr>
      <w:r>
        <w:t>Explain the calculation before defending the forecast</w:t>
      </w:r>
    </w:p>
    <w:p>
      <w:r>
        <w:t>The tracker normalises common US/global commodity benchmarks to a 2019 base and combines them into illustrative regional product baskets. It does not convert them to local procurement currencies; its notes explicitly exclude FX, tariffs, freight and local supplier prices. Pricing assumptions rows 17–20 contain pasted unlagged tracker basket growth. Rows 24–27 multiply those inputs by the common 29% response factor. The resulting growth rates feed regional selling prices in the Model and the North America forecast. Product-cost inflation comes from the same factor applied to a basket delayed by two months. No second inventory lag is added.</w:t>
      </w:r>
    </w:p>
    <w:p>
      <w:r>
        <w:t>This means 29% is the assumed transmission from raw-material proxies to finished-product prices. It is not a claim that Bunzl passes only 29% of supplier increases to customers. Applying the same coefficient to both sides implicitly assumes the same percentage inflation ultimately reaches customers, with a timing difference.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1642"/>
        <w:gridCol w:w="1642"/>
        <w:gridCol w:w="1642"/>
        <w:gridCol w:w="1642"/>
      </w:tblGrid>
      <w:tr>
        <w:trPr>
          <w:cantSplit/>
          <w:tblHeader/>
        </w:trPr>
        <w:tc>
          <w:tcPr>
            <w:tcW w:type="dxa" w:w="3427"/>
            <w:vAlign w:val="center"/>
            <w:tcMar>
              <w:top w:w="78" w:type="dxa"/>
              <w:bottom w:w="78" w:type="dxa"/>
              <w:left w:w="85" w:type="dxa"/>
              <w:right w:w="85" w:type="dxa"/>
            </w:tcMar>
            <w:shd w:fill="EAEAEA"/>
          </w:tcPr>
          <w:p>
            <w:pPr>
              <w:keepNext/>
              <w:spacing w:after="0" w:before="0" w:line="252" w:lineRule="auto"/>
              <w:jc w:val="left"/>
            </w:pPr>
            <w:r>
              <w:rPr>
                <w:b/>
                <w:sz w:val="19"/>
              </w:rPr>
              <w:t>Selling-price growth</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H2</w:t>
              <w:br/>
              <w:t>2026</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H1</w:t>
              <w:br/>
              <w:t>2027</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H2</w:t>
              <w:br/>
              <w:t>2027</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FY28 to</w:t>
              <w:br/>
              <w:t>FY30</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North America</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2.225%</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1.217%</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0.027%</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0.5%</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Continental Europe</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2.642%</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1.355%</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0.040%</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0.5%</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UK and Ireland</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3.049%</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1.231%</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0.047%</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0.5%</w:t>
            </w:r>
          </w:p>
        </w:tc>
      </w:tr>
      <w:tr>
        <w:trPr>
          <w:cantSplit/>
        </w:trPr>
        <w:tc>
          <w:tcPr>
            <w:tcW w:type="dxa" w:w="3427"/>
            <w:vAlign w:val="center"/>
            <w:tcMar>
              <w:top w:w="78" w:type="dxa"/>
              <w:bottom w:w="78" w:type="dxa"/>
              <w:left w:w="85" w:type="dxa"/>
              <w:right w:w="85" w:type="dxa"/>
            </w:tcMar>
          </w:tcPr>
          <w:p>
            <w:pPr>
              <w:keepNext w:val="0"/>
              <w:spacing w:after="0" w:before="0" w:line="252" w:lineRule="auto"/>
              <w:jc w:val="left"/>
            </w:pPr>
            <w:r>
              <w:rPr>
                <w:b w:val="0"/>
                <w:sz w:val="19"/>
              </w:rPr>
              <w:t>Rest of World</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3.332%</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1.212%</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0.021%</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1.0%</w:t>
            </w:r>
          </w:p>
        </w:tc>
      </w:tr>
    </w:tbl>
    <w:p>
      <w:pPr>
        <w:spacing w:after="40" w:before="0" w:line="240" w:lineRule="auto"/>
      </w:pPr>
      <w:r>
        <w:rPr>
          <w:sz w:val="6"/>
        </w:rPr>
      </w:r>
    </w:p>
    <w:p>
      <w:r>
        <w:t>Pricing assumptions!C6:H9. FY28 onwards are explicit normalised hardcodes. The raw tracker inputs for these years are zero; the later selling-price assumptions therefore do not come from the commodity calculation.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Recognised product-cost inflation</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H1 2027</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2027</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North America</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2.043%</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2.280%</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−0.085%</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Continental Europe</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2.468%</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2.451%</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0.003%</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UK and Ireland</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2.963%</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2.388%</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0.019%</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Rest of World</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3.303%</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2.560%</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−0.090%</w:t>
            </w:r>
          </w:p>
        </w:tc>
      </w:tr>
    </w:tbl>
    <w:p>
      <w:pPr>
        <w:spacing w:after="40" w:before="0" w:line="240" w:lineRule="auto"/>
      </w:pPr>
      <w:r>
        <w:rPr>
          <w:sz w:val="6"/>
        </w:rPr>
      </w:r>
    </w:p>
    <w:p>
      <w:r>
        <w:t>Pricing assumptions!C30:E33. The sharp H1 2027 squeeze follows from lower current inflation meeting lagged purchasing inflation. Near-zero growth in H2 does not mean commodity prices return to their old absolute levels.</w:t>
      </w:r>
    </w:p>
    <w:p>
      <w:pPr>
        <w:pStyle w:val="Heading2"/>
      </w:pPr>
      <w:r>
        <w:t>Why would inflation help Bunzl</w:t>
      </w:r>
    </w:p>
    <w:p>
      <w:r>
        <w:t>“There are two mechanisms. If a product costs £70 and sells for £100, gross profit is £30. If both purchasing and selling prices rise 5%, gross profit becomes £31.50 at the same percentage margin. That supports EBIT if Bunzl’s own costs grow more slowly. Separately, if the selling price changes while older £70 stock is still being sold, the initial gross profit can be higher. That extra timing benefit disappears as replacement stock enters COGS.”</w:t>
      </w:r>
    </w:p>
    <w:p>
      <w:r>
        <w:t>If asked about passing through only the absolute cost increase, explain the alternative: a £3.50 cost increase added to the selling price takes revenue to £103.50 and cost to £73.50. Gross-profit pounds remain £30 and the margin falls. Your forecast depends on percentage price transmission, rather than merely recovering cost pounds. Customers, contracts, competition and rebates determine which outcome occurs.</w:t>
      </w:r>
    </w:p>
    <w:p>
      <w:pPr>
        <w:pStyle w:val="Heading2"/>
      </w:pPr>
      <w:r>
        <w:t>How much is really inventory timing</w:t>
      </w:r>
    </w:p>
    <w:p>
      <w:r>
        <w:t>For each region, the isolated calculation is prior-period revenue × selling-price growth, less prior-period purchased-goods cost × recognised cost inflation. Summing the four regions gives the table below.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Price and cost contribution £m</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H1 2027</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2027</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Isolated price less product-cost effect</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51.46</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−24.55</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4.35</w:t>
            </w:r>
          </w:p>
        </w:tc>
      </w:tr>
    </w:tbl>
    <w:p>
      <w:pPr>
        <w:spacing w:after="40" w:before="0" w:line="240" w:lineRule="auto"/>
      </w:pPr>
      <w:r>
        <w:rPr>
          <w:sz w:val="6"/>
        </w:rPr>
      </w:r>
    </w:p>
    <w:p>
      <w:r>
        <w:t>Pricing assumptions!C37:E41. For H2 2026, the £51.46m decomposes into approximately £45.02m from maintaining the percentage gross margin on higher selling prices, plus £6.44m from cost inflation lagging that selling-price increase. The convention is: normal gross-profit contribution = prior gross profit × selling-price inflation; timing = prior purchased-goods cost × the difference between selling-price and cost inflation. This is an analytical decomposition, not an extra model row.</w:t>
      </w:r>
    </w:p>
    <w:p>
      <w:r>
        <w:t>The £51.46m excludes volume, own operating costs, mix, FX and acquisitions. It is not a £51m inventory windfall and it is not a reconciliation to the £54m FY26 consensus EBIT difference. H2 organic own-cost growth absorbs about £32.7m before considering those other effects.</w:t>
      </w:r>
    </w:p>
    <w:p>
      <w:pPr>
        <w:pStyle w:val="Heading2"/>
      </w:pPr>
      <w:r>
        <w:t>Why 29 percent</w:t>
      </w:r>
    </w:p>
    <w:p>
      <w:r>
        <w:t>“I used a common conversion factor because spot commodity moves are much larger than changes in finished-product purchase prices. The model calibrates it to historical group purchased-goods cost behaviour. It captures processing costs, the non-commodity content of products and imperfect transmission. It is a parsimonious estimate, not a directly observed contractual pass-through rate.”</w:t>
      </w:r>
    </w:p>
    <w:p>
      <w:r>
        <w:t>The follow-up is more difficult: the calibration has only four annual observations, and its target is an inferred cost-inflation residual. Volume, mix, acquisitions, FX and rebates can all contaminate it. Correlation squared is not proof that 29% is the correct coefficient or that the relationship holds in each region. The reported correlation R² is about 0.784, while the selected coefficient’s residual-fit R² is approximately 0.719 with about 1.59 percentage points of annual error. Use the calibration as a plausibility check, not statistical validation.</w:t>
      </w:r>
    </w:p>
    <w:p>
      <w:r>
        <w:t>The 2022 observation supplies about 83.5% of the squared explanatory-variable weight in the through-origin fit; it strongly influences the coefficient. The 2024 error is about 3.14 percentage points. The workbook explores 28 specifications, and a longer seven-month lag fits better in sample. Therefore do not call two months the statistically optimal lag or describe four years as out-of-sample validation. Your defence is the inventory mechanism and a deliberately simple scenario, with acknowledged uncertainty around transmission.</w:t>
      </w:r>
    </w:p>
    <w:p>
      <w:r>
        <w:t>If asked why the same factor applies in every region: “Product procurement data are not granular enough to estimate stable separate coefficients. Regional differences in the tracker enter through product weights. A common coefficient limits the number of unsupported parameters, although it cannot capture every difference in product mix, local sourcing or bargaining power.” Model FX separately translates regional results into sterling; it does not fix the tracker's missing local procurement-currency effects.</w:t>
      </w:r>
    </w:p>
    <w:p>
      <w:pPr>
        <w:pStyle w:val="Heading2"/>
      </w:pPr>
      <w:r>
        <w:t>Why two months when inventories are around 70 days</w:t>
      </w:r>
    </w:p>
    <w:p>
      <w:r>
        <w:t>“Two months is a coarse monthly approximation to the inventory holding period. Under FIFO, older stock can be recognised in COGS after selling prices have changed. I would not equate 70 inventory days with a proven 70-day pricing advantage. Supplier stocks, manufacturing lead times, hedging and customer repricing schedules also matter.”</w:t>
      </w:r>
    </w:p>
    <w:p>
      <w:r>
        <w:t>The weak point is the model’s effectively immediate response on the selling side. A lagged cost basket with an unlagged selling basket is a scenario about relative timing. It does not establish the full transmission from oil to polymer to finished product to supplier invoice to customer price. A PM is likely to ask why a supplier could not reprice earlier than Bunzl. The answer is that this can happen; the positive spread is conditional, and the model already shows a reversal.</w:t>
      </w:r>
    </w:p>
    <w:p>
      <w:pPr>
        <w:pStyle w:val="Heading2"/>
      </w:pPr>
      <w:r>
        <w:t>How much pricing disappointment can the model absorb</w:t>
      </w:r>
    </w:p>
    <w:p>
      <w:r>
        <w:t>Holding the H2 cost forecast and other assumptions fixed, the model’s selling-price uplift is £155.76m and its product-cost uplift is £104.30m.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H2 selling-price realisation</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Approximate group pricing</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Isolated price less cost £m</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EBIT change versus submission £m</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100% of model</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2.56%</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51.46</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0.00</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90% of model</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2.30%</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35.88</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−15.58</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75% of model</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1.92%</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12.52</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−38.94</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About 67% of model</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1.71%</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0.00</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−51.46</w:t>
            </w:r>
          </w:p>
        </w:tc>
      </w:tr>
    </w:tbl>
    <w:p>
      <w:pPr>
        <w:spacing w:after="40" w:before="0" w:line="240" w:lineRule="auto"/>
      </w:pPr>
      <w:r>
        <w:rPr>
          <w:sz w:val="6"/>
        </w:rPr>
      </w:r>
    </w:p>
    <w:p>
      <w:r>
        <w:t>These are static sensitivities, not full-model scenario runs. They do not assume suppliers also reduce prices or that volume, costs, working capital and finance respond. At 75% realisation, approximate FY26 basic EPS falls by about 9.0p to 190.2p, versus 186.7p basic consensus. The corresponding diluted EPS is 189.7p. Treat this as evidence that pricing is material, rather than as a precise probability forecast.</w:t>
      </w:r>
    </w:p>
    <w:p>
      <w:pPr>
        <w:pStyle w:val="Heading2"/>
      </w:pPr>
      <w:r>
        <w:t>Does the evidence actually show plastics rising</w:t>
      </w:r>
    </w:p>
    <w:p>
      <w:r>
        <w:t>Your pitch’s strongest formulation is “renewed cost pressure and selective plastics firmness.” “Polyethylene and polypropylene prices have firmed through September” is too broad. The primary Plastribution September report describes LDPE increases but broadly flat LLDPE, HDPE and polypropylene, alongside weak demand and ample supply. This evidence predates submission. The tracker’s US resin PPI also falls from July to August even while its year-on-year signal can remain positive. Do not confuse a high price level, positive year-on-year inflation and a fresh sequential increase.</w:t>
      </w:r>
    </w:p>
    <w:p>
      <w:r>
        <w:t>A sensible spoken correction is: “The strength was selective. Brent was my leading cost signal, but broad polymer pass-through was not yet established. My earnings forecast therefore relies on transmission into Bunzl’s realised prices, which is the key evidence I would test at the trading update.” This narrows the factual claim without pretending the assumption is already proven.</w:t>
      </w:r>
    </w:p>
    <w:p>
      <w:pPr>
        <w:pStyle w:val="Heading2"/>
      </w:pPr>
      <w:r>
        <w:t>Why not model customer competition explicitly</w:t>
      </w:r>
    </w:p>
    <w:p>
      <w:r>
        <w:t>“Competition affects realised pricing, mix and retention. The submitted model represents it through the achieved regional price and volume outcomes, but it does not have an independently estimated competitive pass-through haircut. That is the central forecast risk. I would judge it through realised price growth, gross-profit pounds and customer volumes together.”</w:t>
      </w:r>
    </w:p>
    <w:p>
      <w:r>
        <w:t>Do not say a common 29% coefficient is itself an explicit competitive haircut: it is used on both supplier and selling prices. Likewise, stronger commodity prices can raise outbound fuel costs and working-capital needs. Neither should be omitted from the economic discussion just because the commodity tracker primarily addresses purchased goods.</w:t>
      </w:r>
    </w:p>
    <w:p>
      <w:pPr>
        <w:pStyle w:val="Heading2"/>
      </w:pPr>
      <w:r>
        <w:t>The tracker assumptions to know line by 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01"/>
        <w:gridCol w:w="3557"/>
        <w:gridCol w:w="4536"/>
      </w:tblGrid>
      <w:tr>
        <w:trPr>
          <w:cantSplit/>
          <w:tblHeader/>
        </w:trPr>
        <w:tc>
          <w:tcPr>
            <w:tcW w:type="dxa" w:w="1901"/>
            <w:vAlign w:val="center"/>
            <w:tcMar>
              <w:top w:w="78" w:type="dxa"/>
              <w:bottom w:w="78" w:type="dxa"/>
              <w:left w:w="85" w:type="dxa"/>
              <w:right w:w="85" w:type="dxa"/>
            </w:tcMar>
            <w:shd w:fill="EAEAEA"/>
          </w:tcPr>
          <w:p>
            <w:pPr>
              <w:keepNext/>
              <w:spacing w:after="0" w:before="0" w:line="252" w:lineRule="auto"/>
              <w:jc w:val="left"/>
            </w:pPr>
            <w:r>
              <w:rPr>
                <w:b/>
                <w:sz w:val="20"/>
              </w:rPr>
              <w:t>Tracker component</w:t>
            </w:r>
          </w:p>
        </w:tc>
        <w:tc>
          <w:tcPr>
            <w:tcW w:type="dxa" w:w="3557"/>
            <w:vAlign w:val="center"/>
            <w:tcMar>
              <w:top w:w="78" w:type="dxa"/>
              <w:bottom w:w="78" w:type="dxa"/>
              <w:left w:w="85" w:type="dxa"/>
              <w:right w:w="85" w:type="dxa"/>
            </w:tcMar>
            <w:shd w:fill="EAEAEA"/>
          </w:tcPr>
          <w:p>
            <w:pPr>
              <w:keepNext/>
              <w:spacing w:after="0" w:before="0" w:line="252" w:lineRule="auto"/>
              <w:jc w:val="left"/>
            </w:pPr>
            <w:r>
              <w:rPr>
                <w:b/>
                <w:sz w:val="20"/>
              </w:rPr>
              <w:t>What you actually used</w:t>
            </w:r>
          </w:p>
        </w:tc>
        <w:tc>
          <w:tcPr>
            <w:tcW w:type="dxa" w:w="4536"/>
            <w:vAlign w:val="center"/>
            <w:tcMar>
              <w:top w:w="78" w:type="dxa"/>
              <w:bottom w:w="78" w:type="dxa"/>
              <w:left w:w="85" w:type="dxa"/>
              <w:right w:w="85" w:type="dxa"/>
            </w:tcMar>
            <w:shd w:fill="EAEAEA"/>
          </w:tcPr>
          <w:p>
            <w:pPr>
              <w:keepNext/>
              <w:spacing w:after="0" w:before="0" w:line="252" w:lineRule="auto"/>
              <w:jc w:val="left"/>
            </w:pPr>
            <w:r>
              <w:rPr>
                <w:b/>
                <w:sz w:val="20"/>
              </w:rPr>
              <w:t>How to explain it</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Prices A8 W99</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Monthly observations Jan 2019 to Aug 2026</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A dated dataset, not a live feed; no September actuals in the engine</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Indices row 5</w:t>
            </w:r>
          </w:p>
        </w:tc>
        <w:tc>
          <w:tcPr>
            <w:tcW w:type="dxa" w:w="3557"/>
            <w:vAlign w:val="center"/>
            <w:tcMar>
              <w:top w:w="78" w:type="dxa"/>
              <w:bottom w:w="78" w:type="dxa"/>
              <w:left w:w="85" w:type="dxa"/>
              <w:right w:w="85" w:type="dxa"/>
            </w:tcMar>
          </w:tcPr>
          <w:p>
            <w:pPr>
              <w:keepNext w:val="0"/>
              <w:spacing w:after="0" w:before="0" w:line="252" w:lineRule="auto"/>
              <w:jc w:val="center"/>
            </w:pPr>
            <w:r>
              <w:rPr>
                <w:b w:val="0"/>
                <w:sz w:val="20"/>
              </w:rPr>
              <w:t>2019 average equals 100</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Normalises units before combining different proxies</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Paper blend</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Half pulp and half paperboard</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Proxy for product input pressure, not a disclosed purchase recipe</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Plastics</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Broad resin index</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Cannot establish movements in every polymer or finished product</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Rubber</w:t>
            </w:r>
          </w:p>
        </w:tc>
        <w:tc>
          <w:tcPr>
            <w:tcW w:type="dxa" w:w="3557"/>
            <w:vAlign w:val="center"/>
            <w:tcMar>
              <w:top w:w="78" w:type="dxa"/>
              <w:bottom w:w="78" w:type="dxa"/>
              <w:left w:w="85" w:type="dxa"/>
              <w:right w:w="85" w:type="dxa"/>
            </w:tcMar>
          </w:tcPr>
          <w:p>
            <w:pPr>
              <w:keepNext w:val="0"/>
              <w:spacing w:after="0" w:before="0" w:line="252" w:lineRule="auto"/>
              <w:jc w:val="center"/>
            </w:pPr>
            <w:r>
              <w:rPr>
                <w:b w:val="0"/>
                <w:sz w:val="20"/>
              </w:rPr>
              <w:t>75% synthetic and 25% natural</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Broad proxy; not a dedicated nitrile glove cost series</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Textiles</w:t>
            </w:r>
          </w:p>
        </w:tc>
        <w:tc>
          <w:tcPr>
            <w:tcW w:type="dxa" w:w="3557"/>
            <w:vAlign w:val="center"/>
            <w:tcMar>
              <w:top w:w="78" w:type="dxa"/>
              <w:bottom w:w="78" w:type="dxa"/>
              <w:left w:w="85" w:type="dxa"/>
              <w:right w:w="85" w:type="dxa"/>
            </w:tcMar>
          </w:tcPr>
          <w:p>
            <w:pPr>
              <w:keepNext w:val="0"/>
              <w:spacing w:after="0" w:before="0" w:line="252" w:lineRule="auto"/>
              <w:jc w:val="center"/>
            </w:pPr>
            <w:r>
              <w:rPr>
                <w:b w:val="0"/>
                <w:sz w:val="20"/>
              </w:rPr>
              <w:t>75% synthetic fibres and 25% cotton</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Estimated composition</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Equipment</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Steel 50%, aluminium 25%, glass and ceramics 12.5% each</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Particularly approximate for finished catering equipment</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Other mixed</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Flat index of 100</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An unmodelled 5% residual, not proof of zero inflation</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Regional weights</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Estimated category exposure</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Product mix judgement, not company procurement disclosure</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Group weights</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FY25 regional revenue shares</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Revenue is a proxy for purchase exposure</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Forecast path</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August price levels held flat to 2030</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Isolates carryover; positive near-term year-on-year growth can coexist with flat monthly levels</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Lagged tracker</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Two-month shift of index levels</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Average levels are compared with prior-year average levels</w:t>
            </w:r>
          </w:p>
        </w:tc>
      </w:tr>
      <w:tr>
        <w:trPr>
          <w:cantSplit/>
        </w:trPr>
        <w:tc>
          <w:tcPr>
            <w:tcW w:type="dxa" w:w="1901"/>
            <w:vAlign w:val="center"/>
            <w:tcMar>
              <w:top w:w="78" w:type="dxa"/>
              <w:bottom w:w="78" w:type="dxa"/>
              <w:left w:w="85" w:type="dxa"/>
              <w:right w:w="85" w:type="dxa"/>
            </w:tcMar>
          </w:tcPr>
          <w:p>
            <w:pPr>
              <w:keepNext w:val="0"/>
              <w:spacing w:after="0" w:before="0" w:line="252" w:lineRule="auto"/>
              <w:jc w:val="left"/>
            </w:pPr>
            <w:r>
              <w:rPr>
                <w:b w:val="0"/>
                <w:sz w:val="20"/>
              </w:rPr>
              <w:t>Supplier lag sheet</w:t>
            </w:r>
          </w:p>
        </w:tc>
        <w:tc>
          <w:tcPr>
            <w:tcW w:type="dxa" w:w="3557"/>
            <w:vAlign w:val="center"/>
            <w:tcMar>
              <w:top w:w="78" w:type="dxa"/>
              <w:bottom w:w="78" w:type="dxa"/>
              <w:left w:w="85" w:type="dxa"/>
              <w:right w:w="85" w:type="dxa"/>
            </w:tcMar>
          </w:tcPr>
          <w:p>
            <w:pPr>
              <w:keepNext w:val="0"/>
              <w:spacing w:after="0" w:before="0" w:line="252" w:lineRule="auto"/>
              <w:jc w:val="left"/>
            </w:pPr>
            <w:r>
              <w:rPr>
                <w:b w:val="0"/>
                <w:sz w:val="20"/>
              </w:rPr>
              <w:t>Alternative timing sensitivity</w:t>
            </w:r>
          </w:p>
        </w:tc>
        <w:tc>
          <w:tcPr>
            <w:tcW w:type="dxa" w:w="4536"/>
            <w:vAlign w:val="center"/>
            <w:tcMar>
              <w:top w:w="78" w:type="dxa"/>
              <w:bottom w:w="78" w:type="dxa"/>
              <w:left w:w="85" w:type="dxa"/>
              <w:right w:w="85" w:type="dxa"/>
            </w:tcMar>
          </w:tcPr>
          <w:p>
            <w:pPr>
              <w:keepNext w:val="0"/>
              <w:spacing w:after="0" w:before="0" w:line="252" w:lineRule="auto"/>
              <w:jc w:val="left"/>
            </w:pPr>
            <w:r>
              <w:rPr>
                <w:b w:val="0"/>
                <w:sz w:val="20"/>
              </w:rPr>
              <w:t>Not the selected model forecast</w:t>
            </w:r>
          </w:p>
        </w:tc>
      </w:tr>
    </w:tbl>
    <w:p>
      <w:pPr>
        <w:spacing w:after="40" w:before="0" w:line="240" w:lineRule="auto"/>
      </w:pPr>
      <w:r>
        <w:rPr>
          <w:sz w:val="6"/>
        </w:rPr>
      </w:r>
    </w:p>
    <w:p>
      <w:r>
        <w:t>In the table, ranges written as “A8 W99” mean the rectangular range A8:W99. Actual handoffs match: tracker Model outputs &amp; lag tests!C6:H10 feeds pasted values in model Cost assumptions!C82:H86. An old tracker note points to a different destination; the submitted numbers themselves agree. Pricing inputs are also pasted, so editing the tracker alone would not refresh the submitted model.</w:t>
      </w:r>
    </w:p>
    <w:p>
      <w:r>
        <w:t>The assumed group category mix comes to about 30.3% paper and 23.0% plastics, whereas the company’s broad reference is roughly 25% and 30%. Do not say the basket exactly reproduces disclosed purchase weights. That mismatch can alter the magnitude of the signal and is one reason to emphasise scenario sensitivity over precise regional decimals.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1088"/>
        <w:gridCol w:w="1088"/>
        <w:gridCol w:w="1088"/>
        <w:gridCol w:w="1088"/>
        <w:gridCol w:w="1088"/>
        <w:gridCol w:w="1088"/>
        <w:gridCol w:w="1088"/>
      </w:tblGrid>
      <w:tr>
        <w:trPr>
          <w:cantSplit/>
          <w:tblHeader/>
        </w:trPr>
        <w:tc>
          <w:tcPr>
            <w:tcW w:type="dxa" w:w="2376"/>
            <w:vAlign w:val="center"/>
            <w:tcMar>
              <w:top w:w="78" w:type="dxa"/>
              <w:bottom w:w="78" w:type="dxa"/>
              <w:left w:w="85" w:type="dxa"/>
              <w:right w:w="85" w:type="dxa"/>
            </w:tcMar>
            <w:shd w:fill="EAEAEA"/>
          </w:tcPr>
          <w:p>
            <w:pPr>
              <w:keepNext/>
              <w:spacing w:after="0" w:before="0" w:line="252" w:lineRule="auto"/>
              <w:jc w:val="left"/>
            </w:pPr>
            <w:r>
              <w:rPr>
                <w:b/>
                <w:sz w:val="18"/>
              </w:rPr>
              <w:t>Regional purchase-basket estimate</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Paper</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Plastic</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Rubber</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Textile</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Chemical</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Equip.</w:t>
            </w:r>
          </w:p>
        </w:tc>
        <w:tc>
          <w:tcPr>
            <w:tcW w:type="dxa" w:w="1088"/>
            <w:vAlign w:val="center"/>
            <w:tcMar>
              <w:top w:w="78" w:type="dxa"/>
              <w:bottom w:w="78" w:type="dxa"/>
              <w:left w:w="85" w:type="dxa"/>
              <w:right w:w="85" w:type="dxa"/>
            </w:tcMar>
            <w:shd w:fill="EAEAEA"/>
          </w:tcPr>
          <w:p>
            <w:pPr>
              <w:keepNext/>
              <w:spacing w:after="0" w:before="0" w:line="252" w:lineRule="auto"/>
              <w:jc w:val="center"/>
            </w:pPr>
            <w:r>
              <w:rPr>
                <w:b/>
                <w:sz w:val="18"/>
              </w:rPr>
              <w:t>Other</w:t>
            </w:r>
          </w:p>
        </w:tc>
      </w:tr>
      <w:tr>
        <w:trPr>
          <w:cantSplit/>
        </w:trPr>
        <w:tc>
          <w:tcPr>
            <w:tcW w:type="dxa" w:w="2376"/>
            <w:vAlign w:val="center"/>
            <w:tcMar>
              <w:top w:w="78" w:type="dxa"/>
              <w:bottom w:w="78" w:type="dxa"/>
              <w:left w:w="85" w:type="dxa"/>
              <w:right w:w="85" w:type="dxa"/>
            </w:tcMar>
          </w:tcPr>
          <w:p>
            <w:pPr>
              <w:keepNext/>
              <w:spacing w:after="0" w:before="0" w:line="252" w:lineRule="auto"/>
              <w:jc w:val="left"/>
            </w:pPr>
            <w:r>
              <w:rPr>
                <w:b w:val="0"/>
                <w:sz w:val="18"/>
              </w:rPr>
              <w:t>North America</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35%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30%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5%</w:t>
            </w:r>
          </w:p>
        </w:tc>
      </w:tr>
      <w:tr>
        <w:trPr>
          <w:cantSplit/>
        </w:trPr>
        <w:tc>
          <w:tcPr>
            <w:tcW w:type="dxa" w:w="2376"/>
            <w:vAlign w:val="center"/>
            <w:tcMar>
              <w:top w:w="78" w:type="dxa"/>
              <w:bottom w:w="78" w:type="dxa"/>
              <w:left w:w="85" w:type="dxa"/>
              <w:right w:w="85" w:type="dxa"/>
            </w:tcMar>
          </w:tcPr>
          <w:p>
            <w:pPr>
              <w:keepNext/>
              <w:spacing w:after="0" w:before="0" w:line="252" w:lineRule="auto"/>
              <w:jc w:val="left"/>
            </w:pPr>
            <w:r>
              <w:rPr>
                <w:b w:val="0"/>
                <w:sz w:val="18"/>
              </w:rPr>
              <w:t>Continental Europe</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30%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20%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5%</w:t>
            </w:r>
          </w:p>
        </w:tc>
      </w:tr>
      <w:tr>
        <w:trPr>
          <w:cantSplit/>
        </w:trPr>
        <w:tc>
          <w:tcPr>
            <w:tcW w:type="dxa" w:w="2376"/>
            <w:vAlign w:val="center"/>
            <w:tcMar>
              <w:top w:w="78" w:type="dxa"/>
              <w:bottom w:w="78" w:type="dxa"/>
              <w:left w:w="85" w:type="dxa"/>
              <w:right w:w="85" w:type="dxa"/>
            </w:tcMar>
          </w:tcPr>
          <w:p>
            <w:pPr>
              <w:keepNext/>
              <w:spacing w:after="0" w:before="0" w:line="252" w:lineRule="auto"/>
              <w:jc w:val="left"/>
            </w:pPr>
            <w:r>
              <w:rPr>
                <w:b w:val="0"/>
                <w:sz w:val="18"/>
              </w:rPr>
              <w:t>UK and Ireland</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25%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15%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25%</w:t>
            </w:r>
          </w:p>
        </w:tc>
        <w:tc>
          <w:tcPr>
            <w:tcW w:type="dxa" w:w="1088"/>
            <w:vAlign w:val="center"/>
            <w:tcMar>
              <w:top w:w="78" w:type="dxa"/>
              <w:bottom w:w="78" w:type="dxa"/>
              <w:left w:w="85" w:type="dxa"/>
              <w:right w:w="85" w:type="dxa"/>
            </w:tcMar>
          </w:tcPr>
          <w:p>
            <w:pPr>
              <w:keepNext/>
              <w:spacing w:after="0" w:before="0" w:line="252" w:lineRule="auto"/>
              <w:jc w:val="center"/>
            </w:pPr>
            <w:r>
              <w:rPr>
                <w:b w:val="0"/>
                <w:sz w:val="18"/>
              </w:rPr>
              <w:t>5%</w:t>
            </w:r>
          </w:p>
        </w:tc>
      </w:tr>
      <w:tr>
        <w:trPr>
          <w:cantSplit/>
        </w:trPr>
        <w:tc>
          <w:tcPr>
            <w:tcW w:type="dxa" w:w="2376"/>
            <w:vAlign w:val="center"/>
            <w:tcMar>
              <w:top w:w="78" w:type="dxa"/>
              <w:bottom w:w="78" w:type="dxa"/>
              <w:left w:w="85" w:type="dxa"/>
              <w:right w:w="85" w:type="dxa"/>
            </w:tcMar>
          </w:tcPr>
          <w:p>
            <w:pPr>
              <w:keepNext w:val="0"/>
              <w:spacing w:after="0" w:before="0" w:line="252" w:lineRule="auto"/>
              <w:jc w:val="left"/>
            </w:pPr>
            <w:r>
              <w:rPr>
                <w:b w:val="0"/>
                <w:sz w:val="18"/>
              </w:rPr>
              <w:t>Rest of World</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15%</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15%</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20%</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15%</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10%</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20%</w:t>
            </w:r>
          </w:p>
        </w:tc>
        <w:tc>
          <w:tcPr>
            <w:tcW w:type="dxa" w:w="1088"/>
            <w:vAlign w:val="center"/>
            <w:tcMar>
              <w:top w:w="78" w:type="dxa"/>
              <w:bottom w:w="78" w:type="dxa"/>
              <w:left w:w="85" w:type="dxa"/>
              <w:right w:w="85" w:type="dxa"/>
            </w:tcMar>
          </w:tcPr>
          <w:p>
            <w:pPr>
              <w:keepNext w:val="0"/>
              <w:spacing w:after="0" w:before="0" w:line="252" w:lineRule="auto"/>
              <w:jc w:val="center"/>
            </w:pPr>
            <w:r>
              <w:rPr>
                <w:b w:val="0"/>
                <w:sz w:val="18"/>
              </w:rPr>
              <w:t>5%</w:t>
            </w:r>
          </w:p>
        </w:tc>
      </w:tr>
    </w:tbl>
    <w:p>
      <w:pPr>
        <w:spacing w:after="40" w:before="0" w:line="240" w:lineRule="auto"/>
      </w:pPr>
      <w:r>
        <w:rPr>
          <w:sz w:val="6"/>
        </w:rPr>
      </w:r>
    </w:p>
    <w:p>
      <w:r>
        <w:t>The direction reflects estimated product exposure: more paper/plastics in NA, more equipment in the UK, and more rubber/textiles in ROW. The exact weights are not disclosed procurement data. Different material and finished-product definitions might explain part of the company-weight mismatch, but no reconciliation establishes that explanation. Say plainly that it reduces precision. Changing the common 29% coefficient to 20% or 40%, moving both selling and cost rates together, changes the isolated H2 price-cost effect from £51.5m to about £35.5m or £71.0m. That is different from cutting achieved selling prices while leaving supplier costs unchanged.</w:t>
      </w:r>
    </w:p>
    <w:p>
      <w:pPr>
        <w:pStyle w:val="Heading1"/>
      </w:pPr>
      <w:r>
        <w:t>3 Volumes and the revenue bridge</w:t>
      </w:r>
    </w:p>
    <w:p>
      <w:pPr>
        <w:pStyle w:val="Heading2"/>
      </w:pPr>
      <w:r>
        <w:t>Why there is no literal consolidated units times ASP</w:t>
      </w:r>
    </w:p>
    <w:p>
      <w:r>
        <w:t>“Bunzl distributes many different products, and the company does not give a meaningful consolidated unit series. One glove, one box of packaging and one catering appliance cannot be added into a useful unit count. I therefore apply volume and selling-price contributions to the previous revenue base, and apply the volume movement to the purchased-goods cost base. North America has an additional end-market build and customer-win carryover.”</w:t>
      </w:r>
    </w:p>
    <w:p>
      <w:r>
        <w:t>This is a defensible adaptation of units times price to a distributor. It is not a licence to label residual volume as measured physical units. Historical price splits imported from VA Actuals/Analytics are third-party estimates; volume calculated as organic growth less price can contain mix. Explain organic growth as comparable-business revenue growth excluding currency and acquired/disposed businesses, subject to the company’s stated adjustments.</w:t>
      </w:r>
    </w:p>
    <w:p>
      <w:pPr>
        <w:pStyle w:val="Heading2"/>
      </w:pPr>
      <w:r>
        <w:t>Regional volume assumptions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1495"/>
        <w:gridCol w:w="1495"/>
        <w:gridCol w:w="1495"/>
        <w:gridCol w:w="1495"/>
        <w:gridCol w:w="1495"/>
      </w:tblGrid>
      <w:tr>
        <w:trPr>
          <w:cantSplit/>
          <w:tblHeader/>
        </w:trPr>
        <w:tc>
          <w:tcPr>
            <w:tcW w:type="dxa" w:w="2520"/>
            <w:vAlign w:val="center"/>
            <w:tcMar>
              <w:top w:w="78" w:type="dxa"/>
              <w:bottom w:w="78" w:type="dxa"/>
              <w:left w:w="85" w:type="dxa"/>
              <w:right w:w="85" w:type="dxa"/>
            </w:tcMar>
            <w:shd w:fill="EAEAEA"/>
          </w:tcPr>
          <w:p>
            <w:pPr>
              <w:keepNext/>
              <w:spacing w:after="0" w:before="0" w:line="252" w:lineRule="auto"/>
              <w:jc w:val="left"/>
            </w:pPr>
            <w:r>
              <w:rPr>
                <w:b/>
                <w:sz w:val="19"/>
              </w:rPr>
              <w:t>Volume growth</w:t>
            </w:r>
          </w:p>
        </w:tc>
        <w:tc>
          <w:tcPr>
            <w:tcW w:type="dxa" w:w="1495"/>
            <w:vAlign w:val="center"/>
            <w:tcMar>
              <w:top w:w="78" w:type="dxa"/>
              <w:bottom w:w="78" w:type="dxa"/>
              <w:left w:w="85" w:type="dxa"/>
              <w:right w:w="85" w:type="dxa"/>
            </w:tcMar>
            <w:shd w:fill="EAEAEA"/>
          </w:tcPr>
          <w:p>
            <w:pPr>
              <w:keepNext/>
              <w:spacing w:after="0" w:before="0" w:line="252" w:lineRule="auto"/>
              <w:jc w:val="center"/>
            </w:pPr>
            <w:r>
              <w:rPr>
                <w:b/>
                <w:sz w:val="19"/>
              </w:rPr>
              <w:t>H2</w:t>
              <w:br/>
              <w:t>2026</w:t>
            </w:r>
          </w:p>
        </w:tc>
        <w:tc>
          <w:tcPr>
            <w:tcW w:type="dxa" w:w="1495"/>
            <w:vAlign w:val="center"/>
            <w:tcMar>
              <w:top w:w="78" w:type="dxa"/>
              <w:bottom w:w="78" w:type="dxa"/>
              <w:left w:w="85" w:type="dxa"/>
              <w:right w:w="85" w:type="dxa"/>
            </w:tcMar>
            <w:shd w:fill="EAEAEA"/>
          </w:tcPr>
          <w:p>
            <w:pPr>
              <w:keepNext/>
              <w:spacing w:after="0" w:before="0" w:line="252" w:lineRule="auto"/>
              <w:jc w:val="center"/>
            </w:pPr>
            <w:r>
              <w:rPr>
                <w:b/>
                <w:sz w:val="19"/>
              </w:rPr>
              <w:t>H1</w:t>
              <w:br/>
              <w:t>2027</w:t>
            </w:r>
          </w:p>
        </w:tc>
        <w:tc>
          <w:tcPr>
            <w:tcW w:type="dxa" w:w="1495"/>
            <w:vAlign w:val="center"/>
            <w:tcMar>
              <w:top w:w="78" w:type="dxa"/>
              <w:bottom w:w="78" w:type="dxa"/>
              <w:left w:w="85" w:type="dxa"/>
              <w:right w:w="85" w:type="dxa"/>
            </w:tcMar>
            <w:shd w:fill="EAEAEA"/>
          </w:tcPr>
          <w:p>
            <w:pPr>
              <w:keepNext/>
              <w:spacing w:after="0" w:before="0" w:line="252" w:lineRule="auto"/>
              <w:jc w:val="center"/>
            </w:pPr>
            <w:r>
              <w:rPr>
                <w:b/>
                <w:sz w:val="19"/>
              </w:rPr>
              <w:t>H2</w:t>
              <w:br/>
              <w:t>2027</w:t>
            </w:r>
          </w:p>
        </w:tc>
        <w:tc>
          <w:tcPr>
            <w:tcW w:type="dxa" w:w="1495"/>
            <w:vAlign w:val="center"/>
            <w:tcMar>
              <w:top w:w="78" w:type="dxa"/>
              <w:bottom w:w="78" w:type="dxa"/>
              <w:left w:w="85" w:type="dxa"/>
              <w:right w:w="85" w:type="dxa"/>
            </w:tcMar>
            <w:shd w:fill="EAEAEA"/>
          </w:tcPr>
          <w:p>
            <w:pPr>
              <w:keepNext/>
              <w:spacing w:after="0" w:before="0" w:line="252" w:lineRule="auto"/>
              <w:jc w:val="center"/>
            </w:pPr>
            <w:r>
              <w:rPr>
                <w:b/>
                <w:sz w:val="19"/>
              </w:rPr>
              <w:t>FY</w:t>
              <w:br/>
              <w:t>2027</w:t>
            </w:r>
          </w:p>
        </w:tc>
        <w:tc>
          <w:tcPr>
            <w:tcW w:type="dxa" w:w="1495"/>
            <w:vAlign w:val="center"/>
            <w:tcMar>
              <w:top w:w="78" w:type="dxa"/>
              <w:bottom w:w="78" w:type="dxa"/>
              <w:left w:w="85" w:type="dxa"/>
              <w:right w:w="85" w:type="dxa"/>
            </w:tcMar>
            <w:shd w:fill="EAEAEA"/>
          </w:tcPr>
          <w:p>
            <w:pPr>
              <w:keepNext/>
              <w:spacing w:after="0" w:before="0" w:line="252" w:lineRule="auto"/>
              <w:jc w:val="center"/>
            </w:pPr>
            <w:r>
              <w:rPr>
                <w:b/>
                <w:sz w:val="19"/>
              </w:rPr>
              <w:t>FY28 to</w:t>
              <w:br/>
              <w:t>FY30</w:t>
            </w:r>
          </w:p>
        </w:tc>
      </w:tr>
      <w:tr>
        <w:trPr>
          <w:cantSplit/>
        </w:trPr>
        <w:tc>
          <w:tcPr>
            <w:tcW w:type="dxa" w:w="2520"/>
            <w:vAlign w:val="center"/>
            <w:tcMar>
              <w:top w:w="78" w:type="dxa"/>
              <w:bottom w:w="78" w:type="dxa"/>
              <w:left w:w="85" w:type="dxa"/>
              <w:right w:w="85" w:type="dxa"/>
            </w:tcMar>
          </w:tcPr>
          <w:p>
            <w:pPr>
              <w:keepNext/>
              <w:spacing w:after="0" w:before="0" w:line="252" w:lineRule="auto"/>
              <w:jc w:val="left"/>
            </w:pPr>
            <w:r>
              <w:rPr>
                <w:b w:val="0"/>
                <w:sz w:val="19"/>
              </w:rPr>
              <w:t>North America</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1.207%</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0.475%</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0.890%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0.691%</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1.5%</w:t>
            </w:r>
          </w:p>
        </w:tc>
      </w:tr>
      <w:tr>
        <w:trPr>
          <w:cantSplit/>
        </w:trPr>
        <w:tc>
          <w:tcPr>
            <w:tcW w:type="dxa" w:w="2520"/>
            <w:vAlign w:val="center"/>
            <w:tcMar>
              <w:top w:w="78" w:type="dxa"/>
              <w:bottom w:w="78" w:type="dxa"/>
              <w:left w:w="85" w:type="dxa"/>
              <w:right w:w="85" w:type="dxa"/>
            </w:tcMar>
          </w:tcPr>
          <w:p>
            <w:pPr>
              <w:keepNext/>
              <w:spacing w:after="0" w:before="0" w:line="252" w:lineRule="auto"/>
              <w:jc w:val="left"/>
            </w:pPr>
            <w:r>
              <w:rPr>
                <w:b w:val="0"/>
                <w:sz w:val="19"/>
              </w:rPr>
              <w:t>Continental Europe</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0.5%</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r>
      <w:tr>
        <w:trPr>
          <w:cantSplit/>
        </w:trPr>
        <w:tc>
          <w:tcPr>
            <w:tcW w:type="dxa" w:w="2520"/>
            <w:vAlign w:val="center"/>
            <w:tcMar>
              <w:top w:w="78" w:type="dxa"/>
              <w:bottom w:w="78" w:type="dxa"/>
              <w:left w:w="85" w:type="dxa"/>
              <w:right w:w="85" w:type="dxa"/>
            </w:tcMar>
          </w:tcPr>
          <w:p>
            <w:pPr>
              <w:keepNext/>
              <w:spacing w:after="0" w:before="0" w:line="252" w:lineRule="auto"/>
              <w:jc w:val="left"/>
            </w:pPr>
            <w:r>
              <w:rPr>
                <w:b w:val="0"/>
                <w:sz w:val="19"/>
              </w:rPr>
              <w:t>UK and Ireland</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0.5%</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c>
          <w:tcPr>
            <w:tcW w:type="dxa" w:w="1495"/>
            <w:vAlign w:val="center"/>
            <w:tcMar>
              <w:top w:w="78" w:type="dxa"/>
              <w:bottom w:w="78" w:type="dxa"/>
              <w:left w:w="85" w:type="dxa"/>
              <w:right w:w="85" w:type="dxa"/>
            </w:tcMar>
          </w:tcPr>
          <w:p>
            <w:pPr>
              <w:keepNext/>
              <w:spacing w:after="0" w:before="0" w:line="252" w:lineRule="auto"/>
              <w:jc w:val="center"/>
            </w:pPr>
            <w:r>
              <w:rPr>
                <w:b w:val="0"/>
                <w:sz w:val="19"/>
              </w:rPr>
              <w:t>1.0%</w:t>
            </w:r>
          </w:p>
        </w:tc>
      </w:tr>
      <w:tr>
        <w:trPr>
          <w:cantSplit/>
        </w:trPr>
        <w:tc>
          <w:tcPr>
            <w:tcW w:type="dxa" w:w="2520"/>
            <w:vAlign w:val="center"/>
            <w:tcMar>
              <w:top w:w="78" w:type="dxa"/>
              <w:bottom w:w="78" w:type="dxa"/>
              <w:left w:w="85" w:type="dxa"/>
              <w:right w:w="85" w:type="dxa"/>
            </w:tcMar>
          </w:tcPr>
          <w:p>
            <w:pPr>
              <w:keepNext w:val="0"/>
              <w:spacing w:after="0" w:before="0" w:line="252" w:lineRule="auto"/>
              <w:jc w:val="left"/>
            </w:pPr>
            <w:r>
              <w:rPr>
                <w:b w:val="0"/>
                <w:sz w:val="19"/>
              </w:rPr>
              <w:t>Rest of World</w:t>
            </w:r>
          </w:p>
        </w:tc>
        <w:tc>
          <w:tcPr>
            <w:tcW w:type="dxa" w:w="1495"/>
            <w:vAlign w:val="center"/>
            <w:tcMar>
              <w:top w:w="78" w:type="dxa"/>
              <w:bottom w:w="78" w:type="dxa"/>
              <w:left w:w="85" w:type="dxa"/>
              <w:right w:w="85" w:type="dxa"/>
            </w:tcMar>
          </w:tcPr>
          <w:p>
            <w:pPr>
              <w:keepNext w:val="0"/>
              <w:spacing w:after="0" w:before="0" w:line="252" w:lineRule="auto"/>
              <w:jc w:val="center"/>
            </w:pPr>
            <w:r>
              <w:rPr>
                <w:b w:val="0"/>
                <w:sz w:val="19"/>
              </w:rPr>
              <w:t>1.5%</w:t>
            </w:r>
          </w:p>
        </w:tc>
        <w:tc>
          <w:tcPr>
            <w:tcW w:type="dxa" w:w="1495"/>
            <w:vAlign w:val="center"/>
            <w:tcMar>
              <w:top w:w="78" w:type="dxa"/>
              <w:bottom w:w="78" w:type="dxa"/>
              <w:left w:w="85" w:type="dxa"/>
              <w:right w:w="85" w:type="dxa"/>
            </w:tcMar>
          </w:tcPr>
          <w:p>
            <w:pPr>
              <w:keepNext w:val="0"/>
              <w:spacing w:after="0" w:before="0" w:line="252" w:lineRule="auto"/>
              <w:jc w:val="center"/>
            </w:pPr>
            <w:r>
              <w:rPr>
                <w:b w:val="0"/>
                <w:sz w:val="19"/>
              </w:rPr>
              <w:t>1.5%</w:t>
            </w:r>
          </w:p>
        </w:tc>
        <w:tc>
          <w:tcPr>
            <w:tcW w:type="dxa" w:w="1495"/>
            <w:vAlign w:val="center"/>
            <w:tcMar>
              <w:top w:w="78" w:type="dxa"/>
              <w:bottom w:w="78" w:type="dxa"/>
              <w:left w:w="85" w:type="dxa"/>
              <w:right w:w="85" w:type="dxa"/>
            </w:tcMar>
          </w:tcPr>
          <w:p>
            <w:pPr>
              <w:keepNext w:val="0"/>
              <w:spacing w:after="0" w:before="0" w:line="252" w:lineRule="auto"/>
              <w:jc w:val="center"/>
            </w:pPr>
            <w:r>
              <w:rPr>
                <w:b w:val="0"/>
                <w:sz w:val="19"/>
              </w:rPr>
              <w:t>2.0%</w:t>
            </w:r>
          </w:p>
        </w:tc>
        <w:tc>
          <w:tcPr>
            <w:tcW w:type="dxa" w:w="1495"/>
            <w:vAlign w:val="center"/>
            <w:tcMar>
              <w:top w:w="78" w:type="dxa"/>
              <w:bottom w:w="78" w:type="dxa"/>
              <w:left w:w="85" w:type="dxa"/>
              <w:right w:w="85" w:type="dxa"/>
            </w:tcMar>
          </w:tcPr>
          <w:p>
            <w:pPr>
              <w:keepNext w:val="0"/>
              <w:spacing w:after="0" w:before="0" w:line="252" w:lineRule="auto"/>
              <w:jc w:val="center"/>
            </w:pPr>
            <w:r>
              <w:rPr>
                <w:b w:val="0"/>
                <w:sz w:val="19"/>
              </w:rPr>
              <w:t>1.756%</w:t>
            </w:r>
          </w:p>
        </w:tc>
        <w:tc>
          <w:tcPr>
            <w:tcW w:type="dxa" w:w="1495"/>
            <w:vAlign w:val="center"/>
            <w:tcMar>
              <w:top w:w="78" w:type="dxa"/>
              <w:bottom w:w="78" w:type="dxa"/>
              <w:left w:w="85" w:type="dxa"/>
              <w:right w:w="85" w:type="dxa"/>
            </w:tcMar>
          </w:tcPr>
          <w:p>
            <w:pPr>
              <w:keepNext w:val="0"/>
              <w:spacing w:after="0" w:before="0" w:line="252" w:lineRule="auto"/>
              <w:jc w:val="center"/>
            </w:pPr>
            <w:r>
              <w:rPr>
                <w:b w:val="0"/>
                <w:sz w:val="19"/>
              </w:rPr>
              <w:t>2.0%</w:t>
            </w:r>
          </w:p>
        </w:tc>
      </w:tr>
    </w:tbl>
    <w:p>
      <w:pPr>
        <w:spacing w:after="40" w:before="0" w:line="240" w:lineRule="auto"/>
      </w:pPr>
      <w:r>
        <w:rPr>
          <w:sz w:val="6"/>
        </w:rPr>
      </w:r>
    </w:p>
    <w:p>
      <w:r>
        <w:t>Model rows 80, 139, 198 and 257. Annual values aggregate revenue contributions using the relevant bases; they are not simply averages of half-year percentages.</w:t>
      </w:r>
    </w:p>
    <w:p>
      <w:r>
        <w:t>Continental Europe: “I assume muted activity in H2 followed by a modest 1% volume run-rate. This reflects a mature collection of markets with uneven end-market conditions. It is a judgement informed by activity and the company’s regional commentary, not a country-weighted econometric GDP forecast.”</w:t>
      </w:r>
    </w:p>
    <w:p>
      <w:r>
        <w:t>UK and Ireland: “The 0.5% to 1% volume path allows modest recovery in a mature business. I do not assume large market-share gains. The stronger near-term revenue forecast comes mainly from pricing, so the investment case is not dependent on a UK demand boom.”</w:t>
      </w:r>
    </w:p>
    <w:p>
      <w:r>
        <w:t>Rest of World: “I allow faster activity growth than in Europe because the portfolio includes different growth markets, but I keep volume at 1.5–2%. This is a blended regional judgement; it is not a standalone Brazil forecast. Currency and product mix are important, and the precise 3.3% H2 pricing number comes from the tracker, not an asserted Brazilian inflation rate.”</w:t>
      </w:r>
    </w:p>
    <w:p>
      <w:r>
        <w:t>For later years, North America 1.5% volume plus 0.5% pricing yields 2.0% organic growth; Europe and UK 1.0% plus 0.5% yield 1.5%; ROW 2.0% plus 1.0% yields 3.0%. These are normalised assumptions. Do not invent a detailed country or end-market build that the workbook does not contain.</w:t>
      </w:r>
    </w:p>
    <w:p>
      <w:pPr>
        <w:pStyle w:val="Heading2"/>
      </w:pPr>
      <w:r>
        <w:t>North America line by 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008"/>
        <w:gridCol w:w="1728"/>
        <w:gridCol w:w="1757"/>
        <w:gridCol w:w="1757"/>
      </w:tblGrid>
      <w:tr>
        <w:trPr>
          <w:cantSplit/>
          <w:tblHeader/>
        </w:trPr>
        <w:tc>
          <w:tcPr>
            <w:tcW w:type="dxa" w:w="3744"/>
            <w:vAlign w:val="center"/>
            <w:tcMar>
              <w:top w:w="78" w:type="dxa"/>
              <w:bottom w:w="78" w:type="dxa"/>
              <w:left w:w="85" w:type="dxa"/>
              <w:right w:w="85" w:type="dxa"/>
            </w:tcMar>
            <w:shd w:fill="EAEAEA"/>
          </w:tcPr>
          <w:p>
            <w:pPr>
              <w:keepNext/>
              <w:spacing w:after="0" w:before="0" w:line="252" w:lineRule="auto"/>
              <w:jc w:val="left"/>
            </w:pPr>
            <w:r>
              <w:rPr>
                <w:b/>
                <w:sz w:val="19"/>
              </w:rPr>
              <w:t>NA Forecast row</w:t>
            </w:r>
          </w:p>
        </w:tc>
        <w:tc>
          <w:tcPr>
            <w:tcW w:type="dxa" w:w="1008"/>
            <w:vAlign w:val="center"/>
            <w:tcMar>
              <w:top w:w="78" w:type="dxa"/>
              <w:bottom w:w="78" w:type="dxa"/>
              <w:left w:w="85" w:type="dxa"/>
              <w:right w:w="85" w:type="dxa"/>
            </w:tcMar>
            <w:shd w:fill="EAEAEA"/>
          </w:tcPr>
          <w:p>
            <w:pPr>
              <w:keepNext/>
              <w:spacing w:after="0" w:before="0" w:line="252" w:lineRule="auto"/>
              <w:jc w:val="center"/>
            </w:pPr>
            <w:r>
              <w:rPr>
                <w:b/>
                <w:sz w:val="19"/>
              </w:rPr>
              <w:t>Share of NA</w:t>
            </w:r>
          </w:p>
        </w:tc>
        <w:tc>
          <w:tcPr>
            <w:tcW w:type="dxa" w:w="1728"/>
            <w:vAlign w:val="center"/>
            <w:tcMar>
              <w:top w:w="78" w:type="dxa"/>
              <w:bottom w:w="78" w:type="dxa"/>
              <w:left w:w="85" w:type="dxa"/>
              <w:right w:w="85" w:type="dxa"/>
            </w:tcMar>
            <w:shd w:fill="EAEAEA"/>
          </w:tcPr>
          <w:p>
            <w:pPr>
              <w:keepNext/>
              <w:spacing w:after="0" w:before="0" w:line="252" w:lineRule="auto"/>
              <w:jc w:val="center"/>
            </w:pPr>
            <w:r>
              <w:rPr>
                <w:b/>
                <w:sz w:val="19"/>
              </w:rPr>
              <w:t>H2</w:t>
              <w:br/>
              <w:t>2026 volume</w:t>
            </w:r>
          </w:p>
        </w:tc>
        <w:tc>
          <w:tcPr>
            <w:tcW w:type="dxa" w:w="1757"/>
            <w:vAlign w:val="center"/>
            <w:tcMar>
              <w:top w:w="78" w:type="dxa"/>
              <w:bottom w:w="78" w:type="dxa"/>
              <w:left w:w="85" w:type="dxa"/>
              <w:right w:w="85" w:type="dxa"/>
            </w:tcMar>
            <w:shd w:fill="EAEAEA"/>
          </w:tcPr>
          <w:p>
            <w:pPr>
              <w:keepNext/>
              <w:spacing w:after="0" w:before="0" w:line="252" w:lineRule="auto"/>
              <w:jc w:val="center"/>
            </w:pPr>
            <w:r>
              <w:rPr>
                <w:b/>
                <w:sz w:val="19"/>
              </w:rPr>
              <w:t>H1</w:t>
              <w:br/>
              <w:t>2027 volume</w:t>
            </w:r>
          </w:p>
        </w:tc>
        <w:tc>
          <w:tcPr>
            <w:tcW w:type="dxa" w:w="1757"/>
            <w:vAlign w:val="center"/>
            <w:tcMar>
              <w:top w:w="78" w:type="dxa"/>
              <w:bottom w:w="78" w:type="dxa"/>
              <w:left w:w="85" w:type="dxa"/>
              <w:right w:w="85" w:type="dxa"/>
            </w:tcMar>
            <w:shd w:fill="EAEAEA"/>
          </w:tcPr>
          <w:p>
            <w:pPr>
              <w:keepNext/>
              <w:spacing w:after="0" w:before="0" w:line="252" w:lineRule="auto"/>
              <w:jc w:val="center"/>
            </w:pPr>
            <w:r>
              <w:rPr>
                <w:b/>
                <w:sz w:val="19"/>
              </w:rPr>
              <w:t>H2</w:t>
              <w:br/>
              <w:t>2027 volume</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13 Distribution grocery</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31%</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1.5%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1.5%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1.5%</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14 Distribution foodservice redistribution</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15%</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0.0%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15 Distribution other</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13%</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1.0%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1.0%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1.0%</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16 Other foodservice</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12%</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0.0%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17 Other grocery</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9%</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−1.0%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0.0%</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18 Safety</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12%</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0.5%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1.0%</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19 Remaining businesses</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8%</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0.0%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0.5%</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20 Weighted underlying volume</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100%</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0.565%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0.475%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0.890%</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21 Prior wins carryover</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0.642%</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0.000%</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0.000%</w:t>
            </w:r>
          </w:p>
        </w:tc>
      </w:tr>
      <w:tr>
        <w:trPr>
          <w:cantSplit/>
        </w:trPr>
        <w:tc>
          <w:tcPr>
            <w:tcW w:type="dxa" w:w="3744"/>
            <w:vAlign w:val="center"/>
            <w:tcMar>
              <w:top w:w="78" w:type="dxa"/>
              <w:bottom w:w="78" w:type="dxa"/>
              <w:left w:w="85" w:type="dxa"/>
              <w:right w:w="85" w:type="dxa"/>
            </w:tcMar>
          </w:tcPr>
          <w:p>
            <w:pPr>
              <w:keepNext w:val="0"/>
              <w:spacing w:after="0" w:before="0" w:line="252" w:lineRule="auto"/>
              <w:jc w:val="left"/>
            </w:pPr>
            <w:r>
              <w:rPr>
                <w:b w:val="0"/>
                <w:sz w:val="19"/>
              </w:rPr>
              <w:t>22 Total volume</w:t>
            </w:r>
          </w:p>
        </w:tc>
        <w:tc>
          <w:tcPr>
            <w:tcW w:type="dxa" w:w="1008"/>
            <w:vAlign w:val="center"/>
            <w:tcMar>
              <w:top w:w="78" w:type="dxa"/>
              <w:bottom w:w="78" w:type="dxa"/>
              <w:left w:w="85" w:type="dxa"/>
              <w:right w:w="85" w:type="dxa"/>
            </w:tcMar>
          </w:tcPr>
          <w:p>
            <w:pPr>
              <w:keepNext w:val="0"/>
              <w:spacing w:after="0" w:before="0" w:line="252" w:lineRule="auto"/>
              <w:jc w:val="center"/>
            </w:pPr>
            <w:r>
              <w:rPr>
                <w:b w:val="0"/>
                <w:sz w:val="19"/>
              </w:rPr>
              <w:t>—</w:t>
            </w:r>
          </w:p>
        </w:tc>
        <w:tc>
          <w:tcPr>
            <w:tcW w:type="dxa" w:w="1728"/>
            <w:vAlign w:val="center"/>
            <w:tcMar>
              <w:top w:w="78" w:type="dxa"/>
              <w:bottom w:w="78" w:type="dxa"/>
              <w:left w:w="85" w:type="dxa"/>
              <w:right w:w="85" w:type="dxa"/>
            </w:tcMar>
          </w:tcPr>
          <w:p>
            <w:pPr>
              <w:keepNext w:val="0"/>
              <w:spacing w:after="0" w:before="0" w:line="252" w:lineRule="auto"/>
              <w:jc w:val="center"/>
            </w:pPr>
            <w:r>
              <w:rPr>
                <w:b w:val="0"/>
                <w:sz w:val="19"/>
              </w:rPr>
              <w:t>1.207%</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0.475%</w:t>
            </w:r>
          </w:p>
        </w:tc>
        <w:tc>
          <w:tcPr>
            <w:tcW w:type="dxa" w:w="1757"/>
            <w:vAlign w:val="center"/>
            <w:tcMar>
              <w:top w:w="78" w:type="dxa"/>
              <w:bottom w:w="78" w:type="dxa"/>
              <w:left w:w="85" w:type="dxa"/>
              <w:right w:w="85" w:type="dxa"/>
            </w:tcMar>
          </w:tcPr>
          <w:p>
            <w:pPr>
              <w:keepNext w:val="0"/>
              <w:spacing w:after="0" w:before="0" w:line="252" w:lineRule="auto"/>
              <w:jc w:val="center"/>
            </w:pPr>
            <w:r>
              <w:rPr>
                <w:b w:val="0"/>
                <w:sz w:val="19"/>
              </w:rPr>
              <w:t>0.890%</w:t>
            </w:r>
          </w:p>
        </w:tc>
      </w:tr>
    </w:tbl>
    <w:p>
      <w:pPr>
        <w:spacing w:after="40" w:before="0" w:line="240" w:lineRule="auto"/>
      </w:pPr>
      <w:r>
        <w:rPr>
          <w:sz w:val="6"/>
        </w:rPr>
      </w:r>
    </w:p>
    <w:p>
      <w:r>
        <w:t>The weights are supported by company disclosure. The growth rates are your estimates. The 59% Distribution total consists of the first three rows; do not add another 59% on top. Existing grocery partnerships, foodservice activity, industrial safety demand and weak convenience/retail conditions are the economic channels. The file does not contain independently sourced forecasts proving each decimal.</w:t>
      </w:r>
    </w:p>
    <w:p>
      <w:r>
        <w:t>“Why 1.5% grocery?” A credible answer is modest underlying activity and existing-customer growth, with the identified old wins treated separately. Do not claim 1.5% is measured market growth unless you can produce the source. Grocery sales inflation is also not grocery physical-volume growth.</w:t>
      </w:r>
    </w:p>
    <w:p>
      <w:r>
        <w:t>“Why flat or negative foodservice when Distribution is recovering?” Say: “My forecast distinguishes operational recovery from end-market demand. The volume assumption is deliberately cautious after the recovery and the benefit of prior wins. It allows a weak first half of 2027 and gradual stabilisation.” Be ready for the counterargument: the company disclosed positive recent redistribution volume. Your assumption is a cautious deviation from that momentum, not a straight extrapolation.</w:t>
      </w:r>
    </w:p>
    <w:p>
      <w:r>
        <w:t>“Why link all other foodservice to redistribution?” This is an aggregation shortcut. Part of other foodservice is food processing and agriculture, so restaurant traffic is not a sufficient driver for the entire 12%. A 1 percentage point error on a 6% NA sub-exposure changes NA volume by only 0.06 percentage points, but the classification should still be described honestly.</w:t>
      </w:r>
    </w:p>
    <w:p>
      <w:r>
        <w:t>“Why negative other grocery?” The line is a distinct customer/business mix from the main Distribution grocery operation. The forecast reflects continued weakness followed by stabilisation; it does not mean supermarket consumption across North America is shrinking 1%. Again, the exact rate is a judgement, not a disclosed forecast.</w:t>
      </w:r>
    </w:p>
    <w:p>
      <w:r>
        <w:t>“Why only modest safety and remaining growth?” The estimates avoid assuming that industrial activity and smaller retail-related businesses recover immediately. They are small positive or flat normalisation cases, with gradual H2 2027 improvement. If pressed for statistical support, do not disguise them as a fitted model.</w:t>
      </w:r>
    </w:p>
    <w:p>
      <w:pPr>
        <w:pStyle w:val="Heading2"/>
      </w:pPr>
      <w:r>
        <w:t>Explain customer wins without double counting</w:t>
      </w:r>
    </w:p>
    <w:p>
      <w:r>
        <w:t>NA Forecast!D29:D35 uses $110m annualised wins × £0.75 per dollar = £82.5m annual revenue. Three months of unmatched contribution in H2 gives £20.625m. Divide by prior-year H2 NA revenue of £3,213.9m: 0.642 percentage points of growth. Added to the 0.565% underlying weighted growth, this produces 1.207% total volume growth.</w:t>
      </w:r>
    </w:p>
    <w:p>
      <w:r>
        <w:t>The company disclosed more than $100m annualised Q4 2025 wins; $110m is your estimate. Three unmatched months simplifies the start date and ramp. Wins still generate revenue in 2027, but no longer produce a year-on-year carryover contribution after they enter the comparable base. Zero carryover is not customer churn.</w:t>
      </w:r>
    </w:p>
    <w:p>
      <w:r>
        <w:t>“Have you included those wins twice?” “The underlying sector assumptions are intended to exclude the identified carryover, which I add separately. The risk is that a sector assumption already embeds the same wins or wallet-share gains. I would not add another generic share-gain percentage on top without separating it.”</w:t>
      </w:r>
    </w:p>
    <w:p>
      <w:r>
        <w:t>At $100m instead of $110m, the carryover is approximately 0.583 percentage points: only about 0.058 percentage points lower. Timing and the underlying demand judgement are more consequential than choosing $110m rather than $100m.</w:t>
      </w:r>
    </w:p>
    <w:p>
      <w:pPr>
        <w:pStyle w:val="Heading2"/>
      </w:pPr>
      <w:r>
        <w:t>How do the regional totals compare with consensus</w:t>
      </w:r>
    </w:p>
    <w:p>
      <w:r>
        <w:t>Your group H2 organic growth of 3.54% is around 1.17 percentage points above the 2.37% consensus in the file. In FY27, your 1.54% organic growth is about 0.23 percentage points below consensus. That distinction matters: the FY27 EPS premium cannot be defended as simply stronger organic sales.</w:t>
      </w:r>
    </w:p>
    <w:p>
      <w:r>
        <w:t>The NA Forecast tab contains a comparison inconsistency: both 2027 half-year consensus OSG inputs are 2.0%, while annual consensus is 1.85%. They cannot all represent a single coherent same-base forecast. Your own annual aggregation is weighted; the inconsistency is in the comparison inputs. Do not rely on those three consensus cells as an exact half-year bridge.</w:t>
      </w:r>
    </w:p>
    <w:p>
      <w:pPr>
        <w:pStyle w:val="Heading2"/>
      </w:pPr>
      <w:r>
        <w:t>Acquisition and currency questions</w:t>
      </w:r>
    </w:p>
    <w:p>
      <w:r>
        <w:t>“Why no new M&amp;A?” “I include the known carryover and avoid inventing the timing, purchase multiple and funding of unannounced deals. That makes the operating base case transparent. It also leaves more cash for buybacks, so I cannot then add acquisitions with no change to capital returns or interest.”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Acquisition revenue contribution £m</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H1 2027</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2027</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North America</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1.4</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Continental Europe</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7.2</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3.0</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UK and Ireland</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1.2</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Rest of World</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4.5</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2.6</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0.0</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Group</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14.3</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5.6</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0.0</w:t>
            </w:r>
          </w:p>
        </w:tc>
      </w:tr>
    </w:tbl>
    <w:p>
      <w:pPr>
        <w:spacing w:after="40" w:before="0" w:line="240" w:lineRule="auto"/>
      </w:pPr>
      <w:r>
        <w:rPr>
          <w:sz w:val="6"/>
        </w:rPr>
      </w:r>
    </w:p>
    <w:p>
      <w:r>
        <w:t>These small contributions are the submitted carryover estimates. The workbook does not contain a complete deal-by-deal schedule that independently substantiates each amount. FY28 onwards assumes zero new acquired revenue.</w:t>
      </w:r>
    </w:p>
    <w:p>
      <w:r>
        <w:t>“How do you model FX?” Explain the quote first: GBP per foreign currency unit. A higher rate increases translated sterling revenue. Regional currency weights are estimates, with known carryover from the submitted spot rates; flat later currency levels make future FX growth fade to zero. Currency translation is separate from local product-price pressure. Do not count the same currency move twice without distinguishing transaction costs from translation.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6538"/>
      </w:tblGrid>
      <w:tr>
        <w:trPr>
          <w:cantSplit/>
          <w:tblHeader/>
        </w:trPr>
        <w:tc>
          <w:tcPr>
            <w:tcW w:type="dxa" w:w="3456"/>
            <w:vAlign w:val="center"/>
            <w:tcMar>
              <w:top w:w="78" w:type="dxa"/>
              <w:bottom w:w="78" w:type="dxa"/>
              <w:left w:w="85" w:type="dxa"/>
              <w:right w:w="85" w:type="dxa"/>
            </w:tcMar>
            <w:shd w:fill="EAEAEA"/>
          </w:tcPr>
          <w:p>
            <w:pPr>
              <w:keepNext/>
              <w:spacing w:after="0" w:before="0" w:line="252" w:lineRule="auto"/>
              <w:jc w:val="left"/>
            </w:pPr>
            <w:r>
              <w:rPr>
                <w:b/>
                <w:sz w:val="20"/>
              </w:rPr>
              <w:t>Region</w:t>
            </w:r>
          </w:p>
        </w:tc>
        <w:tc>
          <w:tcPr>
            <w:tcW w:type="dxa" w:w="6538"/>
            <w:vAlign w:val="center"/>
            <w:tcMar>
              <w:top w:w="78" w:type="dxa"/>
              <w:bottom w:w="78" w:type="dxa"/>
              <w:left w:w="85" w:type="dxa"/>
              <w:right w:w="85" w:type="dxa"/>
            </w:tcMar>
            <w:shd w:fill="EAEAEA"/>
          </w:tcPr>
          <w:p>
            <w:pPr>
              <w:keepNext/>
              <w:spacing w:after="0" w:before="0" w:line="252" w:lineRule="auto"/>
              <w:jc w:val="left"/>
            </w:pPr>
            <w:r>
              <w:rPr>
                <w:b/>
                <w:sz w:val="20"/>
              </w:rPr>
              <w:t>Estimated currency exposure in Model rows 50 to 68</w:t>
            </w:r>
          </w:p>
        </w:tc>
      </w:tr>
      <w:tr>
        <w:trPr>
          <w:cantSplit/>
        </w:trPr>
        <w:tc>
          <w:tcPr>
            <w:tcW w:type="dxa" w:w="3456"/>
            <w:vAlign w:val="center"/>
            <w:tcMar>
              <w:top w:w="78" w:type="dxa"/>
              <w:bottom w:w="78" w:type="dxa"/>
              <w:left w:w="85" w:type="dxa"/>
              <w:right w:w="85" w:type="dxa"/>
            </w:tcMar>
          </w:tcPr>
          <w:p>
            <w:pPr>
              <w:keepNext/>
              <w:spacing w:after="0" w:before="0" w:line="252" w:lineRule="auto"/>
              <w:jc w:val="left"/>
            </w:pPr>
            <w:r>
              <w:rPr>
                <w:b w:val="0"/>
                <w:sz w:val="20"/>
              </w:rPr>
              <w:t>North America</w:t>
            </w:r>
          </w:p>
        </w:tc>
        <w:tc>
          <w:tcPr>
            <w:tcW w:type="dxa" w:w="6538"/>
            <w:vAlign w:val="center"/>
            <w:tcMar>
              <w:top w:w="78" w:type="dxa"/>
              <w:bottom w:w="78" w:type="dxa"/>
              <w:left w:w="85" w:type="dxa"/>
              <w:right w:w="85" w:type="dxa"/>
            </w:tcMar>
          </w:tcPr>
          <w:p>
            <w:pPr>
              <w:keepNext/>
              <w:spacing w:after="0" w:before="0" w:line="252" w:lineRule="auto"/>
              <w:jc w:val="left"/>
            </w:pPr>
            <w:r>
              <w:rPr>
                <w:b w:val="0"/>
                <w:sz w:val="20"/>
              </w:rPr>
              <w:t>USD 88%; CAD 10%; MXN 2%</w:t>
            </w:r>
          </w:p>
        </w:tc>
      </w:tr>
      <w:tr>
        <w:trPr>
          <w:cantSplit/>
        </w:trPr>
        <w:tc>
          <w:tcPr>
            <w:tcW w:type="dxa" w:w="3456"/>
            <w:vAlign w:val="center"/>
            <w:tcMar>
              <w:top w:w="78" w:type="dxa"/>
              <w:bottom w:w="78" w:type="dxa"/>
              <w:left w:w="85" w:type="dxa"/>
              <w:right w:w="85" w:type="dxa"/>
            </w:tcMar>
          </w:tcPr>
          <w:p>
            <w:pPr>
              <w:keepNext/>
              <w:spacing w:after="0" w:before="0" w:line="252" w:lineRule="auto"/>
              <w:jc w:val="left"/>
            </w:pPr>
            <w:r>
              <w:rPr>
                <w:b w:val="0"/>
                <w:sz w:val="20"/>
              </w:rPr>
              <w:t>Continental Europe</w:t>
            </w:r>
          </w:p>
        </w:tc>
        <w:tc>
          <w:tcPr>
            <w:tcW w:type="dxa" w:w="6538"/>
            <w:vAlign w:val="center"/>
            <w:tcMar>
              <w:top w:w="78" w:type="dxa"/>
              <w:bottom w:w="78" w:type="dxa"/>
              <w:left w:w="85" w:type="dxa"/>
              <w:right w:w="85" w:type="dxa"/>
            </w:tcMar>
          </w:tcPr>
          <w:p>
            <w:pPr>
              <w:keepNext/>
              <w:spacing w:after="0" w:before="0" w:line="252" w:lineRule="auto"/>
              <w:jc w:val="left"/>
            </w:pPr>
            <w:r>
              <w:rPr>
                <w:b w:val="0"/>
                <w:sz w:val="20"/>
              </w:rPr>
              <w:t>EUR 80%; CHF 4%; NOK 2%; DKK 7%; PLN 2%; CZK 1%; HUF 1%; TRY 3%</w:t>
            </w:r>
          </w:p>
        </w:tc>
      </w:tr>
      <w:tr>
        <w:trPr>
          <w:cantSplit/>
        </w:trPr>
        <w:tc>
          <w:tcPr>
            <w:tcW w:type="dxa" w:w="3456"/>
            <w:vAlign w:val="center"/>
            <w:tcMar>
              <w:top w:w="78" w:type="dxa"/>
              <w:bottom w:w="78" w:type="dxa"/>
              <w:left w:w="85" w:type="dxa"/>
              <w:right w:w="85" w:type="dxa"/>
            </w:tcMar>
          </w:tcPr>
          <w:p>
            <w:pPr>
              <w:keepNext/>
              <w:spacing w:after="0" w:before="0" w:line="252" w:lineRule="auto"/>
              <w:jc w:val="left"/>
            </w:pPr>
            <w:r>
              <w:rPr>
                <w:b w:val="0"/>
                <w:sz w:val="20"/>
              </w:rPr>
              <w:t>UK and Ireland</w:t>
            </w:r>
          </w:p>
        </w:tc>
        <w:tc>
          <w:tcPr>
            <w:tcW w:type="dxa" w:w="6538"/>
            <w:vAlign w:val="center"/>
            <w:tcMar>
              <w:top w:w="78" w:type="dxa"/>
              <w:bottom w:w="78" w:type="dxa"/>
              <w:left w:w="85" w:type="dxa"/>
              <w:right w:w="85" w:type="dxa"/>
            </w:tcMar>
          </w:tcPr>
          <w:p>
            <w:pPr>
              <w:keepNext/>
              <w:spacing w:after="0" w:before="0" w:line="252" w:lineRule="auto"/>
              <w:jc w:val="left"/>
            </w:pPr>
            <w:r>
              <w:rPr>
                <w:b w:val="0"/>
                <w:sz w:val="20"/>
              </w:rPr>
              <w:t>GBP 88%; EUR 9%; AUD 2.5%; NZD 0.5%</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Rest of World</w:t>
            </w:r>
          </w:p>
        </w:tc>
        <w:tc>
          <w:tcPr>
            <w:tcW w:type="dxa" w:w="6538"/>
            <w:vAlign w:val="center"/>
            <w:tcMar>
              <w:top w:w="78" w:type="dxa"/>
              <w:bottom w:w="78" w:type="dxa"/>
              <w:left w:w="85" w:type="dxa"/>
              <w:right w:w="85" w:type="dxa"/>
            </w:tcMar>
          </w:tcPr>
          <w:p>
            <w:pPr>
              <w:keepNext w:val="0"/>
              <w:spacing w:after="0" w:before="0" w:line="252" w:lineRule="auto"/>
              <w:jc w:val="left"/>
            </w:pPr>
            <w:r>
              <w:rPr>
                <w:b w:val="0"/>
                <w:sz w:val="20"/>
              </w:rPr>
              <w:t>AUD 42%; BRL 33%; MXN 4%; SGD 1%; NZD 8%; CLP 7%; COP 3%; PEN 2%</w:t>
            </w:r>
          </w:p>
        </w:tc>
      </w:tr>
    </w:tbl>
    <w:p>
      <w:pPr>
        <w:spacing w:after="40" w:before="0" w:line="240" w:lineRule="auto"/>
      </w:pPr>
      <w:r>
        <w:rPr>
          <w:sz w:val="6"/>
        </w:rPr>
      </w:r>
    </w:p>
    <w:p>
      <w:r>
        <w:t>Group FX adds about 0.43% to H2 FY26 revenue versus consensus −0.44%, a favourable difference of about 0.87 percentage points. FY27 FX is also about +0.43% versus consensus −0.16%. Some of the revenue advantage therefore comes from exchange rates, not organic outperformance. The large H2 ROW contribution, about +5.91%, makes the distinction particularly relevant. These weights describe estimated reporting exposure, not procurement hedges.</w:t>
      </w:r>
    </w:p>
    <w:p>
      <w:r>
        <w:t>“Why does your acquisition bridge go negative?” The H1 NA acquisition residual uses constant-currency growth less organic growth and therefore absorbs the tariff-related revenue reduction. Model!AR82 is −2.1%; AR89 is approximately −£64.3m. It is not a negative acquisition forecast. Regional acquisition impacts sum to about −£22.9m while the separately reported group acquisition bridge is +£46.4m. The principal H1 revenue and EBIT are reported actuals, but the bridge classification should be acknowledged as wrong.</w:t>
      </w:r>
    </w:p>
    <w:p>
      <w:r>
        <w:t>The H1 FY27 growth base also carries the refund-reduced H1 FY26 revenue without an explicit base reversal. Assessing the economic correction requires aligning both revenue and COGS. Do not claim the forecast earnings impact is zero merely because historical reported EBIT is preserved.</w:t>
      </w:r>
    </w:p>
    <w:p>
      <w:r>
        <w:t>The forecast bridge adds volume, price and FX effects to a common revenue base, then adds acquisition revenue. Its displayed constant-currency growth uses a ratio convention. This creates small cross-term differences: about £1.6m at group H2 revenue level. Do not defend additive growth as exact compounded units times ASP times FX. It is a contribution bridge, with a known approximation.</w:t>
      </w:r>
    </w:p>
    <w:p>
      <w:pPr>
        <w:pStyle w:val="Heading1"/>
      </w:pPr>
      <w:r>
        <w:t>4 Costs and gross margin</w:t>
      </w:r>
    </w:p>
    <w:p>
      <w:pPr>
        <w:pStyle w:val="Heading2"/>
      </w:pPr>
      <w:r>
        <w:t>Walk from revenue to operating profit</w:t>
      </w:r>
    </w:p>
    <w:p>
      <w:r>
        <w:t>“I separate the cost of purchased products from Bunzl’s own operating costs. Product costs move with volume, purchasing inflation, currency and acquisitions. Payroll is built from employees and wage inflation. Other operating expenses have their own growth assumptions, and depreciation is separate. The annual group cost pool is then allocated to regions. That gives a more informative group earnings build than applying an EBIT margin directly to sales, while the regional cost detail remains approximate.”</w:t>
      </w:r>
    </w:p>
    <w:p>
      <w:r>
        <w:t>This is the right response to your friend’s units, ASP and fixed/variable cost test. You have distinguished product economics and operating expenses. You have not estimated orders, warehouse picks, delivery density and labour hours independently. Do not claim that additional level of precision.</w:t>
      </w:r>
    </w:p>
    <w:p>
      <w:pPr>
        <w:pStyle w:val="Heading2"/>
      </w:pPr>
      <w:r>
        <w:t>The cost assumptions line by 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96"/>
        <w:gridCol w:w="4248"/>
        <w:gridCol w:w="4450"/>
      </w:tblGrid>
      <w:tr>
        <w:trPr>
          <w:cantSplit/>
          <w:tblHeader/>
        </w:trPr>
        <w:tc>
          <w:tcPr>
            <w:tcW w:type="dxa" w:w="1296"/>
            <w:vAlign w:val="center"/>
            <w:tcMar>
              <w:top w:w="78" w:type="dxa"/>
              <w:bottom w:w="78" w:type="dxa"/>
              <w:left w:w="85" w:type="dxa"/>
              <w:right w:w="85" w:type="dxa"/>
            </w:tcMar>
            <w:shd w:fill="EAEAEA"/>
          </w:tcPr>
          <w:p>
            <w:pPr>
              <w:keepNext/>
              <w:spacing w:after="0" w:before="0" w:line="252" w:lineRule="auto"/>
              <w:jc w:val="left"/>
            </w:pPr>
            <w:r>
              <w:rPr>
                <w:b/>
                <w:sz w:val="20"/>
              </w:rPr>
              <w:t>Model rows</w:t>
            </w:r>
          </w:p>
        </w:tc>
        <w:tc>
          <w:tcPr>
            <w:tcW w:type="dxa" w:w="4248"/>
            <w:vAlign w:val="center"/>
            <w:tcMar>
              <w:top w:w="78" w:type="dxa"/>
              <w:bottom w:w="78" w:type="dxa"/>
              <w:left w:w="85" w:type="dxa"/>
              <w:right w:w="85" w:type="dxa"/>
            </w:tcMar>
            <w:shd w:fill="EAEAEA"/>
          </w:tcPr>
          <w:p>
            <w:pPr>
              <w:keepNext/>
              <w:spacing w:after="0" w:before="0" w:line="252" w:lineRule="auto"/>
              <w:jc w:val="left"/>
            </w:pPr>
            <w:r>
              <w:rPr>
                <w:b/>
                <w:sz w:val="20"/>
              </w:rPr>
              <w:t>Assumption or method</w:t>
            </w:r>
          </w:p>
        </w:tc>
        <w:tc>
          <w:tcPr>
            <w:tcW w:type="dxa" w:w="4450"/>
            <w:vAlign w:val="center"/>
            <w:tcMar>
              <w:top w:w="78" w:type="dxa"/>
              <w:bottom w:w="78" w:type="dxa"/>
              <w:left w:w="85" w:type="dxa"/>
              <w:right w:w="85" w:type="dxa"/>
            </w:tcMar>
            <w:shd w:fill="EAEAEA"/>
          </w:tcPr>
          <w:p>
            <w:pPr>
              <w:keepNext/>
              <w:spacing w:after="0" w:before="0" w:line="252" w:lineRule="auto"/>
              <w:jc w:val="left"/>
            </w:pPr>
            <w:r>
              <w:rPr>
                <w:b/>
                <w:sz w:val="20"/>
              </w:rPr>
              <w:t>Main defence and limitation</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363 to 376</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Purchased-goods COGS with separate volume, price, M&amp;A and FX</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Variable product-cost logic; regional starting allocation uses revenue shares</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378 to 380</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Revenue less COGS and gross-margin progression</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H1 2026 gross profit reconstructed using reported margin and estimated refund gross-up</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382 to 383</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Employees times wage rates</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Hiring responds to activity, not selling-price inflation</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389 to 392</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Organic volume less 0.2pp productivity, plus acquisition proxy; wages +3.5% FY26 and +2% thereafter</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Modest efficiency judgement; acquisition revenue is not a disclosed headcount schedule</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384</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Social-security costs follow employee count</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Omits wage inflation; a real simplification with a bounded EPS effect</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385</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Pension cost fixed at £33.8m</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Stable contribution assumption, not an actuarial forecast</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386 to 387</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SBC charge £14.5m; exceptional prior-year adjustment zero</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Normalised expense; removes the beneficial FY25 comparator</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396</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Receivable impairment £2.5m</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Stable credit losses; not a downside recession provision</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397 to 398</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Disposal gains and restructuring zero</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Avoid forecasting unpredictable items; does not mean restructuring is never economic</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399 to 400</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Short leases £5.3m; sublease income £4.0m</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Held broadly stable</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401 to 402</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Other opex +4% FY26, 0% FY27, +2% thereafter</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The FY27 efficiency assumption is consequential</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404 to 411</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PP&amp;E, ROU depreciation and software amortisation separately</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Driven by additions proxies rather than current revenue; no full asset-vintage schedule</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414 to 426</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Group opex, EBIT and group/segment check</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One shared cost pool; agreement is constructed, not independent validation</w:t>
            </w:r>
          </w:p>
        </w:tc>
      </w:tr>
      <w:tr>
        <w:trPr>
          <w:cantSplit/>
        </w:trPr>
        <w:tc>
          <w:tcPr>
            <w:tcW w:type="dxa" w:w="1296"/>
            <w:vAlign w:val="center"/>
            <w:tcMar>
              <w:top w:w="78" w:type="dxa"/>
              <w:bottom w:w="78" w:type="dxa"/>
              <w:left w:w="85" w:type="dxa"/>
              <w:right w:w="85" w:type="dxa"/>
            </w:tcMar>
          </w:tcPr>
          <w:p>
            <w:pPr>
              <w:keepNext w:val="0"/>
              <w:spacing w:after="0" w:before="0" w:line="252" w:lineRule="auto"/>
              <w:jc w:val="left"/>
            </w:pPr>
            <w:r>
              <w:rPr>
                <w:b w:val="0"/>
                <w:sz w:val="20"/>
              </w:rPr>
              <w:t>312 to 315</w:t>
            </w:r>
          </w:p>
        </w:tc>
        <w:tc>
          <w:tcPr>
            <w:tcW w:type="dxa" w:w="4248"/>
            <w:vAlign w:val="center"/>
            <w:tcMar>
              <w:top w:w="78" w:type="dxa"/>
              <w:bottom w:w="78" w:type="dxa"/>
              <w:left w:w="85" w:type="dxa"/>
              <w:right w:w="85" w:type="dxa"/>
            </w:tcMar>
          </w:tcPr>
          <w:p>
            <w:pPr>
              <w:keepNext w:val="0"/>
              <w:spacing w:after="0" w:before="0" w:line="252" w:lineRule="auto"/>
              <w:jc w:val="left"/>
            </w:pPr>
            <w:r>
              <w:rPr>
                <w:b w:val="0"/>
                <w:sz w:val="20"/>
              </w:rPr>
              <w:t>Corporate overhead, +2% after FY26</w:t>
            </w:r>
          </w:p>
        </w:tc>
        <w:tc>
          <w:tcPr>
            <w:tcW w:type="dxa" w:w="4450"/>
            <w:vAlign w:val="center"/>
            <w:tcMar>
              <w:top w:w="78" w:type="dxa"/>
              <w:bottom w:w="78" w:type="dxa"/>
              <w:left w:w="85" w:type="dxa"/>
              <w:right w:w="85" w:type="dxa"/>
            </w:tcMar>
          </w:tcPr>
          <w:p>
            <w:pPr>
              <w:keepNext w:val="0"/>
              <w:spacing w:after="0" w:before="0" w:line="252" w:lineRule="auto"/>
              <w:jc w:val="left"/>
            </w:pPr>
            <w:r>
              <w:rPr>
                <w:b w:val="0"/>
                <w:sz w:val="20"/>
              </w:rPr>
              <w:t>Carved out of group costs and included once in the segment sum</w:t>
            </w:r>
          </w:p>
        </w:tc>
      </w:tr>
    </w:tbl>
    <w:p>
      <w:pPr>
        <w:spacing w:after="40" w:before="0" w:line="240" w:lineRule="auto"/>
      </w:pPr>
      <w:r>
        <w:rPr>
          <w:sz w:val="6"/>
        </w:rPr>
      </w:r>
    </w:p>
    <w:p>
      <w:r>
        <w:t>FY25 purchased-goods COGS is £8,427.7m. Own operating expenses are £2,507.4m, including £1,238.0m employee costs, £1,011.4m other operating expenses and £253.2m depreciation/amortisation. This explains the scale of the company’s “wages around half of costs” observation: half of own operating expenses, not half of total revenue or total COGS plus opex.</w:t>
      </w:r>
    </w:p>
    <w:p>
      <w:pPr>
        <w:pStyle w:val="Heading2"/>
      </w:pPr>
      <w:r>
        <w:t>Where are freight and depreciation</w:t>
      </w:r>
    </w:p>
    <w:p>
      <w:r>
        <w:t>Inventory costs include the purchase cost, relevant duties and inbound freight, net of the associated supplier rebates. Outbound distribution and Bunzl’s own warehouse and delivery economics need separate consideration in operating costs. Do not put all fuel and freight into product COGS merely because the commodity basket contains energy-sensitive items.</w:t>
      </w:r>
    </w:p>
    <w:p>
      <w:r>
        <w:t>Ordinary depreciation, ROU depreciation and software amortisation remain expenses in adjusted EBIT. Acquired-intangible amortisation is excluded in the adjusted measure, but must be considered when assessing acquisition returns. EBITDA is not free cash flow; leased warehouses and vehicles still require cash payments.</w:t>
      </w:r>
    </w:p>
    <w:p>
      <w:pPr>
        <w:pStyle w:val="Heading2"/>
      </w:pPr>
      <w:r>
        <w:t>Why are the regional cost forecasts not fully independent</w:t>
      </w:r>
    </w:p>
    <w:p>
      <w:r>
        <w:t>Regional purchased-goods costs are initially allocated in proportion to regional revenue. That implies the same starting gross margin across regions, although their actual product mixes and supplier terms differ. Remaining historic own costs are the residual after the regional EBIT and allocated product costs. Forecast own-cost growth is then derived from the annual group cost pool and applied across regions with FX and acquisition adjustments.</w:t>
      </w:r>
    </w:p>
    <w:p>
      <w:r>
        <w:t>“I would place greater weight on the group gross-profit and operating-profit result than on the exact regional gross-margin allocation. The allocation preserves disclosed regional profitability and makes the model reconcile, but it does not reveal undisclosed regional procurement margins.”</w:t>
      </w:r>
    </w:p>
    <w:p>
      <w:r>
        <w:t>If the PM changes corporate overhead and group EBIT does not move: corporate overhead is a carve-out from a total group expense forecast. Raising corporate expense reduces the amount allocated to regions by the same amount. This is an allocation characteristic, not evidence that corporate spending has no economic cost. To change total group costs, the owning expense forecast must change.</w:t>
      </w:r>
    </w:p>
    <w:p>
      <w:pPr>
        <w:pStyle w:val="Heading2"/>
      </w:pPr>
      <w:r>
        <w:t>Why do H2 expenses fall while sales rise</w:t>
      </w:r>
    </w:p>
    <w:p>
      <w:r>
        <w:t>H2 2026 own opex including depreciation is £1,292.6m versus £1,324.1m in H1, a 2.4% sequential fall. But it is 3.15% above H2 2025, so it is not a year-on-year cost-cutting forecast. H1 expense growth was about 5.57%. The model assumes a slower cost-growth rate in H2.</w:t>
      </w:r>
    </w:p>
    <w:p>
      <w:r>
        <w:t>“The half-year forecast is the residual after the annual expense build and reconstructed H1 cost base. It requires cost growth to moderate in H2. I would defend the annual wage, headcount and other-cost assumptions, rather than describe the residual as an independently estimated half-year payroll budget.”</w:t>
      </w:r>
    </w:p>
    <w:p>
      <w:r>
        <w:t>Do not answer simply “seasonality.” FY25 own operating expenses were almost evenly split between halves. The H2 margin step-up reflects both gross profit and the assumed deceleration in costs. In FY27 the model preserves the FY26 cost split, with about 1.51% growth in each half before the regional allocation mechanics.</w:t>
      </w:r>
    </w:p>
    <w:p>
      <w:pPr>
        <w:pStyle w:val="Heading2"/>
      </w:pPr>
      <w:r>
        <w:t>Why flat other operating costs in FY27</w:t>
      </w:r>
    </w:p>
    <w:p>
      <w:r>
        <w:t>“It assumes efficiency savings and normalisation offset underlying cost inflation. The direction is consistent with warehouse consolidation and other cost actions, but the exact offset is my estimate. I would treat it as a key operating assumption, not as an automatic consequence of low revenue growth.”</w:t>
      </w:r>
    </w:p>
    <w:p>
      <w:r>
        <w:t>Other opex is £1,051.9m. A 2% increase would add £21.0m expense and reduce FY27 diluted EPS by approximately 5.1p, holding other drivers fixed. It consumes around 79% of the £26.6m EBIT advantage over consensus. This is probably the hardest cost question. If challenged, defend the underlying efficiency thesis and its scale; do not invent a disclosed £21m savings programme.</w:t>
      </w:r>
    </w:p>
    <w:p>
      <w:pPr>
        <w:pStyle w:val="Heading2"/>
      </w:pPr>
      <w:r>
        <w:t>Why does payroll not grow with sales</w:t>
      </w:r>
    </w:p>
    <w:p>
      <w:r>
        <w:t>“Product inflation increases the value of invoices without requiring the same percentage increase in employees. Headcount follows volume, with 20 basis points of productivity improvement, and salaries grow separately. That gives operating leverage from price without pretending labour is entirely fixed.”</w:t>
      </w:r>
    </w:p>
    <w:p>
      <w:r>
        <w:t>FY26 headcount grows about 1.21%, and FY27 about 0.77%. The wage assumptions are 3.5% and 2.0%. One extra percentage point of FY27 wage inflation adds about £11.4m costs or 2.7p diluted EPS. The social-security line follows headcount only; adding the omitted 2% wage effect to the FY27 charge would cost about £2.5m or 0.6p EPS. This last issue is a specific correction to acknowledge, not an explanation for most of the earnings difference.</w:t>
      </w:r>
    </w:p>
    <w:p>
      <w:pPr>
        <w:pStyle w:val="Heading2"/>
      </w:pPr>
      <w:r>
        <w:t>Does the large gross-profit beat really represent your variant</w:t>
      </w:r>
    </w:p>
    <w:p>
      <w:r>
        <w:t>Use the clean arithmetic, while acknowledging the basis problem: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Own less consensus £m</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H2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FY 2026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FY 2027</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Gross profit</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98.6</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291.6</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203.4</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Additional own operating expenses</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−46.8</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−237.2</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−176.8</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Adjusted EBIT advantage</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51.8</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54.4</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26.6</w:t>
            </w:r>
          </w:p>
        </w:tc>
      </w:tr>
    </w:tbl>
    <w:p>
      <w:pPr>
        <w:spacing w:after="40" w:before="0" w:line="240" w:lineRule="auto"/>
      </w:pPr>
      <w:r>
        <w:rPr>
          <w:sz w:val="6"/>
        </w:rPr>
      </w:r>
    </w:p>
    <w:p>
      <w:r>
        <w:t>VS Cons rows 17, 24 and 26. Full-year consensus gross profit less H2 consensus implies H1 gross profit of only £1,571.6m, compared with your reconstructed H1 £1,764.7m. About £193m of the full-year gross-profit difference therefore sits in an inconsistent historical base, accompanied by an offsetting expense difference. Contributor coverage, definitions or the averaging of estimates may explain it; the attached workbook cannot establish which.</w:t>
      </w:r>
    </w:p>
    <w:p>
      <w:r>
        <w:t>“I would not present the whole £292m full-year gross-profit difference as a forward forecasting edge. The headline EBIT and EPS comparisons are more useful, and the H2 gross-profit/opex bridge is the cleaner forward comparison. I would reconcile constituent definitions before making a granular consensus claim.”</w:t>
      </w:r>
    </w:p>
    <w:p>
      <w:pPr>
        <w:pStyle w:val="Heading2"/>
      </w:pPr>
      <w:r>
        <w:t>Is the margin target meaningfully above guidance</w:t>
      </w:r>
    </w:p>
    <w:p>
      <w:r>
        <w:t>Yes. After aligning the model’s approximate tariff denominator, FY26 margin is still about 8.0% against the 7.6% guidance reference. This is an intentional bullish forecast, not merely a definition difference. Delivering 7.6% on the same refund-excluded model revenue gives roughly £938m EBIT, around £49m below the submission. That is approximately 11.4p FY26 diluted EPS and removes most of the operating advantage.</w:t>
      </w:r>
    </w:p>
    <w:p>
      <w:r>
        <w:t>Be clear about the comparison credit: the £8m share-based-payment credit mentioned in guidance belongs to the FY25 comparator. It is not an £8m one-off to remove from FY26. The model already sets the exceptional prior-year adjustment to zero.</w:t>
      </w:r>
    </w:p>
    <w:p>
      <w:pPr>
        <w:pStyle w:val="Heading1"/>
      </w:pPr>
      <w:r>
        <w:t>5 The earnings bridge and capital allocation</w:t>
      </w:r>
    </w:p>
    <w:p>
      <w:pPr>
        <w:pStyle w:val="Heading2"/>
      </w:pPr>
      <w:r>
        <w:t>Exactly where the EPS difference comes from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904"/>
        <w:gridCol w:w="2045"/>
        <w:gridCol w:w="2045"/>
      </w:tblGrid>
      <w:tr>
        <w:trPr>
          <w:cantSplit/>
          <w:tblHeader/>
        </w:trPr>
        <w:tc>
          <w:tcPr>
            <w:tcW w:type="dxa" w:w="5904"/>
            <w:vAlign w:val="center"/>
            <w:tcMar>
              <w:top w:w="78" w:type="dxa"/>
              <w:bottom w:w="78" w:type="dxa"/>
              <w:left w:w="85" w:type="dxa"/>
              <w:right w:w="85" w:type="dxa"/>
            </w:tcMar>
            <w:shd w:fill="EAEAEA"/>
          </w:tcPr>
          <w:p>
            <w:pPr>
              <w:keepNext/>
              <w:spacing w:after="0" w:before="0" w:line="252" w:lineRule="auto"/>
              <w:jc w:val="left"/>
            </w:pPr>
            <w:r>
              <w:rPr>
                <w:b/>
                <w:sz w:val="20"/>
              </w:rPr>
              <w:t>Adjusted basic EPS bridge in pence</w:t>
            </w:r>
          </w:p>
        </w:tc>
        <w:tc>
          <w:tcPr>
            <w:tcW w:type="dxa" w:w="2045"/>
            <w:vAlign w:val="center"/>
            <w:tcMar>
              <w:top w:w="78" w:type="dxa"/>
              <w:bottom w:w="78" w:type="dxa"/>
              <w:left w:w="85" w:type="dxa"/>
              <w:right w:w="85" w:type="dxa"/>
            </w:tcMar>
            <w:shd w:fill="EAEAEA"/>
          </w:tcPr>
          <w:p>
            <w:pPr>
              <w:keepNext/>
              <w:spacing w:after="0" w:before="0" w:line="252" w:lineRule="auto"/>
              <w:jc w:val="left"/>
            </w:pPr>
            <w:r>
              <w:rPr>
                <w:b/>
                <w:sz w:val="20"/>
              </w:rPr>
              <w:t>FY 2026</w:t>
            </w:r>
          </w:p>
        </w:tc>
        <w:tc>
          <w:tcPr>
            <w:tcW w:type="dxa" w:w="2045"/>
            <w:vAlign w:val="center"/>
            <w:tcMar>
              <w:top w:w="78" w:type="dxa"/>
              <w:bottom w:w="78" w:type="dxa"/>
              <w:left w:w="85" w:type="dxa"/>
              <w:right w:w="85" w:type="dxa"/>
            </w:tcMar>
            <w:shd w:fill="EAEAEA"/>
          </w:tcPr>
          <w:p>
            <w:pPr>
              <w:keepNext/>
              <w:spacing w:after="0" w:before="0" w:line="252" w:lineRule="auto"/>
              <w:jc w:val="left"/>
            </w:pPr>
            <w:r>
              <w:rPr>
                <w:b/>
                <w:sz w:val="20"/>
              </w:rPr>
              <w:t>FY 2027</w:t>
            </w:r>
          </w:p>
        </w:tc>
      </w:tr>
      <w:tr>
        <w:trPr>
          <w:cantSplit/>
        </w:trPr>
        <w:tc>
          <w:tcPr>
            <w:tcW w:type="dxa" w:w="5904"/>
            <w:vAlign w:val="center"/>
            <w:tcMar>
              <w:top w:w="78" w:type="dxa"/>
              <w:bottom w:w="78" w:type="dxa"/>
              <w:left w:w="85" w:type="dxa"/>
              <w:right w:w="85" w:type="dxa"/>
            </w:tcMar>
          </w:tcPr>
          <w:p>
            <w:pPr>
              <w:keepNext/>
              <w:spacing w:after="0" w:before="0" w:line="252" w:lineRule="auto"/>
              <w:jc w:val="left"/>
            </w:pPr>
            <w:r>
              <w:rPr>
                <w:b w:val="0"/>
                <w:sz w:val="20"/>
              </w:rPr>
              <w:t>Submitted consensus</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186.672</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195.655</w:t>
            </w:r>
          </w:p>
        </w:tc>
      </w:tr>
      <w:tr>
        <w:trPr>
          <w:cantSplit/>
        </w:trPr>
        <w:tc>
          <w:tcPr>
            <w:tcW w:type="dxa" w:w="5904"/>
            <w:vAlign w:val="center"/>
            <w:tcMar>
              <w:top w:w="78" w:type="dxa"/>
              <w:bottom w:w="78" w:type="dxa"/>
              <w:left w:w="85" w:type="dxa"/>
              <w:right w:w="85" w:type="dxa"/>
            </w:tcMar>
          </w:tcPr>
          <w:p>
            <w:pPr>
              <w:keepNext/>
              <w:spacing w:after="0" w:before="0" w:line="252" w:lineRule="auto"/>
              <w:jc w:val="left"/>
            </w:pPr>
            <w:r>
              <w:rPr>
                <w:b w:val="0"/>
                <w:sz w:val="20"/>
              </w:rPr>
              <w:t>Operating-profit difference after model tax</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12.616</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6.303</w:t>
            </w:r>
          </w:p>
        </w:tc>
      </w:tr>
      <w:tr>
        <w:trPr>
          <w:cantSplit/>
        </w:trPr>
        <w:tc>
          <w:tcPr>
            <w:tcW w:type="dxa" w:w="5904"/>
            <w:vAlign w:val="center"/>
            <w:tcMar>
              <w:top w:w="78" w:type="dxa"/>
              <w:bottom w:w="78" w:type="dxa"/>
              <w:left w:w="85" w:type="dxa"/>
              <w:right w:w="85" w:type="dxa"/>
            </w:tcMar>
          </w:tcPr>
          <w:p>
            <w:pPr>
              <w:keepNext/>
              <w:spacing w:after="0" w:before="0" w:line="252" w:lineRule="auto"/>
              <w:jc w:val="left"/>
            </w:pPr>
            <w:r>
              <w:rPr>
                <w:b w:val="0"/>
                <w:sz w:val="20"/>
              </w:rPr>
              <w:t>Net finance difference after model tax</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−0.093</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3.388</w:t>
            </w:r>
          </w:p>
        </w:tc>
      </w:tr>
      <w:tr>
        <w:trPr>
          <w:cantSplit/>
        </w:trPr>
        <w:tc>
          <w:tcPr>
            <w:tcW w:type="dxa" w:w="5904"/>
            <w:vAlign w:val="center"/>
            <w:tcMar>
              <w:top w:w="78" w:type="dxa"/>
              <w:bottom w:w="78" w:type="dxa"/>
              <w:left w:w="85" w:type="dxa"/>
              <w:right w:w="85" w:type="dxa"/>
            </w:tcMar>
          </w:tcPr>
          <w:p>
            <w:pPr>
              <w:keepNext/>
              <w:spacing w:after="0" w:before="0" w:line="252" w:lineRule="auto"/>
              <w:jc w:val="left"/>
            </w:pPr>
            <w:r>
              <w:rPr>
                <w:b w:val="0"/>
                <w:sz w:val="20"/>
              </w:rPr>
              <w:t>Tax and minority residual</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0.200</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0.011</w:t>
            </w:r>
          </w:p>
        </w:tc>
      </w:tr>
      <w:tr>
        <w:trPr>
          <w:cantSplit/>
        </w:trPr>
        <w:tc>
          <w:tcPr>
            <w:tcW w:type="dxa" w:w="5904"/>
            <w:vAlign w:val="center"/>
            <w:tcMar>
              <w:top w:w="78" w:type="dxa"/>
              <w:bottom w:w="78" w:type="dxa"/>
              <w:left w:w="85" w:type="dxa"/>
              <w:right w:w="85" w:type="dxa"/>
            </w:tcMar>
          </w:tcPr>
          <w:p>
            <w:pPr>
              <w:keepNext/>
              <w:spacing w:after="0" w:before="0" w:line="252" w:lineRule="auto"/>
              <w:jc w:val="left"/>
            </w:pPr>
            <w:r>
              <w:rPr>
                <w:b w:val="0"/>
                <w:sz w:val="20"/>
              </w:rPr>
              <w:t>Share-count difference</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−0.161</w:t>
            </w:r>
          </w:p>
        </w:tc>
        <w:tc>
          <w:tcPr>
            <w:tcW w:type="dxa" w:w="2045"/>
            <w:vAlign w:val="center"/>
            <w:tcMar>
              <w:top w:w="78" w:type="dxa"/>
              <w:bottom w:w="78" w:type="dxa"/>
              <w:left w:w="85" w:type="dxa"/>
              <w:right w:w="85" w:type="dxa"/>
            </w:tcMar>
          </w:tcPr>
          <w:p>
            <w:pPr>
              <w:keepNext/>
              <w:spacing w:after="0" w:before="0" w:line="252" w:lineRule="auto"/>
              <w:jc w:val="center"/>
            </w:pPr>
            <w:r>
              <w:rPr>
                <w:b w:val="0"/>
                <w:sz w:val="20"/>
              </w:rPr>
              <w:t>3.468</w:t>
            </w:r>
          </w:p>
        </w:tc>
      </w:tr>
      <w:tr>
        <w:trPr>
          <w:cantSplit/>
        </w:trPr>
        <w:tc>
          <w:tcPr>
            <w:tcW w:type="dxa" w:w="5904"/>
            <w:vAlign w:val="center"/>
            <w:tcMar>
              <w:top w:w="78" w:type="dxa"/>
              <w:bottom w:w="78" w:type="dxa"/>
              <w:left w:w="85" w:type="dxa"/>
              <w:right w:w="85" w:type="dxa"/>
            </w:tcMar>
          </w:tcPr>
          <w:p>
            <w:pPr>
              <w:keepNext w:val="0"/>
              <w:spacing w:after="0" w:before="0" w:line="252" w:lineRule="auto"/>
              <w:jc w:val="left"/>
            </w:pPr>
            <w:r>
              <w:rPr>
                <w:b w:val="0"/>
                <w:sz w:val="20"/>
              </w:rPr>
              <w:t>Your estimate</w:t>
            </w:r>
          </w:p>
        </w:tc>
        <w:tc>
          <w:tcPr>
            <w:tcW w:type="dxa" w:w="2045"/>
            <w:vAlign w:val="center"/>
            <w:tcMar>
              <w:top w:w="78" w:type="dxa"/>
              <w:bottom w:w="78" w:type="dxa"/>
              <w:left w:w="85" w:type="dxa"/>
              <w:right w:w="85" w:type="dxa"/>
            </w:tcMar>
          </w:tcPr>
          <w:p>
            <w:pPr>
              <w:keepNext w:val="0"/>
              <w:spacing w:after="0" w:before="0" w:line="252" w:lineRule="auto"/>
              <w:jc w:val="center"/>
            </w:pPr>
            <w:r>
              <w:rPr>
                <w:b w:val="0"/>
                <w:sz w:val="20"/>
              </w:rPr>
              <w:t>199.234</w:t>
            </w:r>
          </w:p>
        </w:tc>
        <w:tc>
          <w:tcPr>
            <w:tcW w:type="dxa" w:w="2045"/>
            <w:vAlign w:val="center"/>
            <w:tcMar>
              <w:top w:w="78" w:type="dxa"/>
              <w:bottom w:w="78" w:type="dxa"/>
              <w:left w:w="85" w:type="dxa"/>
              <w:right w:w="85" w:type="dxa"/>
            </w:tcMar>
          </w:tcPr>
          <w:p>
            <w:pPr>
              <w:keepNext w:val="0"/>
              <w:spacing w:after="0" w:before="0" w:line="252" w:lineRule="auto"/>
              <w:jc w:val="center"/>
            </w:pPr>
            <w:r>
              <w:rPr>
                <w:b w:val="0"/>
                <w:sz w:val="20"/>
              </w:rPr>
              <w:t>208.824</w:t>
            </w:r>
          </w:p>
        </w:tc>
      </w:tr>
    </w:tbl>
    <w:p>
      <w:pPr>
        <w:spacing w:after="40" w:before="0" w:line="240" w:lineRule="auto"/>
      </w:pPr>
      <w:r>
        <w:rPr>
          <w:sz w:val="6"/>
        </w:rPr>
      </w:r>
    </w:p>
    <w:p>
      <w:r>
        <w:t>This bridge infers consensus shares from its net income and basic EPS. The first three effects use that denominator; the share-count effect is applied last. It is independent arithmetic from the submitted VS Cons table, not a new broker forecast.</w:t>
      </w:r>
    </w:p>
    <w:p>
      <w:r>
        <w:t>“My FY26 EPS difference is essentially operating. In FY27, about 6.3p comes from EBIT, 3.4p from finance costs and 3.5p from shares. I would not describe all of the 7% FY27 premium as a margin call.”</w:t>
      </w:r>
    </w:p>
    <w:p>
      <w:r>
        <w:t>Against your own FY26 base, FY27 EBIT falls 0.96%, adjusted attributable earnings rise only 0.69%, and diluted EPS grows 4.80%. Diluted weighted shares fall 3.93%. The phrase “higher earnings base” should mean above consensus, not strong underlying year-on-year profit growth. By FY29, your EBIT is about 1% below consensus while basic EPS is about 10% above it: the out-year difference is increasingly capital allocation.</w:t>
      </w:r>
    </w:p>
    <w:p>
      <w:pPr>
        <w:pStyle w:val="Heading2"/>
      </w:pPr>
      <w:r>
        <w:t>Finance costs and the awkward cash yield</w:t>
      </w:r>
    </w:p>
    <w:p>
      <w:r>
        <w:t>FY26 net adjusted finance expense is £127.5m, the midpoint of the guidance range. H2 is the remainder after H1. FY27 is £112.1m versus approximately £126.4m implied by the consensus EBIT and PBT numbers. The model uses lower borrowing balances in a no-new-M&amp;A case and an extrapolated finance-income coefficient.</w:t>
      </w:r>
    </w:p>
    <w:p>
      <w:r>
        <w:t>Model row 443 calls that coefficient an implied cash interest yield of 7.89%. It is calculated from total H1 finance income, which includes items other than deposit interest. It is not evidence that Bunzl earns a risk-free 8% on cash while borrowing at approximately 5.9%.</w:t>
      </w:r>
    </w:p>
    <w:p>
      <w:r>
        <w:t>“The label is too broad. It is an implied total finance-income scaling rate. FY26 is anchored to guidance; FY27 financing is a simpler balance-driven estimate and is a less certain part of my EPS premium. I would not defend it as a deposit yield.”</w:t>
      </w:r>
    </w:p>
    <w:p>
      <w:r>
        <w:t>Annualising H1 total finance income without the cash-balance scaling produces £42.6m rather than £47.2m and reduces FY27 diluted EPS by approximately 1.1p. Setting net finance expense to the submitted consensus instead removes about 3.4p basic EPS, leaving about 205.4p. Those sensitivities illustrate its earnings significance without pretending to have rebuilt the debt and hedging schedule.</w:t>
      </w:r>
    </w:p>
    <w:p>
      <w:pPr>
        <w:pStyle w:val="Heading2"/>
      </w:pPr>
      <w:r>
        <w:t>Buyback mechanics and limits</w:t>
      </w:r>
    </w:p>
    <w:p>
      <w:r>
        <w:t>You forecast £250m in FY26, £300m in FY27 and £500m annually from FY28. The first two years sum to £550m, which exceeds the announced £500m programme by £50m. Future programmes and the speed of the current programme are assumptions. Do not describe all forecast repurchases as already authorised.</w:t>
      </w:r>
    </w:p>
    <w:p>
      <w:r>
        <w:t>The assumed repurchase price is £28.09, based on the FY25 realised average. At that price, £250m retires about 8.90m shares; £300m retires 10.68m; £500m retires 17.80m. Weighted-average EPS shares reflect timing and a calibrated adjustment from legal shares to EPS-eligible shares, with 0.8m employee dilution. A buyback completed at year end does not reduce the whole year’s weighted-average denominator.</w:t>
      </w:r>
    </w:p>
    <w:p>
      <w:r>
        <w:t>“I keep one price assumption to make the calculation transparent. It is above the submitted spot and below my target. That is reasonable as a near-term simplifying estimate, but using the same price indefinitely overstates precision. The later EPS path is sensitive to both repurchase price and capital-allocation decisions.”</w:t>
      </w:r>
    </w:p>
    <w:p>
      <w:r>
        <w:t>Buybacks increase EPS mechanically; economic value creation requires paying less than intrinsic value after allowing for the financing opportunity cost. Do not add buyback yield to EPS growth as a second independent shareholder return. An acquisition competes with buybacks for the same cash. Compare post-tax cash returns, growth, working-capital needs, integration costs and risk, not EPS accretion alone.</w:t>
      </w:r>
    </w:p>
    <w:p>
      <w:pPr>
        <w:pStyle w:val="Heading2"/>
      </w:pPr>
      <w:r>
        <w:t>Is there enough cash</w:t>
      </w:r>
    </w:p>
    <w:p>
      <w:r>
        <w:t>FY27 model FCF is £648.7m. After roughly £234.4m dividends and £300m buybacks, about £114.2m remains before other cash items. From FY28, £500m repurchases plus dividends exceed FCF by around £65m, £56m and £46m across FY28–30. Some borrowing funds the later programme. It is incorrect to describe it as fully self-funded after dividends.</w:t>
      </w:r>
    </w:p>
    <w:p>
      <w:r>
        <w:t>Adjusted leverage in the forecast is about 1.82 times FY26 and 1.72 times FY27. The relevant model ratio excludes lease liabilities, includes acquisition consideration and excludes the temporary tariff cash benefit. It is intended to approximate the company’s leverage convention. It is not interchangeable with the adjacent lease-inclusive debt ratio.</w:t>
      </w:r>
    </w:p>
    <w:p>
      <w:r>
        <w:t>At unchanged forecast EBITDA, FY27 capacity is approximately £282m to 2.0 times leverage or £794m to 2.5 times. That is conditional headroom, not cash that can be spent without interest or risk. More acquisitions can add EBITDA, but consideration, earnouts and integration cash must also be included.</w:t>
      </w:r>
    </w:p>
    <w:p>
      <w:pPr>
        <w:pStyle w:val="Heading2"/>
      </w:pPr>
      <w:r>
        <w:t>Normalised cash and the tariff refund</w:t>
      </w:r>
    </w:p>
    <w:p>
      <w:r>
        <w:t>The H1 headline FCF in the workbook is £327.8m; the company’s refund-excluded figure is £256.8m. Removing that £71m difference from the submitted FY26 FCF gives approximately £562.8m, rather than £633.8m. Your quoted 7.7% FCF yield is supportable as FY27 FCF of £648.7m divided by the submitted £8,369.6m market capitalisation, approximately 7.75%.</w:t>
      </w:r>
    </w:p>
    <w:p>
      <w:r>
        <w:t>The leverage build already adds back £68.6m of refund cash when assessing debt capacity. Do not subtract the refund a second time from that headroom. The £68.6m operating-cash adjustment and £71m free-cash adjustment are not identical. The detailed repayment timing and the associated payables should be reconciled before asserting a separate DCF correction.</w:t>
      </w:r>
    </w:p>
    <w:p>
      <w:r>
        <w:t>“I would not treat customer refund cash as recurring cash available for buybacks. The headline cash-flow line includes it, while the leverage calculation excludes the operating cash benefit. My valuation argument should use normalised cash generation.”</w:t>
      </w:r>
    </w:p>
    <w:p>
      <w:pPr>
        <w:pStyle w:val="Heading1"/>
      </w:pPr>
      <w:r>
        <w:t>6 Defending the pitch paragraph by paragraph</w:t>
      </w:r>
    </w:p>
    <w:p>
      <w:pPr>
        <w:pStyle w:val="Heading2"/>
      </w:pPr>
      <w:r>
        <w:t>Recommendation and six month target</w:t>
      </w:r>
    </w:p>
    <w:p>
      <w:r>
        <w:t>Likely question: “Why long for only 10% upside?”</w:t>
      </w:r>
    </w:p>
    <w:p>
      <w:r>
        <w:t>“The return is driven by a defined earnings-upgrade opportunity over the next reporting cycle. I am not claiming a very large valuation cushion. The case requires confidence in price realisation and cost control, with a position size that respects the downside.”</w:t>
      </w:r>
    </w:p>
    <w:p>
      <w:r>
        <w:t>Stay decisive about the submitted long recommendation without pretending the asymmetry is exceptional. A 12 times multiple on consensus FY27 basic EPS gives approximately 2,348p, or 11% downside from the submitted price. At 11 times, it is approximately 2,152p, or 18% downside. These are illustrative stress cases, not submitted forecasts or empirically estimated probabilities.</w:t>
      </w:r>
    </w:p>
    <w:p>
      <w:pPr>
        <w:pStyle w:val="Heading2"/>
      </w:pPr>
      <w:r>
        <w:t>Consensus normalises the pricing benefit too quickly</w:t>
      </w:r>
    </w:p>
    <w:p>
      <w:r>
        <w:t>Likely question: “Have you read each analyst’s cost assumption?”</w:t>
      </w:r>
    </w:p>
    <w:p>
      <w:r>
        <w:t>“The consensus outcome is lower H2 profitability than my forecast. My interpretation is that it allows less retained pricing benefit, but the aggregate table does not identify each broker’s exact commodity curve or cost assumption. My variant is the earnings outcome supported by my price and cost build.”</w:t>
      </w:r>
    </w:p>
    <w:p>
      <w:r>
        <w:t>Management identifying a temporary benefit makes it reasonable to examine normalisation. It does not establish that management or consensus is wrong, nor does it disclose their precise assumed commodity curve. Avoid “management is always conservative.”</w:t>
      </w:r>
    </w:p>
    <w:p>
      <w:pPr>
        <w:pStyle w:val="Heading2"/>
      </w:pPr>
      <w:r>
        <w:t>Inventory and percentage mark ups</w:t>
      </w:r>
    </w:p>
    <w:p>
      <w:r>
        <w:t>Likely question: “You are capitalising a temporary profit. Why?”</w:t>
      </w:r>
    </w:p>
    <w:p>
      <w:r>
        <w:t>“I would not put a recurring P/E on a one-off inventory gain. The valuation rests on cash earnings after the timing benefit normalises. Higher nominal gross-profit pounds can persist if the product price level stays higher and percentage margins survive, while the temporary lag benefit reverses.”</w:t>
      </w:r>
    </w:p>
    <w:p>
      <w:r>
        <w:t>The isolated £6.4m H2 timing gain is only about 1.5p per share after tax as a one-off cash amount, before working-capital and discounting effects. It cannot by itself justify a 262p share-price increase. The long needs sustainable cash earnings, costs and capital allocation to support the target.</w:t>
      </w:r>
    </w:p>
    <w:p>
      <w:r>
        <w:t>The six-month horizon also spans the modelled H1 2027 price-cost squeeze. FY26 results may reveal both a strong H2 and a weaker next half. Be prepared to explain why the market would upgrade the earnings level rather than dismiss H2 as timing. “Because FY26 beat” is not a sufficient answer.</w:t>
      </w:r>
    </w:p>
    <w:p>
      <w:pPr>
        <w:pStyle w:val="Heading2"/>
      </w:pPr>
      <w:r>
        <w:t>Cash generation and M and A optionality</w:t>
      </w:r>
    </w:p>
    <w:p>
      <w:r>
        <w:t>Likely question: “Is the buyback already in the price?”</w:t>
      </w:r>
    </w:p>
    <w:p>
      <w:r>
        <w:t>“The announced programme is known and supports the forecast, rather than being a surprise catalyst. The primary catalyst is earnings delivery. Any additional programme or deal is secondary. I would compare its effect with the cash use already assumed in the model.”</w:t>
      </w:r>
    </w:p>
    <w:p>
      <w:r>
        <w:t>The no-unannounced-M&amp;A case is a transparent baseline for earnings from existing operations. It also naturally leads to lower debt and more repurchases. You cannot simultaneously claim the no-M&amp;A financing benefit and the full EPS benefit of future deals without revisiting funding and buybacks.</w:t>
      </w:r>
    </w:p>
    <w:p>
      <w:pPr>
        <w:pStyle w:val="Heading2"/>
      </w:pPr>
      <w:r>
        <w:t>Peer discount and target multiple</w:t>
      </w:r>
    </w:p>
    <w:p>
      <w:r>
        <w:t>The own-company valuation is reproducible: 2,638p divided by FY27 diluted EPS of 208.28p is 12.67 times; 2,900p implies 13.92 times. The submitted peer figures of 18.7 times earnings and 4.9% FCF yield cannot be reconstructed from the three attached files. Do not invent peer constituents, weights or their cash-flow definitions. Treat the peer comparison as context unless you have its original supporting schedule to hand.</w:t>
      </w:r>
    </w:p>
    <w:p>
      <w:r>
        <w:t>“A discount is warranted because organic growth, reinvestment opportunities, end markets and capital allocation differ. I do not require Bunzl to trade at the peer average. The question is whether its sustainable cash earnings justify approximately 14 times, with the remaining discount reflecting those differences.”</w:t>
      </w:r>
    </w:p>
    <w:p>
      <w:r>
        <w:t>An exact return decomposition avoids double counting. The submitted spot divided by consensus FY27 basic EPS implies 13.483 times. Applying that same multiple to your 208.82p gives about 2,816p, or 6.7% upside. A further approximately 3% multiple increase reaches 2,900p. Do not add 7% EPS upside to the full approximately 10% rerating measured on your own fixed EPS base.</w:t>
      </w:r>
    </w:p>
    <w:p>
      <w:pPr>
        <w:pStyle w:val="Heading2"/>
      </w:pPr>
      <w:r>
        <w:t>Why now and the commodity evidence</w:t>
      </w:r>
    </w:p>
    <w:p>
      <w:r>
        <w:t>The approximately 20% Brent statement can be supported with a specific series: EIA Europe Brent spot FOB rises from $96.02 on 1 September to $114.89 on 22 September 2026, a 19.65% increase. Say “Brent spot” and name the dates. It is not the same as a front-month futures return, and different contracts can give a different answer.</w:t>
      </w:r>
    </w:p>
    <w:p>
      <w:r>
        <w:t>The tracker itself stops at August observations and carries them forward. Therefore the post-results September move is supplementary evidence, not a quantitatively integrated September price forecast. A good answer is: “The model isolates carryover from the observed August level; September spot strength made me more interested in the persistence risk, but the commercial transmission still has to be established.”</w:t>
      </w:r>
    </w:p>
    <w:p>
      <w:r>
        <w:t>Do not apply 20% oil inflation to 30% of Bunzl purchases and call it 6% cost inflation. The 30% refers to plastic-related purchased products, with processing, labour, transport, supplier margin and different feedstocks included. The resin content is only part of the finished price.</w:t>
      </w:r>
    </w:p>
    <w:p>
      <w:pPr>
        <w:pStyle w:val="Heading2"/>
      </w:pPr>
      <w:r>
        <w:t>Catalysts and the evidence that would change your mind</w:t>
      </w:r>
    </w:p>
    <w:p>
      <w:r>
        <w:t>The first scheduled catalyst is the Q3 update on 20 October 2026. It can test sales growth, commentary and the outlook; it may not disclose sufficient gross-profit detail to verify your spread. Reiterating 7.6% guidance is not confirmation of your above-guidance 8.0% case.</w:t>
      </w:r>
    </w:p>
    <w:p>
      <w:r>
        <w:t>Your risk paragraph says adverse price-cost spread alongside weakening volumes would trigger reassessment. Tighten this orally: the model already forecasts adverse H1 2027 spread and slower volumes. Failure means materially worse than that expected path, or one sufficiently large adverse factor that consumes the earnings premium. You do not need both negative pricing economics and falling volumes before changing your 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953"/>
        <w:gridCol w:w="3953"/>
      </w:tblGrid>
      <w:tr>
        <w:trPr>
          <w:cantSplit/>
          <w:tblHeader/>
        </w:trPr>
        <w:tc>
          <w:tcPr>
            <w:tcW w:type="dxa" w:w="2088"/>
            <w:vAlign w:val="center"/>
            <w:tcMar>
              <w:top w:w="78" w:type="dxa"/>
              <w:bottom w:w="78" w:type="dxa"/>
              <w:left w:w="85" w:type="dxa"/>
              <w:right w:w="85" w:type="dxa"/>
            </w:tcMar>
            <w:shd w:fill="EAEAEA"/>
          </w:tcPr>
          <w:p>
            <w:pPr>
              <w:keepNext/>
              <w:spacing w:after="0" w:before="0" w:line="252" w:lineRule="auto"/>
              <w:jc w:val="left"/>
            </w:pPr>
            <w:r>
              <w:rPr>
                <w:b/>
                <w:sz w:val="20"/>
              </w:rPr>
              <w:t>Milestone</w:t>
            </w:r>
          </w:p>
        </w:tc>
        <w:tc>
          <w:tcPr>
            <w:tcW w:type="dxa" w:w="3953"/>
            <w:vAlign w:val="center"/>
            <w:tcMar>
              <w:top w:w="78" w:type="dxa"/>
              <w:bottom w:w="78" w:type="dxa"/>
              <w:left w:w="85" w:type="dxa"/>
              <w:right w:w="85" w:type="dxa"/>
            </w:tcMar>
            <w:shd w:fill="EAEAEA"/>
          </w:tcPr>
          <w:p>
            <w:pPr>
              <w:keepNext/>
              <w:spacing w:after="0" w:before="0" w:line="252" w:lineRule="auto"/>
              <w:jc w:val="left"/>
            </w:pPr>
            <w:r>
              <w:rPr>
                <w:b/>
                <w:sz w:val="20"/>
              </w:rPr>
              <w:t>What would support the case</w:t>
            </w:r>
          </w:p>
        </w:tc>
        <w:tc>
          <w:tcPr>
            <w:tcW w:type="dxa" w:w="3953"/>
            <w:vAlign w:val="center"/>
            <w:tcMar>
              <w:top w:w="78" w:type="dxa"/>
              <w:bottom w:w="78" w:type="dxa"/>
              <w:left w:w="85" w:type="dxa"/>
              <w:right w:w="85" w:type="dxa"/>
            </w:tcMar>
            <w:shd w:fill="EAEAEA"/>
          </w:tcPr>
          <w:p>
            <w:pPr>
              <w:keepNext/>
              <w:spacing w:after="0" w:before="0" w:line="252" w:lineRule="auto"/>
              <w:jc w:val="left"/>
            </w:pPr>
            <w:r>
              <w:rPr>
                <w:b/>
                <w:sz w:val="20"/>
              </w:rPr>
              <w:t>What would challenge it</w:t>
            </w:r>
          </w:p>
        </w:tc>
      </w:tr>
      <w:tr>
        <w:trPr>
          <w:cantSplit/>
        </w:trPr>
        <w:tc>
          <w:tcPr>
            <w:tcW w:type="dxa" w:w="2088"/>
            <w:vAlign w:val="center"/>
            <w:tcMar>
              <w:top w:w="78" w:type="dxa"/>
              <w:bottom w:w="78" w:type="dxa"/>
              <w:left w:w="85" w:type="dxa"/>
              <w:right w:w="85" w:type="dxa"/>
            </w:tcMar>
          </w:tcPr>
          <w:p>
            <w:pPr>
              <w:keepNext/>
              <w:spacing w:after="0" w:before="0" w:line="252" w:lineRule="auto"/>
              <w:jc w:val="left"/>
            </w:pPr>
            <w:r>
              <w:rPr>
                <w:b w:val="0"/>
                <w:sz w:val="20"/>
              </w:rPr>
              <w:t>Product pricing before results</w:t>
            </w:r>
          </w:p>
        </w:tc>
        <w:tc>
          <w:tcPr>
            <w:tcW w:type="dxa" w:w="3953"/>
            <w:vAlign w:val="center"/>
            <w:tcMar>
              <w:top w:w="78" w:type="dxa"/>
              <w:bottom w:w="78" w:type="dxa"/>
              <w:left w:w="85" w:type="dxa"/>
              <w:right w:w="85" w:type="dxa"/>
            </w:tcMar>
          </w:tcPr>
          <w:p>
            <w:pPr>
              <w:keepNext/>
              <w:spacing w:after="0" w:before="0" w:line="252" w:lineRule="auto"/>
              <w:jc w:val="left"/>
            </w:pPr>
            <w:r>
              <w:rPr>
                <w:b w:val="0"/>
                <w:sz w:val="20"/>
              </w:rPr>
              <w:t>Achieved customer increases broadly matching the supplier-cost proxy</w:t>
            </w:r>
          </w:p>
        </w:tc>
        <w:tc>
          <w:tcPr>
            <w:tcW w:type="dxa" w:w="3953"/>
            <w:vAlign w:val="center"/>
            <w:tcMar>
              <w:top w:w="78" w:type="dxa"/>
              <w:bottom w:w="78" w:type="dxa"/>
              <w:left w:w="85" w:type="dxa"/>
              <w:right w:w="85" w:type="dxa"/>
            </w:tcMar>
          </w:tcPr>
          <w:p>
            <w:pPr>
              <w:keepNext/>
              <w:spacing w:after="0" w:before="0" w:line="252" w:lineRule="auto"/>
              <w:jc w:val="left"/>
            </w:pPr>
            <w:r>
              <w:rPr>
                <w:b w:val="0"/>
                <w:sz w:val="20"/>
              </w:rPr>
              <w:t>Higher raw inputs with weak finished-product or customer pricing</w:t>
            </w:r>
          </w:p>
        </w:tc>
      </w:tr>
      <w:tr>
        <w:trPr>
          <w:cantSplit/>
        </w:trPr>
        <w:tc>
          <w:tcPr>
            <w:tcW w:type="dxa" w:w="2088"/>
            <w:vAlign w:val="center"/>
            <w:tcMar>
              <w:top w:w="78" w:type="dxa"/>
              <w:bottom w:w="78" w:type="dxa"/>
              <w:left w:w="85" w:type="dxa"/>
              <w:right w:w="85" w:type="dxa"/>
            </w:tcMar>
          </w:tcPr>
          <w:p>
            <w:pPr>
              <w:keepNext/>
              <w:spacing w:after="0" w:before="0" w:line="252" w:lineRule="auto"/>
              <w:jc w:val="left"/>
            </w:pPr>
            <w:r>
              <w:rPr>
                <w:b w:val="0"/>
                <w:sz w:val="20"/>
              </w:rPr>
              <w:t>Q3 update on 20 October</w:t>
            </w:r>
          </w:p>
        </w:tc>
        <w:tc>
          <w:tcPr>
            <w:tcW w:type="dxa" w:w="3953"/>
            <w:vAlign w:val="center"/>
            <w:tcMar>
              <w:top w:w="78" w:type="dxa"/>
              <w:bottom w:w="78" w:type="dxa"/>
              <w:left w:w="85" w:type="dxa"/>
              <w:right w:w="85" w:type="dxa"/>
            </w:tcMar>
          </w:tcPr>
          <w:p>
            <w:pPr>
              <w:keepNext/>
              <w:spacing w:after="0" w:before="0" w:line="252" w:lineRule="auto"/>
              <w:jc w:val="left"/>
            </w:pPr>
            <w:r>
              <w:rPr>
                <w:b w:val="0"/>
                <w:sz w:val="20"/>
              </w:rPr>
              <w:t>Sales and commentary consistent with the H2 build; support for better profitability</w:t>
            </w:r>
          </w:p>
        </w:tc>
        <w:tc>
          <w:tcPr>
            <w:tcW w:type="dxa" w:w="3953"/>
            <w:vAlign w:val="center"/>
            <w:tcMar>
              <w:top w:w="78" w:type="dxa"/>
              <w:bottom w:w="78" w:type="dxa"/>
              <w:left w:w="85" w:type="dxa"/>
              <w:right w:w="85" w:type="dxa"/>
            </w:tcMar>
          </w:tcPr>
          <w:p>
            <w:pPr>
              <w:keepNext/>
              <w:spacing w:after="0" w:before="0" w:line="252" w:lineRule="auto"/>
              <w:jc w:val="left"/>
            </w:pPr>
            <w:r>
              <w:rPr>
                <w:b w:val="0"/>
                <w:sz w:val="20"/>
              </w:rPr>
              <w:t>Continued normalisation, adverse mix or own-cost pressure without price delivery</w:t>
            </w:r>
          </w:p>
        </w:tc>
      </w:tr>
      <w:tr>
        <w:trPr>
          <w:cantSplit/>
        </w:trPr>
        <w:tc>
          <w:tcPr>
            <w:tcW w:type="dxa" w:w="2088"/>
            <w:vAlign w:val="center"/>
            <w:tcMar>
              <w:top w:w="78" w:type="dxa"/>
              <w:bottom w:w="78" w:type="dxa"/>
              <w:left w:w="85" w:type="dxa"/>
              <w:right w:w="85" w:type="dxa"/>
            </w:tcMar>
          </w:tcPr>
          <w:p>
            <w:pPr>
              <w:keepNext/>
              <w:spacing w:after="0" w:before="0" w:line="252" w:lineRule="auto"/>
              <w:jc w:val="left"/>
            </w:pPr>
            <w:r>
              <w:rPr>
                <w:b w:val="0"/>
                <w:sz w:val="20"/>
              </w:rPr>
              <w:t>FY26 results</w:t>
            </w:r>
          </w:p>
        </w:tc>
        <w:tc>
          <w:tcPr>
            <w:tcW w:type="dxa" w:w="3953"/>
            <w:vAlign w:val="center"/>
            <w:tcMar>
              <w:top w:w="78" w:type="dxa"/>
              <w:bottom w:w="78" w:type="dxa"/>
              <w:left w:w="85" w:type="dxa"/>
              <w:right w:w="85" w:type="dxa"/>
            </w:tcMar>
          </w:tcPr>
          <w:p>
            <w:pPr>
              <w:keepNext/>
              <w:spacing w:after="0" w:before="0" w:line="252" w:lineRule="auto"/>
              <w:jc w:val="left"/>
            </w:pPr>
            <w:r>
              <w:rPr>
                <w:b w:val="0"/>
                <w:sz w:val="20"/>
              </w:rPr>
              <w:t>H2 EBIT near £547m with credible cash conversion</w:t>
            </w:r>
          </w:p>
        </w:tc>
        <w:tc>
          <w:tcPr>
            <w:tcW w:type="dxa" w:w="3953"/>
            <w:vAlign w:val="center"/>
            <w:tcMar>
              <w:top w:w="78" w:type="dxa"/>
              <w:bottom w:w="78" w:type="dxa"/>
              <w:left w:w="85" w:type="dxa"/>
              <w:right w:w="85" w:type="dxa"/>
            </w:tcMar>
          </w:tcPr>
          <w:p>
            <w:pPr>
              <w:keepNext/>
              <w:spacing w:after="0" w:before="0" w:line="252" w:lineRule="auto"/>
              <w:jc w:val="left"/>
            </w:pPr>
            <w:r>
              <w:rPr>
                <w:b w:val="0"/>
                <w:sz w:val="20"/>
              </w:rPr>
              <w:t>Profit nearer submitted consensus £495m, or uplift lost in expenses</w:t>
            </w:r>
          </w:p>
        </w:tc>
      </w:tr>
      <w:tr>
        <w:trPr>
          <w:cantSplit/>
        </w:trPr>
        <w:tc>
          <w:tcPr>
            <w:tcW w:type="dxa" w:w="2088"/>
            <w:vAlign w:val="center"/>
            <w:tcMar>
              <w:top w:w="78" w:type="dxa"/>
              <w:bottom w:w="78" w:type="dxa"/>
              <w:left w:w="85" w:type="dxa"/>
              <w:right w:w="85" w:type="dxa"/>
            </w:tcMar>
          </w:tcPr>
          <w:p>
            <w:pPr>
              <w:keepNext w:val="0"/>
              <w:spacing w:after="0" w:before="0" w:line="252" w:lineRule="auto"/>
              <w:jc w:val="left"/>
            </w:pPr>
            <w:r>
              <w:rPr>
                <w:b w:val="0"/>
                <w:sz w:val="20"/>
              </w:rPr>
              <w:t>FY27 outlook</w:t>
            </w:r>
          </w:p>
        </w:tc>
        <w:tc>
          <w:tcPr>
            <w:tcW w:type="dxa" w:w="3953"/>
            <w:vAlign w:val="center"/>
            <w:tcMar>
              <w:top w:w="78" w:type="dxa"/>
              <w:bottom w:w="78" w:type="dxa"/>
              <w:left w:w="85" w:type="dxa"/>
              <w:right w:w="85" w:type="dxa"/>
            </w:tcMar>
          </w:tcPr>
          <w:p>
            <w:pPr>
              <w:keepNext w:val="0"/>
              <w:spacing w:after="0" w:before="0" w:line="252" w:lineRule="auto"/>
              <w:jc w:val="left"/>
            </w:pPr>
            <w:r>
              <w:rPr>
                <w:b w:val="0"/>
                <w:sz w:val="20"/>
              </w:rPr>
              <w:t>Normalisation within the modelled path and financing/share-count support</w:t>
            </w:r>
          </w:p>
        </w:tc>
        <w:tc>
          <w:tcPr>
            <w:tcW w:type="dxa" w:w="3953"/>
            <w:vAlign w:val="center"/>
            <w:tcMar>
              <w:top w:w="78" w:type="dxa"/>
              <w:bottom w:w="78" w:type="dxa"/>
              <w:left w:w="85" w:type="dxa"/>
              <w:right w:w="85" w:type="dxa"/>
            </w:tcMar>
          </w:tcPr>
          <w:p>
            <w:pPr>
              <w:keepNext w:val="0"/>
              <w:spacing w:after="0" w:before="0" w:line="252" w:lineRule="auto"/>
              <w:jc w:val="left"/>
            </w:pPr>
            <w:r>
              <w:rPr>
                <w:b w:val="0"/>
                <w:sz w:val="20"/>
              </w:rPr>
              <w:t>More severe margin erosion, absent savings or less repurchasing</w:t>
            </w:r>
          </w:p>
        </w:tc>
      </w:tr>
    </w:tbl>
    <w:p>
      <w:pPr>
        <w:spacing w:after="40" w:before="0" w:line="240" w:lineRule="auto"/>
      </w:pPr>
      <w:r>
        <w:rPr>
          <w:sz w:val="6"/>
        </w:rPr>
      </w:r>
    </w:p>
    <w:p>
      <w:r>
        <w:t>If only sales rise while gross profit, cash or customer retention disappoint, the thesis is not proven. Do not move the benefit forward indefinitely to avoid admitting a miss.</w:t>
      </w:r>
    </w:p>
    <w:p>
      <w:pPr>
        <w:pStyle w:val="Heading2"/>
      </w:pPr>
      <w:r>
        <w:t>The further work list in your pitch</w:t>
      </w:r>
    </w:p>
    <w:p>
      <w:r>
        <w:t>Prioritise one improvement: commercial validation of price transmission. Supplier inventories, customer reset clauses and achieved prices matter more than adding many more raw commodity series. Next comes a quantified own-cost savings bridge, because flat FY27 other opex is material. Acquisition cohort returns are useful for long-term capital allocation, but they are not a substitute for validating the core near-term thesis.</w:t>
      </w:r>
    </w:p>
    <w:p>
      <w:r>
        <w:t>The suggestion that more employee and depreciation detail would reveal regional COGS is incomplete. Those disclosures clarify own costs; they do not uniquely determine undisclosed regional gross margins. Say you would seek actual regional procurement/gross-profit data, rather than solve an unidentified residual with invented detail.</w:t>
      </w:r>
    </w:p>
    <w:p>
      <w:r>
        <w:t>Treat the North America separation/SOTP idea as an alternative to investigate. Do not claim a verified, executable transaction or a published Elliott valuation from these files. Your base case assigns no separation proceeds, so it does not require that optionality.</w:t>
      </w:r>
    </w:p>
    <w:p>
      <w:pPr>
        <w:pStyle w:val="Heading1"/>
      </w:pPr>
      <w:r>
        <w:t>7 Valuation and the rest of the model</w:t>
      </w:r>
    </w:p>
    <w:p>
      <w:pPr>
        <w:pStyle w:val="Heading2"/>
      </w:pPr>
      <w:r>
        <w:t>Why the DCF is a cross check</w:t>
      </w:r>
    </w:p>
    <w:p>
      <w:r>
        <w:t>The submitted DCF is 2,928.9p, reasonably rounded down to 2,900p in the pitch. It uses a fixed valuation date of 28 September, a 25 September share price and a 27 September capitalisation estimate. These are submitted snapshots, not a live valuation. Do not mix them with today’s price while describing the original expected return.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6538"/>
      </w:tblGrid>
      <w:tr>
        <w:trPr>
          <w:cantSplit/>
          <w:tblHeader/>
        </w:trPr>
        <w:tc>
          <w:tcPr>
            <w:tcW w:type="dxa" w:w="3456"/>
            <w:vAlign w:val="center"/>
            <w:tcMar>
              <w:top w:w="78" w:type="dxa"/>
              <w:bottom w:w="78" w:type="dxa"/>
              <w:left w:w="85" w:type="dxa"/>
              <w:right w:w="85" w:type="dxa"/>
            </w:tcMar>
            <w:shd w:fill="EAEAEA"/>
          </w:tcPr>
          <w:p>
            <w:pPr>
              <w:keepNext/>
              <w:spacing w:after="0" w:before="0" w:line="252" w:lineRule="auto"/>
              <w:jc w:val="left"/>
            </w:pPr>
            <w:r>
              <w:rPr>
                <w:b/>
                <w:sz w:val="20"/>
              </w:rPr>
              <w:t>WACC input</w:t>
            </w:r>
          </w:p>
        </w:tc>
        <w:tc>
          <w:tcPr>
            <w:tcW w:type="dxa" w:w="6538"/>
            <w:vAlign w:val="center"/>
            <w:tcMar>
              <w:top w:w="78" w:type="dxa"/>
              <w:bottom w:w="78" w:type="dxa"/>
              <w:left w:w="85" w:type="dxa"/>
              <w:right w:w="85" w:type="dxa"/>
            </w:tcMar>
            <w:shd w:fill="EAEAEA"/>
          </w:tcPr>
          <w:p>
            <w:pPr>
              <w:keepNext/>
              <w:spacing w:after="0" w:before="0" w:line="252" w:lineRule="auto"/>
              <w:jc w:val="left"/>
            </w:pPr>
            <w:r>
              <w:rPr>
                <w:b/>
                <w:sz w:val="20"/>
              </w:rPr>
              <w:t>Submitted assumption</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Risk-free rate</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5.35%</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Equity beta</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0.75</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Equity risk premium</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4.25%</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Cost of equity</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8.5375%</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Debt spread</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1.00%</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Pre-tax debt cost</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6.35%</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Tax rate</w:t>
            </w:r>
          </w:p>
        </w:tc>
        <w:tc>
          <w:tcPr>
            <w:tcW w:type="dxa" w:w="6538"/>
            <w:vAlign w:val="center"/>
            <w:tcMar>
              <w:top w:w="78" w:type="dxa"/>
              <w:bottom w:w="78" w:type="dxa"/>
              <w:left w:w="85" w:type="dxa"/>
              <w:right w:w="85" w:type="dxa"/>
            </w:tcMar>
          </w:tcPr>
          <w:p>
            <w:pPr>
              <w:keepNext w:val="0"/>
              <w:spacing w:after="0" w:before="0" w:line="252" w:lineRule="auto"/>
              <w:jc w:val="left"/>
            </w:pPr>
            <w:r>
              <w:rPr>
                <w:b w:val="0"/>
                <w:sz w:val="20"/>
              </w:rPr>
              <w:t>Approximately 26%</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Equity and debt weights</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79.82% and 20.18%</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Calculated WACC</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7.763%</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Applied WACC</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7.8%</w:t>
            </w:r>
          </w:p>
        </w:tc>
      </w:tr>
      <w:tr>
        <w:trPr>
          <w:cantSplit/>
        </w:trPr>
        <w:tc>
          <w:tcPr>
            <w:tcW w:type="dxa" w:w="3456"/>
            <w:vAlign w:val="center"/>
            <w:tcMar>
              <w:top w:w="78" w:type="dxa"/>
              <w:bottom w:w="78" w:type="dxa"/>
              <w:left w:w="85" w:type="dxa"/>
              <w:right w:w="85" w:type="dxa"/>
            </w:tcMar>
          </w:tcPr>
          <w:p>
            <w:pPr>
              <w:keepNext w:val="0"/>
              <w:spacing w:after="0" w:before="0" w:line="252" w:lineRule="auto"/>
              <w:jc w:val="left"/>
            </w:pPr>
            <w:r>
              <w:rPr>
                <w:b w:val="0"/>
                <w:sz w:val="20"/>
              </w:rPr>
              <w:t>Terminal growth</w:t>
            </w:r>
          </w:p>
        </w:tc>
        <w:tc>
          <w:tcPr>
            <w:tcW w:type="dxa" w:w="6538"/>
            <w:vAlign w:val="center"/>
            <w:tcMar>
              <w:top w:w="78" w:type="dxa"/>
              <w:bottom w:w="78" w:type="dxa"/>
              <w:left w:w="85" w:type="dxa"/>
              <w:right w:w="85" w:type="dxa"/>
            </w:tcMar>
          </w:tcPr>
          <w:p>
            <w:pPr>
              <w:keepNext w:val="0"/>
              <w:spacing w:after="0" w:before="0" w:line="252" w:lineRule="auto"/>
              <w:jc w:val="center"/>
            </w:pPr>
            <w:r>
              <w:rPr>
                <w:b w:val="0"/>
                <w:sz w:val="20"/>
              </w:rPr>
              <w:t>1.936%</w:t>
            </w:r>
          </w:p>
        </w:tc>
      </w:tr>
    </w:tbl>
    <w:p>
      <w:pPr>
        <w:spacing w:after="40" w:before="0" w:line="240" w:lineRule="auto"/>
      </w:pPr>
      <w:r>
        <w:rPr>
          <w:sz w:val="6"/>
        </w:rPr>
      </w:r>
    </w:p>
    <w:p>
      <w:r>
        <w:t>Valuation!K36:K48 and terminal assumptions. Do not call beta a current regression estimate unless you have its original source. The rationale is a relatively defensive, diversified distributor, but business resilience does not make the precise discount rate observable.</w:t>
      </w:r>
    </w:p>
    <w:p>
      <w:r>
        <w:t>The forecast extends to 2040, then values 2041 cash flow in perpetuity. Later growth and operating ratios are largely extrapolations. Terminal operating margin is around 7.49%, below FY26, so the DCF does not hold the peak margin forever. Terminal value is still about 44.9% of enterprise value.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75"/>
        <w:gridCol w:w="1973"/>
        <w:gridCol w:w="1973"/>
        <w:gridCol w:w="1973"/>
      </w:tblGrid>
      <w:tr>
        <w:trPr>
          <w:cantSplit/>
          <w:tblHeader/>
        </w:trPr>
        <w:tc>
          <w:tcPr>
            <w:tcW w:type="dxa" w:w="4075"/>
            <w:vAlign w:val="center"/>
            <w:tcMar>
              <w:top w:w="78" w:type="dxa"/>
              <w:bottom w:w="78" w:type="dxa"/>
              <w:left w:w="85" w:type="dxa"/>
              <w:right w:w="85" w:type="dxa"/>
            </w:tcMar>
            <w:shd w:fill="EAEAEA"/>
          </w:tcPr>
          <w:p>
            <w:pPr>
              <w:keepNext/>
              <w:spacing w:after="0" w:before="0" w:line="252" w:lineRule="auto"/>
              <w:jc w:val="left"/>
            </w:pPr>
            <w:r>
              <w:rPr>
                <w:b/>
                <w:sz w:val="20"/>
              </w:rPr>
              <w:t>Independent DCF value p</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Terminal growth 1.436%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Terminal growth 1.936%</w:t>
            </w:r>
          </w:p>
        </w:tc>
        <w:tc>
          <w:tcPr>
            <w:tcW w:type="dxa" w:w="1973"/>
            <w:vAlign w:val="center"/>
            <w:tcMar>
              <w:top w:w="78" w:type="dxa"/>
              <w:bottom w:w="78" w:type="dxa"/>
              <w:left w:w="85" w:type="dxa"/>
              <w:right w:w="85" w:type="dxa"/>
            </w:tcMar>
            <w:shd w:fill="EAEAEA"/>
          </w:tcPr>
          <w:p>
            <w:pPr>
              <w:keepNext/>
              <w:spacing w:after="0" w:before="0" w:line="252" w:lineRule="auto"/>
              <w:jc w:val="center"/>
            </w:pPr>
            <w:r>
              <w:rPr>
                <w:b/>
                <w:sz w:val="20"/>
              </w:rPr>
              <w:t>Terminal growth 2.436%</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WACC 7.3%</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3,081</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3,246</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3,445</w:t>
            </w:r>
          </w:p>
        </w:tc>
      </w:tr>
      <w:tr>
        <w:trPr>
          <w:cantSplit/>
        </w:trPr>
        <w:tc>
          <w:tcPr>
            <w:tcW w:type="dxa" w:w="4075"/>
            <w:vAlign w:val="center"/>
            <w:tcMar>
              <w:top w:w="78" w:type="dxa"/>
              <w:bottom w:w="78" w:type="dxa"/>
              <w:left w:w="85" w:type="dxa"/>
              <w:right w:w="85" w:type="dxa"/>
            </w:tcMar>
          </w:tcPr>
          <w:p>
            <w:pPr>
              <w:keepNext/>
              <w:spacing w:after="0" w:before="0" w:line="252" w:lineRule="auto"/>
              <w:jc w:val="left"/>
            </w:pPr>
            <w:r>
              <w:rPr>
                <w:b w:val="0"/>
                <w:sz w:val="20"/>
              </w:rPr>
              <w:t>WACC 7.8%</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2,798</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2,929</w:t>
            </w:r>
          </w:p>
        </w:tc>
        <w:tc>
          <w:tcPr>
            <w:tcW w:type="dxa" w:w="1973"/>
            <w:vAlign w:val="center"/>
            <w:tcMar>
              <w:top w:w="78" w:type="dxa"/>
              <w:bottom w:w="78" w:type="dxa"/>
              <w:left w:w="85" w:type="dxa"/>
              <w:right w:w="85" w:type="dxa"/>
            </w:tcMar>
          </w:tcPr>
          <w:p>
            <w:pPr>
              <w:keepNext/>
              <w:spacing w:after="0" w:before="0" w:line="252" w:lineRule="auto"/>
              <w:jc w:val="center"/>
            </w:pPr>
            <w:r>
              <w:rPr>
                <w:b w:val="0"/>
                <w:sz w:val="20"/>
              </w:rPr>
              <w:t>3,084</w:t>
            </w:r>
          </w:p>
        </w:tc>
      </w:tr>
      <w:tr>
        <w:trPr>
          <w:cantSplit/>
        </w:trPr>
        <w:tc>
          <w:tcPr>
            <w:tcW w:type="dxa" w:w="4075"/>
            <w:vAlign w:val="center"/>
            <w:tcMar>
              <w:top w:w="78" w:type="dxa"/>
              <w:bottom w:w="78" w:type="dxa"/>
              <w:left w:w="85" w:type="dxa"/>
              <w:right w:w="85" w:type="dxa"/>
            </w:tcMar>
          </w:tcPr>
          <w:p>
            <w:pPr>
              <w:keepNext w:val="0"/>
              <w:spacing w:after="0" w:before="0" w:line="252" w:lineRule="auto"/>
              <w:jc w:val="left"/>
            </w:pPr>
            <w:r>
              <w:rPr>
                <w:b w:val="0"/>
                <w:sz w:val="20"/>
              </w:rPr>
              <w:t>WACC 8.3%</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2,556</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2,661</w:t>
            </w:r>
          </w:p>
        </w:tc>
        <w:tc>
          <w:tcPr>
            <w:tcW w:type="dxa" w:w="1973"/>
            <w:vAlign w:val="center"/>
            <w:tcMar>
              <w:top w:w="78" w:type="dxa"/>
              <w:bottom w:w="78" w:type="dxa"/>
              <w:left w:w="85" w:type="dxa"/>
              <w:right w:w="85" w:type="dxa"/>
            </w:tcMar>
          </w:tcPr>
          <w:p>
            <w:pPr>
              <w:keepNext w:val="0"/>
              <w:spacing w:after="0" w:before="0" w:line="252" w:lineRule="auto"/>
              <w:jc w:val="center"/>
            </w:pPr>
            <w:r>
              <w:rPr>
                <w:b w:val="0"/>
                <w:sz w:val="20"/>
              </w:rPr>
              <w:t>2,785</w:t>
            </w:r>
          </w:p>
        </w:tc>
      </w:tr>
    </w:tbl>
    <w:p>
      <w:pPr>
        <w:spacing w:after="40" w:before="0" w:line="240" w:lineRule="auto"/>
      </w:pPr>
      <w:r>
        <w:rPr>
          <w:sz w:val="6"/>
        </w:rPr>
      </w:r>
    </w:p>
    <w:p>
      <w:r>
        <w:t>This sensitivity holds forecast cash flows, the capitalisation bridge and shares fixed, recalculating discounting and the terminal cash-flow growth consistently. It is independent arithmetic, not a native Excel data table. A 50bp higher WACC nearly eliminates the DCF upside. Do not defend 2,929p as a precise measured value.</w:t>
      </w:r>
    </w:p>
    <w:p>
      <w:pPr>
        <w:pStyle w:val="Heading2"/>
      </w:pPr>
      <w:r>
        <w:t>Leases and buybacks in the DCF</w:t>
      </w:r>
    </w:p>
    <w:p>
      <w:r>
        <w:t>Cash leases are treated as operating outflows: the calculation adds back ROU depreciation and deducts cash lease principal and interest. Lease debt is therefore excluded from the DCF equity bridge. Adding lease debt as well would double count that burden. Non-lease capex and other depreciation are handled separately.</w:t>
      </w:r>
    </w:p>
    <w:p>
      <w:r>
        <w:t>The DCF excludes future buyback financing outflows and uses estimated spot diluted shares. Current shares, enterprise cash flows and current net debt form a consistent current equity valuation. Do not divide that unchanged equity value by a smaller future share count without accounting for the repurchase cash and timing. A consistently dated post-buyback valuation would adjust both cash and shares. Buybacks remain relevant to the earnings forecast and capital allocation discussion.</w:t>
      </w:r>
    </w:p>
    <w:p>
      <w:r>
        <w:t>The bridge deducts net debt excluding leases, acquisition consideration, minorities and pension liabilities. The dividend timing adjustment recognises that the July final dividend was already paid by the capitalisation date. It is a timing adjustment, not a second expense.</w:t>
      </w:r>
    </w:p>
    <w:p>
      <w:pPr>
        <w:pStyle w:val="Heading2"/>
      </w:pPr>
      <w:r>
        <w:t>Cash flow and balance sheet questions</w:t>
      </w:r>
    </w:p>
    <w:p>
      <w:r>
        <w:t>The model keeps cash and overdrafts at a specified level, with borrowing draws and repayments absorbing the funding surplus or shortfall. A flat cash balance is therefore a liquidity assumption and a debt-plug convention, not a prediction that daily cash will never change.</w:t>
      </w:r>
    </w:p>
    <w:p>
      <w:r>
        <w:t>Working capital is driven by inventory relative to COGS, receivables relative to sales and payables ratios, preserving H1/year-end patterns. Forecast inventory is around 72 days and the cash conversion cycle around 54 days. Inflation can consume more cash even if these days remain unchanged because the pound value of inventory and receivables rises.</w:t>
      </w:r>
    </w:p>
    <w:p>
      <w:r>
        <w:t>ROU additions are below depreciation and lease principal in the forecast, with lease liabilities falling despite revenue growth. Consolidation could help, but that is not a fully evidenced long-term property plan. The model does still deduct lease cash payments. A PM may probe whether declining leased assets and stable cash ratios are compatible with the long-term growth assumptions.</w:t>
      </w:r>
    </w:p>
    <w:p>
      <w:r>
        <w:t>Future acquisition consideration is carried forward rather than scheduled through a detailed payment profile. The valuation deducts it, so it is not absent from enterprise-to-equity value. Cash-flow timing and funding capacity are nevertheless less precise without the maturity schedule.</w:t>
      </w:r>
    </w:p>
    <w:p>
      <w:r>
        <w:t>The saved workbook has no cached Excel error cells. Major accounting checks at rows 426, 440, 484, 525, 585 and 642 reconcile, but the revenue bridge is not uniformly zero: row 355 has historical residuals of about £1.6m in H1 FY26, −£3.4m in FY25 and −£10.1m in FY24. Some checks are identities from a shared cost pool; others test cash, equity and share-count consistency. Do not claim that every check is clean or that a successful accounting check validates pricing power.</w:t>
      </w:r>
    </w:p>
    <w:p>
      <w:pPr>
        <w:pStyle w:val="Heading1"/>
      </w:pPr>
      <w:r>
        <w:t>8 General Bunzl questions</w:t>
      </w:r>
    </w:p>
    <w:p>
      <w:pPr>
        <w:pStyle w:val="Heading2"/>
      </w:pPr>
      <w:r>
        <w:t>What does Bunzl do and why do customers need it</w:t>
      </w:r>
    </w:p>
    <w:p>
      <w:r>
        <w:t>“Bunzl sources and distributes essential non-food products that customers need to operate. It consolidates many suppliers and products into a reliable ordering and delivery service. Customers pay for availability, procurement simplicity, category advice and distribution reliability as well as the products themselves. The economic value is reducing the customer’s total procurement and operating burden.”</w:t>
      </w:r>
    </w:p>
    <w:p>
      <w:r>
        <w:t>The gross profit must cover Bunzl’s people, warehouses, delivery network, systems and capital costs. Purchasing scale and service can support retention, but weak service or uncompetitive prices can still lose business. That explains why operational execution in North America matters to both volume and margin.</w:t>
      </w:r>
    </w:p>
    <w:p>
      <w:pPr>
        <w:pStyle w:val="Heading2"/>
      </w:pPr>
      <w:r>
        <w:t>Is it defensive or cyclical</w:t>
      </w:r>
    </w:p>
    <w:p>
      <w:r>
        <w:t>“The consumable nature and broad customer mix provide resilience, but customer activity still matters. Grocery, healthcare and cleaning behave differently from restaurants, industrial safety and retail. The business can be defensive without being immune to weak volumes, pricing reversals or operational mistakes.”</w:t>
      </w:r>
    </w:p>
    <w:p>
      <w:r>
        <w:t>A useful inference is that lost orders can have a disproportionate profit effect where warehouse and route costs are fixed. Conversely, growth in low-margin grocery can raise sales while diluting the percentage operating margin. This is why revenue growth alone is a poor test of the thesis.</w:t>
      </w:r>
    </w:p>
    <w:p>
      <w:pPr>
        <w:pStyle w:val="Heading2"/>
      </w:pPr>
      <w:r>
        <w:t>What are the most important KPIs</w:t>
      </w:r>
    </w:p>
    <w:p>
      <w:r>
        <w:t>Track organic volume/mix and price separately; gross-profit pounds and percentage; operating costs by major driver; adjusted EBIT and its conversion to cash; inventory, receivable and payable days; and returns on invested capital. Customer retention, new wins, delivery reliability and warehouse productivity help explain those financial outcomes. Then reconcile EPS growth into profit, interest, tax and share count.</w:t>
      </w:r>
    </w:p>
    <w:p>
      <w:r>
        <w:t>Use each KPI for a purpose. Inventory days test timing and cash commitment. Gross-profit pounds test whether pricing is preserving economics. Operating-cost growth tests conversion of that gross profit into EBIT. ROIC tests whether acquisitions and reinvestment create value. Adjusted EPS measures the per-share result, but does not identify its source.</w:t>
      </w:r>
    </w:p>
    <w:p>
      <w:pPr>
        <w:pStyle w:val="Heading2"/>
      </w:pPr>
      <w:r>
        <w:t>How good are the earnings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1642"/>
        <w:gridCol w:w="1642"/>
        <w:gridCol w:w="1642"/>
        <w:gridCol w:w="1642"/>
      </w:tblGrid>
      <w:tr>
        <w:trPr>
          <w:cantSplit/>
          <w:tblHeader/>
        </w:trPr>
        <w:tc>
          <w:tcPr>
            <w:tcW w:type="dxa" w:w="3427"/>
            <w:vAlign w:val="center"/>
            <w:tcMar>
              <w:top w:w="78" w:type="dxa"/>
              <w:bottom w:w="78" w:type="dxa"/>
              <w:left w:w="85" w:type="dxa"/>
              <w:right w:w="85" w:type="dxa"/>
            </w:tcMar>
            <w:shd w:fill="EAEAEA"/>
          </w:tcPr>
          <w:p>
            <w:pPr>
              <w:keepNext/>
              <w:spacing w:after="0" w:before="0" w:line="252" w:lineRule="auto"/>
              <w:jc w:val="left"/>
            </w:pPr>
            <w:r>
              <w:rPr>
                <w:b/>
                <w:sz w:val="19"/>
              </w:rPr>
              <w:t>Submitted historic metric</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FY 2022</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FY 2023</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FY 2024</w:t>
            </w:r>
          </w:p>
        </w:tc>
        <w:tc>
          <w:tcPr>
            <w:tcW w:type="dxa" w:w="1642"/>
            <w:vAlign w:val="center"/>
            <w:tcMar>
              <w:top w:w="78" w:type="dxa"/>
              <w:bottom w:w="78" w:type="dxa"/>
              <w:left w:w="85" w:type="dxa"/>
              <w:right w:w="85" w:type="dxa"/>
            </w:tcMar>
            <w:shd w:fill="EAEAEA"/>
          </w:tcPr>
          <w:p>
            <w:pPr>
              <w:keepNext/>
              <w:spacing w:after="0" w:before="0" w:line="252" w:lineRule="auto"/>
              <w:jc w:val="center"/>
            </w:pPr>
            <w:r>
              <w:rPr>
                <w:b/>
                <w:sz w:val="19"/>
              </w:rPr>
              <w:t>FY 2025</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Organic growth</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6.6%</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−2.9%</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−2.4%</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0.4%</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Adjusted EBIT £m</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885.9</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944.2</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976.1</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910.3</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Adjusted diluted EPS p</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182.9</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189.9</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193.1</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178.5</w:t>
            </w:r>
          </w:p>
        </w:tc>
      </w:tr>
      <w:tr>
        <w:trPr>
          <w:cantSplit/>
        </w:trPr>
        <w:tc>
          <w:tcPr>
            <w:tcW w:type="dxa" w:w="3427"/>
            <w:vAlign w:val="center"/>
            <w:tcMar>
              <w:top w:w="78" w:type="dxa"/>
              <w:bottom w:w="78" w:type="dxa"/>
              <w:left w:w="85" w:type="dxa"/>
              <w:right w:w="85" w:type="dxa"/>
            </w:tcMar>
          </w:tcPr>
          <w:p>
            <w:pPr>
              <w:keepNext/>
              <w:spacing w:after="0" w:before="0" w:line="252" w:lineRule="auto"/>
              <w:jc w:val="left"/>
            </w:pPr>
            <w:r>
              <w:rPr>
                <w:b w:val="0"/>
                <w:sz w:val="19"/>
              </w:rPr>
              <w:t>Cash conversion</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107%</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96%</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93%</w:t>
            </w:r>
          </w:p>
        </w:tc>
        <w:tc>
          <w:tcPr>
            <w:tcW w:type="dxa" w:w="1642"/>
            <w:vAlign w:val="center"/>
            <w:tcMar>
              <w:top w:w="78" w:type="dxa"/>
              <w:bottom w:w="78" w:type="dxa"/>
              <w:left w:w="85" w:type="dxa"/>
              <w:right w:w="85" w:type="dxa"/>
            </w:tcMar>
          </w:tcPr>
          <w:p>
            <w:pPr>
              <w:keepNext/>
              <w:spacing w:after="0" w:before="0" w:line="252" w:lineRule="auto"/>
              <w:jc w:val="center"/>
            </w:pPr>
            <w:r>
              <w:rPr>
                <w:b w:val="0"/>
                <w:sz w:val="19"/>
              </w:rPr>
              <w:t>95%</w:t>
            </w:r>
          </w:p>
        </w:tc>
      </w:tr>
      <w:tr>
        <w:trPr>
          <w:cantSplit/>
        </w:trPr>
        <w:tc>
          <w:tcPr>
            <w:tcW w:type="dxa" w:w="3427"/>
            <w:vAlign w:val="center"/>
            <w:tcMar>
              <w:top w:w="78" w:type="dxa"/>
              <w:bottom w:w="78" w:type="dxa"/>
              <w:left w:w="85" w:type="dxa"/>
              <w:right w:w="85" w:type="dxa"/>
            </w:tcMar>
          </w:tcPr>
          <w:p>
            <w:pPr>
              <w:keepNext w:val="0"/>
              <w:spacing w:after="0" w:before="0" w:line="252" w:lineRule="auto"/>
              <w:jc w:val="left"/>
            </w:pPr>
            <w:r>
              <w:rPr>
                <w:b w:val="0"/>
                <w:sz w:val="19"/>
              </w:rPr>
              <w:t>Free cash flow £m</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705.7</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643.5</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633.8</w:t>
            </w:r>
          </w:p>
        </w:tc>
        <w:tc>
          <w:tcPr>
            <w:tcW w:type="dxa" w:w="1642"/>
            <w:vAlign w:val="center"/>
            <w:tcMar>
              <w:top w:w="78" w:type="dxa"/>
              <w:bottom w:w="78" w:type="dxa"/>
              <w:left w:w="85" w:type="dxa"/>
              <w:right w:w="85" w:type="dxa"/>
            </w:tcMar>
          </w:tcPr>
          <w:p>
            <w:pPr>
              <w:keepNext w:val="0"/>
              <w:spacing w:after="0" w:before="0" w:line="252" w:lineRule="auto"/>
              <w:jc w:val="center"/>
            </w:pPr>
            <w:r>
              <w:rPr>
                <w:b w:val="0"/>
                <w:sz w:val="19"/>
              </w:rPr>
              <w:t>578.5</w:t>
            </w:r>
          </w:p>
        </w:tc>
      </w:tr>
    </w:tbl>
    <w:p>
      <w:pPr>
        <w:spacing w:after="40" w:before="0" w:line="240" w:lineRule="auto"/>
      </w:pPr>
      <w:r>
        <w:rPr>
          <w:sz w:val="6"/>
        </w:rPr>
      </w:r>
    </w:p>
    <w:p>
      <w:r>
        <w:t>Model annual columns and rows 343, 421, 468, 532 and 533. Figures use the workbook’s definitions and historical imports. The FY25 0.4% figure is underlying growth after adjusting for trading days; official organic growth was 0.1%, with a −0.3pp trading-day effect. The workbook label does not preserve this distinction. The history shows cash generation and resilience, but also that margins and acquisitions can support profit during negative organic growth. FY25 then saw lower EBIT, EPS and cash flow. Do not describe the history as uninterrupted operating compounding.</w:t>
      </w:r>
    </w:p>
    <w:p>
      <w:r>
        <w:t>“I regard cash conversion as a strength, while separating sustainable trading from product inflation, acquisition contribution and adjustments. I would be cautious about capitalising a temporary margin benefit or a working-capital release as a permanent earnings improvement.”</w:t>
      </w:r>
    </w:p>
    <w:p>
      <w:pPr>
        <w:pStyle w:val="Heading2"/>
      </w:pPr>
      <w:r>
        <w:t>Are adjusted profits fair</w:t>
      </w:r>
    </w:p>
    <w:p>
      <w:r>
        <w:t>FY25 adjusted EBIT is £910.3m versus statutory EBIT £735.3m. The difference is mainly £151.5m acquired-intangible amortisation and £23.5m acquisition-related items. Non-cash amortisation can obscure current trading, so adjusted EBIT is useful for operational comparisons. However, acquiring those intangibles required real cash, and recurring acquisition costs are economically relevant to a serial acquirer.</w:t>
      </w:r>
    </w:p>
    <w:p>
      <w:r>
        <w:t>“I use adjusted earnings to compare operations, then test cash flow and returns on the full capital invested. I would not argue that every excluded item is free or irrelevant.”</w:t>
      </w:r>
    </w:p>
    <w:p>
      <w:pPr>
        <w:pStyle w:val="Heading2"/>
      </w:pPr>
      <w:r>
        <w:t>What makes an acquisition attractive</w:t>
      </w:r>
    </w:p>
    <w:p>
      <w:r>
        <w:t>“The return must exceed the cost of capital after acquisition price, earnouts, working capital, integration spending and reinvestment. I would examine acquired cohorts after they enter the organic base, because weak acquired growth can be hidden by continually adding new companies. The alternative is buying our own shares or reducing debt, so the hurdle should reflect those choices.”</w:t>
      </w:r>
    </w:p>
    <w:p>
      <w:r>
        <w:t>If asked why high ROACE and lower ROIC can coexist, distinguish the denominators. Operating capital can exclude acquisition goodwill and intangibles; invested capital includes more of the price paid for the businesses. High operating returns do not, by themselves, prove every deal was well priced.</w:t>
      </w:r>
    </w:p>
    <w:p>
      <w:pPr>
        <w:pStyle w:val="Heading2"/>
      </w:pPr>
      <w:r>
        <w:t>Why can deflation be both good and bad</w:t>
      </w:r>
    </w:p>
    <w:p>
      <w:r>
        <w:t>Deflation may help customers and release working capital. It can also reduce sales and gross-profit pounds at an unchanged percentage mark-up, while payroll and warehouse costs remain. If selling prices fall before expensive stock is sold, FIFO can create a temporary squeeze. The direction of the earnings effect depends on the relative timing, volume response and cost flexibility.</w:t>
      </w:r>
    </w:p>
    <w:p>
      <w:pPr>
        <w:pStyle w:val="Heading2"/>
      </w:pPr>
      <w:r>
        <w:t>What is the bear case against your long</w:t>
      </w:r>
    </w:p>
    <w:p>
      <w:r>
        <w:t>“The strongest bear case is that the inflation signal does not translate into retained customer pricing, while own costs remain sticky. The FY26 beat then disappears, and FY27 cost savings and financing assumptions provide less support than I expect. With only approximately 10% target upside, multiple compression can outweigh the capital-return support.”</w:t>
      </w:r>
    </w:p>
    <w:p>
      <w:r>
        <w:t>This demonstrates that you understand the opposing case. Follow it with why you still chose the long and the observable test, rather than reciting risks and ending without a recommendation.</w:t>
      </w:r>
    </w:p>
    <w:p>
      <w:pPr>
        <w:pStyle w:val="Heading2"/>
      </w:pPr>
      <w:r>
        <w:t>Could sustainability or direct sourcing disintermediate Bunzl</w:t>
      </w:r>
    </w:p>
    <w:p>
      <w:r>
        <w:t>As an analytical risk, product substitution can reduce demand for particular plastic products or change selling prices and margins. Bunzl may preserve customer relationships by supplying alternatives, but that outcome is not automatic. Direct sourcing and digital procurement challenge the service proposition where the customer can replicate logistics and supplier management cheaply. The relevant question is whether Bunzl’s consolidated service still lowers total customer cost.</w:t>
      </w:r>
    </w:p>
    <w:p>
      <w:pPr>
        <w:pStyle w:val="Heading1"/>
      </w:pPr>
      <w:r>
        <w:t>9 Process questions and management questions</w:t>
      </w:r>
    </w:p>
    <w:p>
      <w:pPr>
        <w:pStyle w:val="Heading2"/>
      </w:pPr>
      <w:r>
        <w:t>How do you think you performed</w:t>
      </w:r>
    </w:p>
    <w:p>
      <w:r>
        <w:t>A useful answer should identify a real strength, a real limitation and why it matters. Suggested wording, adapted to your actual experience:</w:t>
      </w:r>
    </w:p>
    <w:p>
      <w:r>
        <w:t>“I produced a clear recommendation and connected the regional revenue drivers to a more detailed group cost build. The part I would challenge most is the empirical support for translating commodity movements into achieved pricing and the cost savings required in FY27. I can quantify how much those assumptions matter. I also identified some definition and allocation limitations that should be distinguished from the reported earnings totals.”</w:t>
      </w:r>
    </w:p>
    <w:p>
      <w:r>
        <w:t>Do not begin with a list of everything imperfect. Equally, do not say “the model is accurate” because the balance sheet balances. If asked about a specific mistake, acknowledge it, explain its effect and answer the investment implication.</w:t>
      </w:r>
    </w:p>
    <w:p>
      <w:pPr>
        <w:pStyle w:val="Heading2"/>
      </w:pPr>
      <w:r>
        <w:t>How did you manage the 48 hours</w:t>
      </w:r>
    </w:p>
    <w:p>
      <w:r>
        <w:t>Use your actual sequence, not a polished invented diary. Before Monday, reconstruct it from your notes and saved work: which materials you read first, when you built the historical base, when you moved to price/volume and costs, when the thesis changed, and how you checked the outputs. Avoid claiming specific hours unless you remember them.</w:t>
      </w:r>
    </w:p>
    <w:p>
      <w:r>
        <w:t>A sound explanation of the priorities is: establish the reporting definitions and historical base; identify what moves earnings; build the regional revenue and cost assumptions; compare with consensus; connect cash, capital allocation and valuation; then test the thesis and reconcile the statements. Say which parts you actually followed and where you spent too long.</w:t>
      </w:r>
    </w:p>
    <w:p>
      <w:r>
        <w:t>If your view changed from short to long, explain the actual evidence that changed it. Do not claim the final conclusion was obvious from the start. A change of view is defensible if you can articulate the model result or source that changed your assessment; it is less convincing if you merely fitted the assumptions to the new recommendation.</w:t>
      </w:r>
    </w:p>
    <w:p>
      <w:pPr>
        <w:pStyle w:val="Heading2"/>
      </w:pPr>
      <w:r>
        <w:t>Why did you prioritise revenue and costs over balance sheet detail</w:t>
      </w:r>
    </w:p>
    <w:p>
      <w:r>
        <w:t>“The investment debate sits in organic growth, gross profit and the conversion to earnings. I therefore concentrated differentiated work there and used a simpler financing and working-capital framework to test cash funding and capital allocation. That still requires the balance sheet and cash-flow definitions to reconcile; it does not make them unimportant.”</w:t>
      </w:r>
    </w:p>
    <w:p>
      <w:r>
        <w:t>This is consistent with a fundamentals-focused long/short process. Do not describe the financing estimate as irrelevant when it produces around one-quarter of your FY27 EPS advantage.</w:t>
      </w:r>
    </w:p>
    <w:p>
      <w:pPr>
        <w:pStyle w:val="Heading2"/>
      </w:pPr>
      <w:r>
        <w:t>Why half years rather than a complete quarterly model</w:t>
      </w:r>
    </w:p>
    <w:p>
      <w:r>
        <w:t>The workbook contains quarterly columns but the operating forecast is half-yearly through FY27, then annual. Explain that the cost and full financial disclosure are primarily annual/interim, while quarterly updates inform the trajectory. Creating unsupported quarterly cost precision would not answer the central question better. If the case explicitly required quarterly forecasts, acknowledge the scope gap directly rather than claiming the empty quarter columns satisfy it.</w:t>
      </w:r>
    </w:p>
    <w:p>
      <w:pPr>
        <w:pStyle w:val="Heading2"/>
      </w:pPr>
      <w:r>
        <w:t>What would you do with one more day</w:t>
      </w:r>
    </w:p>
    <w:p>
      <w:r>
        <w:t>“I would validate the two most material assumptions: achieved selling-price transmission by major product/customer category, and the savings needed to hold FY27 other operating costs flat. I would use that evidence to narrow the earnings range. More macro series or more detailed long-dated balance-sheet rows would have less decision value.”</w:t>
      </w:r>
    </w:p>
    <w:p>
      <w:r>
        <w:t>That is a research priority, not an excuse for an error. For the known historical acquisition-bridge classification, the answer is simply to correct the classification in future work and explain what it does and does not change.</w:t>
      </w:r>
    </w:p>
    <w:p>
      <w:pPr>
        <w:pStyle w:val="Heading2"/>
      </w:pPr>
      <w:r>
        <w:t>What would you ask management</w:t>
      </w:r>
    </w:p>
    <w:p>
      <w:pPr>
        <w:ind w:left="317" w:hanging="317"/>
      </w:pPr>
      <w:r>
        <w:t>1. What share of sales resets automatically from supplier costs, how often, and how much preserves percentage margins versus merely passing through cost pounds?</w:t>
      </w:r>
    </w:p>
    <w:p>
      <w:pPr>
        <w:ind w:left="317" w:hanging="317"/>
      </w:pPr>
      <w:r>
        <w:t>2. How do current replacement purchase prices compare with recognised inventory costs by major product category, and how wide is the distribution of inventory ages?</w:t>
      </w:r>
    </w:p>
    <w:p>
      <w:pPr>
        <w:ind w:left="317" w:hanging="317"/>
      </w:pPr>
      <w:r>
        <w:t>3. What explains the gross-profit change between inflation, inventory timing, mix, rebates and currency?</w:t>
      </w:r>
    </w:p>
    <w:p>
      <w:pPr>
        <w:ind w:left="317" w:hanging="317"/>
      </w:pPr>
      <w:r>
        <w:t>4. What quantified savings remain from warehouse and operating changes, and how much will be reinvested or offset by freight, occupancy and wages?</w:t>
      </w:r>
    </w:p>
    <w:p>
      <w:pPr>
        <w:ind w:left="317" w:hanging="317"/>
      </w:pPr>
      <w:r>
        <w:t>5. How much new-business growth is initially margin dilutive, and how are retention, wallet share and cost-to-serve changing?</w:t>
      </w:r>
    </w:p>
    <w:p>
      <w:pPr>
        <w:ind w:left="317" w:hanging="317"/>
      </w:pPr>
      <w:r>
        <w:t>6. How do post-tax acquisition cohort cash returns compare with repurchasing shares at different prices, including earnouts, integration and working capital?</w:t>
      </w:r>
    </w:p>
    <w:p>
      <w:r>
        <w:t>The first two questions test whether your pricing model is economically valid. The fourth tests a large part of FY27 EBIT upside. Explain that connection if asked why you chose them.</w:t>
      </w:r>
    </w:p>
    <w:p>
      <w:pPr>
        <w:pStyle w:val="Heading2"/>
      </w:pPr>
      <w:r>
        <w:t>Handling a genuine discrepancy in the room</w:t>
      </w:r>
    </w:p>
    <w:p>
      <w:r>
        <w:t>Use one concise acknowledgement: “You are right; that line is using the wrong classification.” Then state the scope: “The reported revenue and EBIT are unchanged, but the acquisition/other bridge is not clean.” Then state the consequence you can support: “I would not use that residual as evidence of negative acquisition growth.” Stop there unless asked to quantify further.</w:t>
      </w:r>
    </w:p>
    <w:p>
      <w:r>
        <w:t>For a forecast judgement, use a different answer: “That is an assumption. Here is why I chose it, and here is the earnings sensitivity if it is wrong.” Avoid presenting a legitimate disagreement as a spreadsheet error, or defending a demonstrable error as just a different view.</w:t>
      </w:r>
    </w:p>
    <w:p>
      <w:pPr>
        <w:pStyle w:val="Heading1"/>
      </w:pPr>
      <w:r>
        <w:t>10 Rehearsal plan and rapid drill</w:t>
      </w:r>
    </w:p>
    <w:p>
      <w:pPr>
        <w:pStyle w:val="Heading2"/>
      </w:pPr>
      <w:r>
        <w:t>Saturday and Sunday</w:t>
      </w:r>
    </w:p>
    <w:p>
      <w:r>
        <w:t>First learn the opening answer, the FY26/FY27 EPS bridge and the price-versus-cost arithmetic. Then explain the North America forecast row by row without looking at the file. Return to the file to check yourself, especially the three-month customer-win calculation.</w:t>
      </w:r>
    </w:p>
    <w:p>
      <w:r>
        <w:t>Next rehearse the five hardest objections out loud: immediate customer repricing, the four-observation calibration, flat FY27 other opex, the reversal in H1 2027, and the modest valuation upside. Answer each in 30 seconds, then sustain a two-minute follow-up with numbers. Practise the specific definitions separately: basic/diluted EPS, refund-adjusted margins, cash flow, and lease-excluded leverage.</w:t>
      </w:r>
    </w:p>
    <w:p>
      <w:r>
        <w:t>Complete one uninterrupted 60-minute mock. Suggested allocation: 5 minutes opening/business, 15 pricing and volumes, 15 costs and EPS, 10 valuation/cash/capital allocation, 10 process and mistakes, 5 your questions. The interviewer may allocate it differently; the exercise is to practise interruptions and moving fluently between the thesis and the cells.</w:t>
      </w:r>
    </w:p>
    <w:p>
      <w:pPr>
        <w:pStyle w:val="Heading2"/>
      </w:pPr>
      <w:r>
        <w:t>Monday before 3pm</w:t>
      </w:r>
    </w:p>
    <w:p>
      <w:r>
        <w:t>Review the short opening, key numbers, sensitivities and genuine discrepancies. Make a final read-only check for company news and clearly distinguish anything new from the information available at submission. Do not alter the submitted files or invent a new catalyst to rescue the case. Finish heavy preparation early enough to arrive composed.</w:t>
      </w:r>
    </w:p>
    <w:p>
      <w:pPr>
        <w:pStyle w:val="Heading2"/>
      </w:pPr>
      <w:r>
        <w:t>Rapid questions to answer without notes</w:t>
      </w:r>
    </w:p>
    <w:p>
      <w:pPr>
        <w:ind w:left="317" w:hanging="317"/>
      </w:pPr>
      <w:r>
        <w:t>1. What is your recommendation, target, horizon and submitted reference price?</w:t>
      </w:r>
    </w:p>
    <w:p>
      <w:pPr>
        <w:ind w:left="317" w:hanging="317"/>
      </w:pPr>
      <w:r>
        <w:t>2. What are the three assumptions doing most of the work?</w:t>
      </w:r>
    </w:p>
    <w:p>
      <w:pPr>
        <w:ind w:left="317" w:hanging="317"/>
      </w:pPr>
      <w:r>
        <w:t>3. What does 29% mean, and what does it not mean?</w:t>
      </w:r>
    </w:p>
    <w:p>
      <w:pPr>
        <w:ind w:left="317" w:hanging="317"/>
      </w:pPr>
      <w:r>
        <w:t>4. Why does maintaining a percentage mark-up increase gross-profit pounds?</w:t>
      </w:r>
    </w:p>
    <w:p>
      <w:pPr>
        <w:ind w:left="317" w:hanging="317"/>
      </w:pPr>
      <w:r>
        <w:t>5. Of the £51.5m H2 price-cost effect, how much is inventory timing?</w:t>
      </w:r>
    </w:p>
    <w:p>
      <w:pPr>
        <w:ind w:left="317" w:hanging="317"/>
      </w:pPr>
      <w:r>
        <w:t>6. What does 50bp weaker H2 pricing do to earnings?</w:t>
      </w:r>
    </w:p>
    <w:p>
      <w:pPr>
        <w:ind w:left="317" w:hanging="317"/>
      </w:pPr>
      <w:r>
        <w:t>7. Why does your tracker stop at August if your pitch discusses September?</w:t>
      </w:r>
    </w:p>
    <w:p>
      <w:pPr>
        <w:ind w:left="317" w:hanging="317"/>
      </w:pPr>
      <w:r>
        <w:t>8. Which North America weights are disclosed and which growth numbers are your judgement?</w:t>
      </w:r>
    </w:p>
    <w:p>
      <w:pPr>
        <w:ind w:left="317" w:hanging="317"/>
      </w:pPr>
      <w:r>
        <w:t>9. Explain the $110m customer-win calculation in pounds and months.</w:t>
      </w:r>
    </w:p>
    <w:p>
      <w:pPr>
        <w:ind w:left="317" w:hanging="317"/>
      </w:pPr>
      <w:r>
        <w:t>10. Why does carryover drop to zero in 2027 without revenue disappearing?</w:t>
      </w:r>
    </w:p>
    <w:p>
      <w:pPr>
        <w:ind w:left="317" w:hanging="317"/>
      </w:pPr>
      <w:r>
        <w:t>11. Why are UK and ROW H2 pricing assumptions so much stronger than H1?</w:t>
      </w:r>
    </w:p>
    <w:p>
      <w:pPr>
        <w:ind w:left="317" w:hanging="317"/>
      </w:pPr>
      <w:r>
        <w:t>12. Why does H2 opex fall sequentially and rise year on year?</w:t>
      </w:r>
    </w:p>
    <w:p>
      <w:pPr>
        <w:ind w:left="317" w:hanging="317"/>
      </w:pPr>
      <w:r>
        <w:t>13. What evidence supports flat FY27 other opex, and what is the sensitivity?</w:t>
      </w:r>
    </w:p>
    <w:p>
      <w:pPr>
        <w:ind w:left="317" w:hanging="317"/>
      </w:pPr>
      <w:r>
        <w:t>14. Does your regional EBIT check independently validate your cost assumptions?</w:t>
      </w:r>
    </w:p>
    <w:p>
      <w:pPr>
        <w:ind w:left="317" w:hanging="317"/>
      </w:pPr>
      <w:r>
        <w:t>15. Bridge FY27 EPS from consensus through EBIT, interest and shares.</w:t>
      </w:r>
    </w:p>
    <w:p>
      <w:pPr>
        <w:ind w:left="317" w:hanging="317"/>
      </w:pPr>
      <w:r>
        <w:t>16. Why does EBIT fall in FY27 while EPS rises?</w:t>
      </w:r>
    </w:p>
    <w:p>
      <w:pPr>
        <w:ind w:left="317" w:hanging="317"/>
      </w:pPr>
      <w:r>
        <w:t>17. Is your 7.89% cash yield really deposit interest?</w:t>
      </w:r>
    </w:p>
    <w:p>
      <w:pPr>
        <w:ind w:left="317" w:hanging="317"/>
      </w:pPr>
      <w:r>
        <w:t>18. Which buybacks are announced and which are assumed?</w:t>
      </w:r>
    </w:p>
    <w:p>
      <w:pPr>
        <w:ind w:left="317" w:hanging="317"/>
      </w:pPr>
      <w:r>
        <w:t>19. Are later buybacks fully funded after dividends?</w:t>
      </w:r>
    </w:p>
    <w:p>
      <w:pPr>
        <w:ind w:left="317" w:hanging="317"/>
      </w:pPr>
      <w:r>
        <w:t>20. Can you add M&amp;A upside without changing cash, buybacks or interest?</w:t>
      </w:r>
    </w:p>
    <w:p>
      <w:pPr>
        <w:ind w:left="317" w:hanging="317"/>
      </w:pPr>
      <w:r>
        <w:t>21. What happens to DCF value if WACC is 50bp higher?</w:t>
      </w:r>
    </w:p>
    <w:p>
      <w:pPr>
        <w:ind w:left="317" w:hanging="317"/>
      </w:pPr>
      <w:r>
        <w:t>22. Why does a one-off inventory benefit not deserve a recurring P/E?</w:t>
      </w:r>
    </w:p>
    <w:p>
      <w:pPr>
        <w:ind w:left="317" w:hanging="317"/>
      </w:pPr>
      <w:r>
        <w:t>23. Why do the H1 reported and calculated margins differ?</w:t>
      </w:r>
    </w:p>
    <w:p>
      <w:pPr>
        <w:ind w:left="317" w:hanging="317"/>
      </w:pPr>
      <w:r>
        <w:t>24. Which cash-flow measure excludes the customer refund?</w:t>
      </w:r>
    </w:p>
    <w:p>
      <w:pPr>
        <w:ind w:left="317" w:hanging="317"/>
      </w:pPr>
      <w:r>
        <w:t>25. What observation would make you stop defending the long?</w:t>
      </w:r>
    </w:p>
    <w:p>
      <w:r>
        <w:t>The goal is to answer directly, use the right denominator and know where the evidence stops. You do not need to memorise every cell; you need to navigate from each material assumption to its economic consequence.</w:t>
      </w:r>
    </w:p>
    <w:p>
      <w:pPr>
        <w:pStyle w:val="Heading1"/>
      </w:pPr>
      <w:r>
        <w:t>11 Model navigation and source notes</w:t>
      </w:r>
    </w:p>
    <w:p>
      <w:pPr>
        <w:pStyle w:val="Heading2"/>
      </w:pPr>
      <w:r>
        <w:t>Workbook navigation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261"/>
        <w:gridCol w:w="4781"/>
      </w:tblGrid>
      <w:tr>
        <w:trPr>
          <w:cantSplit/>
          <w:tblHeader/>
        </w:trPr>
        <w:tc>
          <w:tcPr>
            <w:tcW w:type="dxa" w:w="2952"/>
            <w:vAlign w:val="center"/>
            <w:tcMar>
              <w:top w:w="78" w:type="dxa"/>
              <w:bottom w:w="78" w:type="dxa"/>
              <w:left w:w="85" w:type="dxa"/>
              <w:right w:w="85" w:type="dxa"/>
            </w:tcMar>
            <w:shd w:fill="EAEAEA"/>
          </w:tcPr>
          <w:p>
            <w:pPr>
              <w:keepNext/>
              <w:spacing w:after="0" w:before="0" w:line="252" w:lineRule="auto"/>
              <w:jc w:val="left"/>
            </w:pPr>
            <w:r>
              <w:rPr>
                <w:b/>
                <w:sz w:val="20"/>
              </w:rPr>
              <w:t>Area</w:t>
            </w:r>
          </w:p>
        </w:tc>
        <w:tc>
          <w:tcPr>
            <w:tcW w:type="dxa" w:w="2261"/>
            <w:vAlign w:val="center"/>
            <w:tcMar>
              <w:top w:w="78" w:type="dxa"/>
              <w:bottom w:w="78" w:type="dxa"/>
              <w:left w:w="85" w:type="dxa"/>
              <w:right w:w="85" w:type="dxa"/>
            </w:tcMar>
            <w:shd w:fill="EAEAEA"/>
          </w:tcPr>
          <w:p>
            <w:pPr>
              <w:keepNext/>
              <w:spacing w:after="0" w:before="0" w:line="252" w:lineRule="auto"/>
              <w:jc w:val="left"/>
            </w:pPr>
            <w:r>
              <w:rPr>
                <w:b/>
                <w:sz w:val="20"/>
              </w:rPr>
              <w:t>Location</w:t>
            </w:r>
          </w:p>
        </w:tc>
        <w:tc>
          <w:tcPr>
            <w:tcW w:type="dxa" w:w="4781"/>
            <w:vAlign w:val="center"/>
            <w:tcMar>
              <w:top w:w="78" w:type="dxa"/>
              <w:bottom w:w="78" w:type="dxa"/>
              <w:left w:w="85" w:type="dxa"/>
              <w:right w:w="85" w:type="dxa"/>
            </w:tcMar>
            <w:shd w:fill="EAEAEA"/>
          </w:tcPr>
          <w:p>
            <w:pPr>
              <w:keepNext/>
              <w:spacing w:after="0" w:before="0" w:line="252" w:lineRule="auto"/>
              <w:jc w:val="left"/>
            </w:pPr>
            <w:r>
              <w:rPr>
                <w:b/>
                <w:sz w:val="20"/>
              </w:rPr>
              <w:t>What to be ready to explain</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Currency inputs and weights</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rows 5 to 71</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Quote direction, estimated exposure, flat spot assumptions</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North America revenue</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76 to 91 and NA Forecast</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Volume, pricing, wins and acquisition/FX bridge</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Europe revenue</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135 to 150</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Modest volumes and tracker-driven pricing</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UK and Ireland revenue</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194 to 209</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Large near-term pricing step-up</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ROW revenue</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253 to 268</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Blended volume judgement and particularly strong H2 pricing</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Regional costs and assets</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Blocks following each revenue bridge</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Allocated purchased goods, own-cost residual and separate capital schedules</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Group revenue and product costs</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340 to 380</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Group aggregation, contribution conventions and refund denominator</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Employee and other operating expenses</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382 to 426</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Activity, wages, cost growth, D&amp;A and constructed reconciliation</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Adjustments, finance and taxes</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428 to 464</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Adjusted/statutory definitions, rates, finance-income proxy</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EPS and share count</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467 to 487</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Basic versus diluted; timing and repurchase price</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Net debt and leverage</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489 to 507</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Lease treatment, consideration, refund cash and denominator</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Operating cash and full cash flow</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509 to 588</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Cash conversion, funding, recurring versus one-off cash</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Balance sheet</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592 to 642</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Roll-forwards, cash buffer and funding plug</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Capex and working capital</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Model 646 to 674</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Cash capex versus ROU additions, turnover and seasonality</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Consensus</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VS Cons</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D/E H2 FY26; G/H FY26; J/K FY27; M/N FY28; P/Q FY29</w:t>
            </w:r>
          </w:p>
        </w:tc>
      </w:tr>
      <w:tr>
        <w:trPr>
          <w:cantSplit/>
        </w:trPr>
        <w:tc>
          <w:tcPr>
            <w:tcW w:type="dxa" w:w="2952"/>
            <w:vAlign w:val="center"/>
            <w:tcMar>
              <w:top w:w="78" w:type="dxa"/>
              <w:bottom w:w="78" w:type="dxa"/>
              <w:left w:w="85" w:type="dxa"/>
              <w:right w:w="85" w:type="dxa"/>
            </w:tcMar>
          </w:tcPr>
          <w:p>
            <w:pPr>
              <w:keepNext w:val="0"/>
              <w:spacing w:after="0" w:before="0" w:line="252" w:lineRule="auto"/>
              <w:jc w:val="left"/>
            </w:pPr>
            <w:r>
              <w:rPr>
                <w:b w:val="0"/>
                <w:sz w:val="20"/>
              </w:rPr>
              <w:t>Valuation</w:t>
            </w:r>
          </w:p>
        </w:tc>
        <w:tc>
          <w:tcPr>
            <w:tcW w:type="dxa" w:w="2261"/>
            <w:vAlign w:val="center"/>
            <w:tcMar>
              <w:top w:w="78" w:type="dxa"/>
              <w:bottom w:w="78" w:type="dxa"/>
              <w:left w:w="85" w:type="dxa"/>
              <w:right w:w="85" w:type="dxa"/>
            </w:tcMar>
          </w:tcPr>
          <w:p>
            <w:pPr>
              <w:keepNext w:val="0"/>
              <w:spacing w:after="0" w:before="0" w:line="252" w:lineRule="auto"/>
              <w:jc w:val="left"/>
            </w:pPr>
            <w:r>
              <w:rPr>
                <w:b w:val="0"/>
                <w:sz w:val="20"/>
              </w:rPr>
              <w:t>Valuation</w:t>
            </w:r>
          </w:p>
        </w:tc>
        <w:tc>
          <w:tcPr>
            <w:tcW w:type="dxa" w:w="4781"/>
            <w:vAlign w:val="center"/>
            <w:tcMar>
              <w:top w:w="78" w:type="dxa"/>
              <w:bottom w:w="78" w:type="dxa"/>
              <w:left w:w="85" w:type="dxa"/>
              <w:right w:w="85" w:type="dxa"/>
            </w:tcMar>
          </w:tcPr>
          <w:p>
            <w:pPr>
              <w:keepNext w:val="0"/>
              <w:spacing w:after="0" w:before="0" w:line="252" w:lineRule="auto"/>
              <w:jc w:val="left"/>
            </w:pPr>
            <w:r>
              <w:rPr>
                <w:b w:val="0"/>
                <w:sz w:val="20"/>
              </w:rPr>
              <w:t>Discount rate, terminal assumptions, lease convention and dated capitalisation</w:t>
            </w:r>
          </w:p>
        </w:tc>
      </w:tr>
    </w:tbl>
    <w:p>
      <w:pPr>
        <w:spacing w:after="40" w:before="0" w:line="240" w:lineRule="auto"/>
      </w:pPr>
      <w:r>
        <w:rPr>
          <w:sz w:val="6"/>
        </w:rPr>
      </w:r>
    </w:p>
    <w:p>
      <w:r>
        <w:t>Model period columns: AM FY25; AR H1 FY26; AS H2 FY26; AT FY26; AY H1 FY27; AZ H2 FY27; BA FY27; BB FY28; BC FY29; BD FY30. Historic quarters should not be confused with separately modelled future quarterly operating statements.</w:t>
      </w:r>
    </w:p>
    <w:p>
      <w:pPr>
        <w:pStyle w:val="Heading2"/>
      </w:pPr>
      <w:r>
        <w:t>Submitted sources</w:t>
      </w:r>
    </w:p>
    <w:p>
      <w:r>
        <w:t>The working evidence is Bunzl Model FINAL(1).xlsx, Bunzl Pitch(1).docx and BUNZL Commodity Cost Tracker FINAL(4).xlsx. All original files are unchanged. The review traced material forecast inputs, formulas, cached outputs, workbook notes and pitch claims. It did not perform a native Excel recalculation, independently re-source every historical observation or verify an absent peer workbook. All new stress calculations are explicitly identified as independent or static calculations.</w:t>
      </w:r>
    </w:p>
    <w:p>
      <w:pPr>
        <w:pStyle w:val="Heading2"/>
      </w:pPr>
      <w:r>
        <w:t>Public evidence checked</w:t>
      </w:r>
    </w:p>
    <w:p>
      <w:pPr>
        <w:keepNext/>
        <w:keepLines/>
      </w:pPr>
      <w:r>
        <w:rPr>
          <w:sz w:val="20"/>
        </w:rPr>
        <w:t>[S1] Bunzl H1 2026 results presentation. Slide 8 for inflation, category purchasing mix and inventory; slide 20 for NA sector weights; slide 22 for Distribution progress. Used to distinguish disclosed inputs from forecast assumptions.</w:t>
      </w:r>
    </w:p>
    <w:p>
      <w:pPr>
        <w:spacing w:after="180"/>
      </w:pPr>
      <w:hyperlink r:id="rId11">
        <w:r>
          <w:rPr>
            <w:sz w:val="18"/>
            <w:color w:val="000000"/>
            <w:u w:val="single"/>
          </w:rPr>
          <w:t>https://www.bunzl.com/media/e2jj4t2b/hy26-presentation-vf.pdf</w:t>
        </w:r>
      </w:hyperlink>
    </w:p>
    <w:p>
      <w:pPr>
        <w:keepNext/>
        <w:keepLines/>
      </w:pPr>
      <w:r>
        <w:rPr>
          <w:sz w:val="20"/>
        </w:rPr>
        <w:t>[S2] Bunzl H1 2026 financial report. Pages 4 to 5 for refund and margin conventions; page 8 for the FY25 SBC comparator; page 32 for finance-income components. The published finance-income split confirms why total finance income is not a deposit yield.</w:t>
      </w:r>
    </w:p>
    <w:p>
      <w:pPr>
        <w:spacing w:after="180"/>
      </w:pPr>
      <w:hyperlink r:id="rId12">
        <w:r>
          <w:rPr>
            <w:sz w:val="18"/>
            <w:color w:val="000000"/>
            <w:u w:val="single"/>
          </w:rPr>
          <w:t>https://www.bunzl.com/media/rukpiqxe/bunzl-hy-26-press-release-final.pdf</w:t>
        </w:r>
      </w:hyperlink>
    </w:p>
    <w:p>
      <w:pPr>
        <w:keepNext/>
        <w:keepLines/>
      </w:pPr>
      <w:r>
        <w:rPr>
          <w:sz w:val="20"/>
        </w:rPr>
        <w:t>[S3] Bunzl FY25 results presentation, slide 7. Source for more than $100m of annualised Q4 new business, including both customers and wallet share. Exact $110m and timing assumptions remain analyst estimates.</w:t>
      </w:r>
    </w:p>
    <w:p>
      <w:pPr>
        <w:spacing w:after="180"/>
      </w:pPr>
      <w:hyperlink r:id="rId13">
        <w:r>
          <w:rPr>
            <w:sz w:val="18"/>
            <w:color w:val="000000"/>
            <w:u w:val="single"/>
          </w:rPr>
          <w:t>https://www.bunzl.com/media/ptdltede/fy25-presentation-full-vfinal2.pdf</w:t>
        </w:r>
      </w:hyperlink>
    </w:p>
    <w:p>
      <w:pPr>
        <w:keepNext/>
        <w:keepLines/>
      </w:pPr>
      <w:r>
        <w:rPr>
          <w:sz w:val="20"/>
        </w:rPr>
        <w:t>[S4] Bunzl FY25 financial statements, inventory and expense accounting policies. Source for FIFO and landed inventory costs, with rebates recognised alongside the relevant goods.</w:t>
      </w:r>
    </w:p>
    <w:p>
      <w:pPr>
        <w:spacing w:after="180"/>
      </w:pPr>
      <w:hyperlink r:id="rId14">
        <w:r>
          <w:rPr>
            <w:sz w:val="18"/>
            <w:color w:val="000000"/>
            <w:u w:val="single"/>
          </w:rPr>
          <w:t>https://www.bunzl.com/media/lm2jwlft/financial-statements-2025.pdf</w:t>
        </w:r>
      </w:hyperlink>
    </w:p>
    <w:p>
      <w:pPr>
        <w:keepNext/>
        <w:keepLines/>
      </w:pPr>
      <w:r>
        <w:rPr>
          <w:sz w:val="20"/>
        </w:rPr>
        <w:t>[S5] Plastribution September 2026 market report, dated 15 September. Primary distributor evidence for selective polymer price firmness and constraints on broader transmission. This predates the submission.</w:t>
      </w:r>
    </w:p>
    <w:p>
      <w:pPr>
        <w:spacing w:after="180"/>
      </w:pPr>
      <w:hyperlink r:id="rId15">
        <w:r>
          <w:rPr>
            <w:sz w:val="18"/>
            <w:color w:val="000000"/>
            <w:u w:val="single"/>
          </w:rPr>
          <w:t>https://www.plb.ltd/pkh-reports/monthly-reports/september-2026/</w:t>
        </w:r>
      </w:hyperlink>
    </w:p>
    <w:p>
      <w:pPr>
        <w:keepNext/>
        <w:keepLines/>
      </w:pPr>
      <w:r>
        <w:rPr>
          <w:sz w:val="20"/>
        </w:rPr>
        <w:t>[S6] Bunzl financial calendar. Confirms the 20 October 2026 Q3 update. No exact 2027 full-year results date is assumed in this pack.</w:t>
      </w:r>
    </w:p>
    <w:p>
      <w:pPr>
        <w:spacing w:after="180"/>
      </w:pPr>
      <w:hyperlink r:id="rId16">
        <w:r>
          <w:rPr>
            <w:sz w:val="18"/>
            <w:color w:val="000000"/>
            <w:u w:val="single"/>
          </w:rPr>
          <w:t>https://www.bunzl.com/investors/shareholder-information/financial-calendar/</w:t>
        </w:r>
      </w:hyperlink>
    </w:p>
    <w:p>
      <w:pPr>
        <w:keepNext/>
        <w:keepLines/>
      </w:pPr>
      <w:r>
        <w:rPr>
          <w:sz w:val="20"/>
        </w:rPr>
        <w:t>[S7] EIA Europe Brent spot FOB daily history. Matched 1 September and 22 September observations support the approximately 20% statement on a spot basis.</w:t>
      </w:r>
    </w:p>
    <w:p>
      <w:pPr>
        <w:spacing w:after="180"/>
      </w:pPr>
      <w:hyperlink r:id="rId17">
        <w:r>
          <w:rPr>
            <w:sz w:val="18"/>
            <w:color w:val="000000"/>
            <w:u w:val="single"/>
          </w:rPr>
          <w:t>https://www.eia.gov/dnav/pet/hist/rbrted.htm</w:t>
        </w:r>
      </w:hyperlink>
    </w:p>
    <w:p>
      <w:pPr>
        <w:keepNext/>
        <w:keepLines/>
      </w:pPr>
      <w:r>
        <w:rPr>
          <w:sz w:val="20"/>
        </w:rPr>
        <w:t>[S8] FRED and BLS plastic resins and materials PPI, series WPU066. Used to distinguish positive year-on-year inflation from sequential price momentum. The workbook’s August data are not September observations.</w:t>
      </w:r>
    </w:p>
    <w:p>
      <w:pPr>
        <w:spacing w:after="180"/>
      </w:pPr>
      <w:hyperlink r:id="rId18">
        <w:r>
          <w:rPr>
            <w:sz w:val="18"/>
            <w:color w:val="000000"/>
            <w:u w:val="single"/>
          </w:rPr>
          <w:t>https://fred.stlouisfed.org/series/WPU066</w:t>
        </w:r>
      </w:hyperlink>
    </w:p>
    <w:p>
      <w:pPr>
        <w:keepNext/>
        <w:keepLines/>
      </w:pPr>
      <w:r>
        <w:rPr>
          <w:sz w:val="20"/>
        </w:rPr>
        <w:t>[S9] Bunzl business model description and FY25 strategic report. Background for sourcing, consolidation and delivery economics and the distinction between commercial pricing mechanisms and assumed universal pass-through.</w:t>
      </w:r>
    </w:p>
    <w:p>
      <w:pPr>
        <w:keepNext/>
        <w:spacing w:after="180"/>
      </w:pPr>
      <w:hyperlink r:id="rId19">
        <w:r>
          <w:rPr>
            <w:sz w:val="18"/>
            <w:color w:val="000000"/>
            <w:u w:val="single"/>
          </w:rPr>
          <w:t>https://www.bunzl.com/about-us/our-business-model/</w:t>
        </w:r>
      </w:hyperlink>
    </w:p>
    <w:p>
      <w:pPr>
        <w:spacing w:after="180"/>
      </w:pPr>
      <w:hyperlink r:id="rId20">
        <w:r>
          <w:rPr>
            <w:sz w:val="18"/>
            <w:color w:val="000000"/>
            <w:u w:val="single"/>
          </w:rPr>
          <w:t>https://www.bunzl.com/media/oxkji5zt/strategic-report-2025.pdf</w:t>
        </w:r>
      </w:hyperlink>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instrText xml:space="preserve"> PAGE </w:instrText>
      <w:fldChar w:fldCharType="separate"/>
      <w:t>1</w:t>
      <w:fldChar w:fldCharType="end"/>
    </w:r>
    <w:r>
      <w:rPr>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BUNZL  |  DEBRIEF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before="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80" w:line="252" w:lineRule="auto"/>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Arial" w:hAnsi="Arial"/>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80" w:line="252" w:lineRule="auto" w:before="0"/>
      <w:contextualSpacing/>
    </w:pPr>
    <w:rPr>
      <w:rFonts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Arial" w:hAnsi="Arial"/>
      <w:color w:val="000000"/>
    </w:rPr>
  </w:style>
  <w:style w:type="paragraph" w:styleId="BodyText">
    <w:name w:val="Body Text"/>
    <w:basedOn w:val="Normal"/>
    <w:link w:val="BodyTextChar"/>
    <w:uiPriority w:val="99"/>
    <w:unhideWhenUsed/>
    <w:rsid w:val="00AA1D8D"/>
    <w:pPr>
      <w:widowControl/>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Arial" w:hAnsi="Arial"/>
      <w:color w:val="000000"/>
    </w:rPr>
  </w:style>
  <w:style w:type="paragraph" w:styleId="List2">
    <w:name w:val="List 2"/>
    <w:basedOn w:val="Normal"/>
    <w:uiPriority w:val="99"/>
    <w:unhideWhenUsed/>
    <w:rsid w:val="00326F90"/>
    <w:pPr>
      <w:widowControl/>
      <w:ind w:left="720" w:hanging="360"/>
      <w:contextualSpacing/>
    </w:pPr>
    <w:rPr>
      <w:rFonts w:ascii="Arial" w:hAnsi="Arial"/>
      <w:color w:val="000000"/>
    </w:rPr>
  </w:style>
  <w:style w:type="paragraph" w:styleId="List3">
    <w:name w:val="List 3"/>
    <w:basedOn w:val="Normal"/>
    <w:uiPriority w:val="99"/>
    <w:unhideWhenUsed/>
    <w:rsid w:val="00326F90"/>
    <w:pPr>
      <w:widowControl/>
      <w:ind w:left="1080" w:hanging="360"/>
      <w:contextualSpacing/>
    </w:pPr>
    <w:rPr>
      <w:rFonts w:ascii="Arial" w:hAnsi="Arial"/>
      <w:color w:val="000000"/>
    </w:r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widowControl/>
      <w:numPr>
        <w:numId w:val="2"/>
      </w:numPr>
      <w:contextualSpacing/>
    </w:pPr>
    <w:rPr>
      <w:rFonts w:ascii="Arial" w:hAnsi="Arial"/>
      <w:color w:val="000000"/>
    </w:rPr>
  </w:style>
  <w:style w:type="paragraph" w:styleId="ListBullet3">
    <w:name w:val="List Bullet 3"/>
    <w:basedOn w:val="Normal"/>
    <w:uiPriority w:val="99"/>
    <w:unhideWhenUsed/>
    <w:rsid w:val="00326F90"/>
    <w:pPr>
      <w:widowControl/>
      <w:numPr>
        <w:numId w:val="3"/>
      </w:numPr>
      <w:contextualSpacing/>
    </w:pPr>
    <w:rPr>
      <w:rFonts w:ascii="Arial" w:hAnsi="Arial"/>
      <w:color w:val="000000"/>
    </w:r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widowControl/>
      <w:numPr>
        <w:numId w:val="6"/>
      </w:numPr>
      <w:contextualSpacing/>
    </w:pPr>
    <w:rPr>
      <w:rFonts w:ascii="Arial" w:hAnsi="Arial"/>
      <w:color w:val="000000"/>
    </w:rPr>
  </w:style>
  <w:style w:type="paragraph" w:styleId="ListNumber3">
    <w:name w:val="List Number 3"/>
    <w:basedOn w:val="Normal"/>
    <w:uiPriority w:val="99"/>
    <w:unhideWhenUsed/>
    <w:rsid w:val="0029639D"/>
    <w:pPr>
      <w:widowControl/>
      <w:numPr>
        <w:numId w:val="7"/>
      </w:numPr>
      <w:contextualSpacing/>
    </w:pPr>
    <w:rPr>
      <w:rFonts w:ascii="Arial" w:hAnsi="Arial"/>
      <w:color w:val="000000"/>
    </w:rPr>
  </w:style>
  <w:style w:type="paragraph" w:styleId="ListContinue">
    <w:name w:val="List Continue"/>
    <w:basedOn w:val="Normal"/>
    <w:uiPriority w:val="99"/>
    <w:unhideWhenUsed/>
    <w:rsid w:val="0029639D"/>
    <w:pPr>
      <w:widowControl/>
      <w:spacing w:after="120"/>
      <w:ind w:left="360"/>
      <w:contextualSpacing/>
    </w:pPr>
    <w:rPr>
      <w:rFonts w:ascii="Arial" w:hAnsi="Arial"/>
      <w:color w:val="000000"/>
    </w:rPr>
  </w:style>
  <w:style w:type="paragraph" w:styleId="ListContinue2">
    <w:name w:val="List Continue 2"/>
    <w:basedOn w:val="Normal"/>
    <w:uiPriority w:val="99"/>
    <w:unhideWhenUsed/>
    <w:rsid w:val="0029639D"/>
    <w:pPr>
      <w:widowControl/>
      <w:spacing w:after="120"/>
      <w:ind w:left="720"/>
      <w:contextualSpacing/>
    </w:pPr>
    <w:rPr>
      <w:rFonts w:ascii="Arial" w:hAnsi="Arial"/>
      <w:color w:val="000000"/>
    </w:rPr>
  </w:style>
  <w:style w:type="paragraph" w:styleId="ListContinue3">
    <w:name w:val="List Continue 3"/>
    <w:basedOn w:val="Normal"/>
    <w:uiPriority w:val="99"/>
    <w:unhideWhenUsed/>
    <w:rsid w:val="0029639D"/>
    <w:pPr>
      <w:widowControl/>
      <w:spacing w:after="120"/>
      <w:ind w:left="1080"/>
      <w:contextualSpacing/>
    </w:pPr>
    <w:rPr>
      <w:rFonts w:ascii="Arial" w:hAnsi="Arial"/>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unzl.com/media/e2jj4t2b/hy26-presentation-vf.pdf" TargetMode="External"/><Relationship Id="rId12" Type="http://schemas.openxmlformats.org/officeDocument/2006/relationships/hyperlink" Target="https://www.bunzl.com/media/rukpiqxe/bunzl-hy-26-press-release-final.pdf" TargetMode="External"/><Relationship Id="rId13" Type="http://schemas.openxmlformats.org/officeDocument/2006/relationships/hyperlink" Target="https://www.bunzl.com/media/ptdltede/fy25-presentation-full-vfinal2.pdf" TargetMode="External"/><Relationship Id="rId14" Type="http://schemas.openxmlformats.org/officeDocument/2006/relationships/hyperlink" Target="https://www.bunzl.com/media/lm2jwlft/financial-statements-2025.pdf" TargetMode="External"/><Relationship Id="rId15" Type="http://schemas.openxmlformats.org/officeDocument/2006/relationships/hyperlink" Target="https://www.plb.ltd/pkh-reports/monthly-reports/september-2026/" TargetMode="External"/><Relationship Id="rId16" Type="http://schemas.openxmlformats.org/officeDocument/2006/relationships/hyperlink" Target="https://www.bunzl.com/investors/shareholder-information/financial-calendar/" TargetMode="External"/><Relationship Id="rId17" Type="http://schemas.openxmlformats.org/officeDocument/2006/relationships/hyperlink" Target="https://www.eia.gov/dnav/pet/hist/rbrted.htm" TargetMode="External"/><Relationship Id="rId18" Type="http://schemas.openxmlformats.org/officeDocument/2006/relationships/hyperlink" Target="https://fred.stlouisfed.org/series/WPU066" TargetMode="External"/><Relationship Id="rId19" Type="http://schemas.openxmlformats.org/officeDocument/2006/relationships/hyperlink" Target="https://www.bunzl.com/about-us/our-business-model/" TargetMode="External"/><Relationship Id="rId20" Type="http://schemas.openxmlformats.org/officeDocument/2006/relationships/hyperlink" Target="https://www.bunzl.com/media/oxkji5zt/strategic-report-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Bunzl debrief preparation</dc:title>
  <dc:subject>Submitted investment case review and interview preparation</dc:subject>
  <dc:creator/>
  <cp:keywords>Bunzl, case study, pricing, volume, costs, debrief</cp:keywords>
  <dc:description>generated by python-docx</dc:description>
  <cp:lastModifiedBy/>
  <cp:revision>1</cp:revision>
  <dcterms:created xsi:type="dcterms:W3CDTF">2013-12-23T23:15:00Z</dcterms:created>
  <dcterms:modified xsi:type="dcterms:W3CDTF">2013-12-23T23:15:00Z</dcterms:modified>
  <cp:category/>
</cp:coreProperties>
</file>