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55183" w14:textId="7CEDB3BC" w:rsidR="00DC083E" w:rsidRPr="00A82C2D" w:rsidRDefault="00DC083E" w:rsidP="00DC083E">
      <w:pPr>
        <w:pStyle w:val="NoSpacing"/>
        <w:rPr>
          <w:b/>
          <w:bCs/>
        </w:rPr>
      </w:pPr>
      <w:proofErr w:type="spellStart"/>
      <w:r w:rsidRPr="00DC083E">
        <w:rPr>
          <w:b/>
          <w:bCs/>
        </w:rPr>
        <w:t>Haleon</w:t>
      </w:r>
      <w:proofErr w:type="spellEnd"/>
      <w:r w:rsidRPr="00DC083E">
        <w:rPr>
          <w:b/>
          <w:bCs/>
        </w:rPr>
        <w:t xml:space="preserve"> long</w:t>
      </w:r>
    </w:p>
    <w:p w14:paraId="60AF5511" w14:textId="73381166" w:rsidR="007D40FC" w:rsidRDefault="00DC083E" w:rsidP="00DC083E">
      <w:pPr>
        <w:pStyle w:val="NoSpacing"/>
      </w:pPr>
      <w:r>
        <w:t xml:space="preserve">I am pitching long </w:t>
      </w:r>
      <w:proofErr w:type="spellStart"/>
      <w:r>
        <w:t>Haleon</w:t>
      </w:r>
      <w:proofErr w:type="spellEnd"/>
      <w:r>
        <w:t>, with a price target of 4</w:t>
      </w:r>
      <w:r w:rsidR="00093346">
        <w:t>3</w:t>
      </w:r>
      <w:r>
        <w:t>0</w:t>
      </w:r>
      <w:r w:rsidR="00470A8B">
        <w:t>p</w:t>
      </w:r>
      <w:r>
        <w:t>,</w:t>
      </w:r>
      <w:r w:rsidR="00382CAE">
        <w:t xml:space="preserve"> implying</w:t>
      </w:r>
      <w:r>
        <w:t xml:space="preserve"> an upside of 3</w:t>
      </w:r>
      <w:r w:rsidR="00093346">
        <w:t>0</w:t>
      </w:r>
      <w:r>
        <w:t xml:space="preserve">%. </w:t>
      </w:r>
      <w:proofErr w:type="spellStart"/>
      <w:r>
        <w:t>Haleon</w:t>
      </w:r>
      <w:proofErr w:type="spellEnd"/>
      <w:r>
        <w:t xml:space="preserve"> is the only pure play Consumer Health business in European </w:t>
      </w:r>
      <w:r w:rsidR="00382CAE">
        <w:t>S</w:t>
      </w:r>
      <w:r>
        <w:t>taples, with</w:t>
      </w:r>
      <w:r w:rsidR="00382CAE">
        <w:t xml:space="preserve"> leading</w:t>
      </w:r>
      <w:r>
        <w:t xml:space="preserve"> brands </w:t>
      </w:r>
      <w:r w:rsidR="00382CAE">
        <w:t>including</w:t>
      </w:r>
      <w:r>
        <w:t xml:space="preserve"> Sensodyne, Panadol, Advil, and Centrum, and a market</w:t>
      </w:r>
      <w:r w:rsidR="00382CAE">
        <w:t xml:space="preserve"> </w:t>
      </w:r>
      <w:r>
        <w:t>cap of 36bn.</w:t>
      </w:r>
      <w:r w:rsidR="00381AE6">
        <w:t xml:space="preserve"> </w:t>
      </w:r>
      <w:r w:rsidR="007D40FC">
        <w:t xml:space="preserve">My </w:t>
      </w:r>
      <w:r w:rsidR="007D40FC" w:rsidRPr="007D40FC">
        <w:t xml:space="preserve">thesis is that the market is undervaluing the visibility and quality of </w:t>
      </w:r>
      <w:proofErr w:type="spellStart"/>
      <w:r w:rsidR="007D40FC">
        <w:t>Haleon’s</w:t>
      </w:r>
      <w:proofErr w:type="spellEnd"/>
      <w:r w:rsidR="007D40FC" w:rsidRPr="007D40FC">
        <w:t xml:space="preserve"> organic growth</w:t>
      </w:r>
      <w:r w:rsidR="007D40FC">
        <w:t xml:space="preserve">, and </w:t>
      </w:r>
      <w:r w:rsidR="007D40FC" w:rsidRPr="007D40FC">
        <w:t>underestimating</w:t>
      </w:r>
      <w:r w:rsidR="007D40FC">
        <w:t xml:space="preserve"> its</w:t>
      </w:r>
      <w:r w:rsidR="007D40FC" w:rsidRPr="007D40FC">
        <w:t xml:space="preserve"> margin and FCF potential</w:t>
      </w:r>
      <w:r w:rsidR="007D40FC">
        <w:t>.</w:t>
      </w:r>
    </w:p>
    <w:p w14:paraId="7659486D" w14:textId="77777777" w:rsidR="00DC083E" w:rsidRDefault="00DC083E" w:rsidP="00DC083E">
      <w:pPr>
        <w:pStyle w:val="NoSpacing"/>
      </w:pPr>
    </w:p>
    <w:p w14:paraId="59F89E28" w14:textId="0F0D9B23" w:rsidR="00DC083E" w:rsidRDefault="00DC083E" w:rsidP="00DC083E">
      <w:pPr>
        <w:pStyle w:val="NoSpacing"/>
      </w:pPr>
      <w:r>
        <w:t xml:space="preserve">Firstly, </w:t>
      </w:r>
      <w:proofErr w:type="spellStart"/>
      <w:r>
        <w:t>Haleon’s</w:t>
      </w:r>
      <w:proofErr w:type="spellEnd"/>
      <w:r>
        <w:t xml:space="preserve"> consumer health business, </w:t>
      </w:r>
      <w:r w:rsidR="00382CAE">
        <w:t>with exposure to</w:t>
      </w:r>
      <w:r>
        <w:t xml:space="preserve"> therapeutic oral health, VMS, and OTC, gives it positive structural exposure to health trends</w:t>
      </w:r>
      <w:r w:rsidR="00513BC9">
        <w:t xml:space="preserve"> and</w:t>
      </w:r>
      <w:r>
        <w:t xml:space="preserve"> aging populations</w:t>
      </w:r>
      <w:r w:rsidR="00382CAE">
        <w:t>.</w:t>
      </w:r>
      <w:r w:rsidR="00696780">
        <w:t xml:space="preserve"> </w:t>
      </w:r>
      <w:r w:rsidR="00382CAE">
        <w:t>This gives</w:t>
      </w:r>
      <w:r>
        <w:t xml:space="preserve"> strong OSG </w:t>
      </w:r>
      <w:r w:rsidR="00382CAE">
        <w:t>visibility</w:t>
      </w:r>
      <w:r>
        <w:t xml:space="preserve"> in FY26 and FY27 relative to other </w:t>
      </w:r>
      <w:r w:rsidR="00382CAE">
        <w:t>S</w:t>
      </w:r>
      <w:r>
        <w:t xml:space="preserve">taples names. I believe it can deliver +3.5% OSG for FY26 and +4.6% OSG for FY27, both </w:t>
      </w:r>
      <w:r w:rsidR="00382CAE">
        <w:t xml:space="preserve">around </w:t>
      </w:r>
      <w:r>
        <w:t xml:space="preserve">20bps above consensus, </w:t>
      </w:r>
      <w:r w:rsidR="00382CAE">
        <w:t>and towards</w:t>
      </w:r>
      <w:r w:rsidR="00095107">
        <w:t xml:space="preserve"> the</w:t>
      </w:r>
      <w:r>
        <w:t xml:space="preserve"> top end of the Staples </w:t>
      </w:r>
      <w:r w:rsidR="00382CAE">
        <w:t xml:space="preserve">peer group. Despite this, </w:t>
      </w:r>
      <w:proofErr w:type="spellStart"/>
      <w:r w:rsidR="00382CAE">
        <w:t>Haleon</w:t>
      </w:r>
      <w:proofErr w:type="spellEnd"/>
      <w:r w:rsidR="00382CAE">
        <w:t xml:space="preserve"> trades at a 20-30% PEG</w:t>
      </w:r>
      <w:r>
        <w:t xml:space="preserve"> discount </w:t>
      </w:r>
      <w:r w:rsidR="00382CAE">
        <w:t xml:space="preserve">to </w:t>
      </w:r>
      <w:r>
        <w:t>European HPC peers for FY2</w:t>
      </w:r>
      <w:r w:rsidR="00382CAE">
        <w:t xml:space="preserve">7. </w:t>
      </w:r>
      <w:r w:rsidR="00513BC9" w:rsidRPr="00513BC9">
        <w:t>While my top-line estimates are only modestly above consensus, I think the market is underpaying for the visibility and quality of this growth, particularly given its lower sensitivity to weak macro.</w:t>
      </w:r>
    </w:p>
    <w:p w14:paraId="437B2AB4" w14:textId="77777777" w:rsidR="00DC083E" w:rsidRDefault="00DC083E" w:rsidP="00DC083E">
      <w:pPr>
        <w:pStyle w:val="NoSpacing"/>
      </w:pPr>
    </w:p>
    <w:p w14:paraId="216A2C0C" w14:textId="01EAE7A4" w:rsidR="00DC083E" w:rsidRDefault="00DC083E" w:rsidP="00DC083E">
      <w:pPr>
        <w:pStyle w:val="NoSpacing"/>
      </w:pPr>
      <w:r>
        <w:t xml:space="preserve">Secondly, </w:t>
      </w:r>
      <w:r w:rsidR="0081484F">
        <w:t xml:space="preserve">I think </w:t>
      </w:r>
      <w:r>
        <w:t xml:space="preserve">consensus margin expectations and FCF forecasts are too low. With </w:t>
      </w:r>
      <w:proofErr w:type="spellStart"/>
      <w:r>
        <w:t>Haleon’s</w:t>
      </w:r>
      <w:proofErr w:type="spellEnd"/>
      <w:r>
        <w:t xml:space="preserve"> cost savings programme </w:t>
      </w:r>
      <w:r w:rsidR="0081484F">
        <w:t>progressing</w:t>
      </w:r>
      <w:r>
        <w:t xml:space="preserve"> well, supply chain rationalisation, and operating leverage, I forecast </w:t>
      </w:r>
      <w:proofErr w:type="spellStart"/>
      <w:r>
        <w:t>adj</w:t>
      </w:r>
      <w:proofErr w:type="spellEnd"/>
      <w:r>
        <w:t xml:space="preserve"> EBIT margins of 24.3% in FY26, </w:t>
      </w:r>
      <w:r w:rsidR="0081484F">
        <w:t xml:space="preserve">around </w:t>
      </w:r>
      <w:r>
        <w:t xml:space="preserve">50bps above consensus, and 25.3% in FY27, </w:t>
      </w:r>
      <w:r w:rsidR="0081484F">
        <w:t xml:space="preserve">around </w:t>
      </w:r>
      <w:r>
        <w:t>100bps above consensus.</w:t>
      </w:r>
      <w:r w:rsidR="0081484F">
        <w:t xml:space="preserve"> </w:t>
      </w:r>
      <w:r w:rsidR="00BE07E8" w:rsidRPr="00BE07E8">
        <w:t xml:space="preserve">The key difference versus consensus is that I expect more of the cost savings to drop through to earnings. </w:t>
      </w:r>
      <w:proofErr w:type="spellStart"/>
      <w:r w:rsidR="00BE07E8" w:rsidRPr="00BE07E8">
        <w:t>Haleon</w:t>
      </w:r>
      <w:proofErr w:type="spellEnd"/>
      <w:r w:rsidR="00BE07E8" w:rsidRPr="00BE07E8">
        <w:t xml:space="preserve"> is already relatively well invested, reducing the need for incremental reinvestment, unlike peers such as Unilever and Reckitt where productivity savings are being more heavily recycled or offsetting stranded costs.</w:t>
      </w:r>
      <w:r w:rsidR="00BE07E8" w:rsidRPr="00BE07E8">
        <w:t xml:space="preserve"> </w:t>
      </w:r>
      <w:r>
        <w:t xml:space="preserve">This also </w:t>
      </w:r>
      <w:r w:rsidR="0081484F">
        <w:t>supports</w:t>
      </w:r>
      <w:r>
        <w:t xml:space="preserve"> double digit EPS CAGR over the next few years.</w:t>
      </w:r>
      <w:r w:rsidR="0081484F">
        <w:t xml:space="preserve"> I also think consensus is understating </w:t>
      </w:r>
      <w:r>
        <w:t xml:space="preserve">FCF </w:t>
      </w:r>
      <w:r w:rsidR="0081484F">
        <w:t xml:space="preserve">both because of the higher EBIT drop through and because </w:t>
      </w:r>
      <w:proofErr w:type="spellStart"/>
      <w:r w:rsidR="0081484F">
        <w:t>Haleon’s</w:t>
      </w:r>
      <w:proofErr w:type="spellEnd"/>
      <w:r w:rsidR="0081484F">
        <w:t xml:space="preserve"> working capital reduction programme is not fully reflected in forecasts. </w:t>
      </w:r>
      <w:r w:rsidR="007C013C" w:rsidRPr="007C013C">
        <w:t>I forecast FCF around 5-10% above consensus for FY26 and FY27, giving additional capacity for buybacks and bolt-on M&amp;A.</w:t>
      </w:r>
    </w:p>
    <w:p w14:paraId="2163E963" w14:textId="77777777" w:rsidR="00DC083E" w:rsidRDefault="00DC083E" w:rsidP="00DC083E">
      <w:pPr>
        <w:pStyle w:val="NoSpacing"/>
      </w:pPr>
    </w:p>
    <w:p w14:paraId="5BB928FC" w14:textId="56428C0A" w:rsidR="00DC083E" w:rsidRDefault="000F452B" w:rsidP="00DC083E">
      <w:pPr>
        <w:pStyle w:val="NoSpacing"/>
      </w:pPr>
      <w:r>
        <w:t xml:space="preserve">Finally on valuation, </w:t>
      </w:r>
      <w:proofErr w:type="spellStart"/>
      <w:r>
        <w:t>Haleon</w:t>
      </w:r>
      <w:proofErr w:type="spellEnd"/>
      <w:r>
        <w:t xml:space="preserve"> looks very attractive. </w:t>
      </w:r>
      <w:proofErr w:type="spellStart"/>
      <w:r>
        <w:t>Haleon</w:t>
      </w:r>
      <w:proofErr w:type="spellEnd"/>
      <w:r>
        <w:t xml:space="preserve"> trades on a </w:t>
      </w:r>
      <w:r w:rsidR="00820552">
        <w:t xml:space="preserve">FY26 and </w:t>
      </w:r>
      <w:r>
        <w:t>27 PE of 15.8x and 14.2x</w:t>
      </w:r>
      <w:r w:rsidR="00820552">
        <w:t xml:space="preserve"> </w:t>
      </w:r>
      <w:r>
        <w:t>at a 20%</w:t>
      </w:r>
      <w:r w:rsidR="00470A8B">
        <w:t xml:space="preserve"> discount</w:t>
      </w:r>
      <w:r>
        <w:t xml:space="preserve"> to E</w:t>
      </w:r>
      <w:r w:rsidR="00820552">
        <w:t>uropean</w:t>
      </w:r>
      <w:r>
        <w:t xml:space="preserve"> HPC for both years. </w:t>
      </w:r>
      <w:r w:rsidR="00820552">
        <w:t xml:space="preserve">It </w:t>
      </w:r>
      <w:r>
        <w:t xml:space="preserve">also offers an FCF yield of 5.7% and 6.8%, </w:t>
      </w:r>
      <w:r w:rsidR="00820552">
        <w:t xml:space="preserve">around </w:t>
      </w:r>
      <w:r>
        <w:t>30%</w:t>
      </w:r>
      <w:r w:rsidR="00B02095">
        <w:t>-</w:t>
      </w:r>
      <w:r>
        <w:t xml:space="preserve">40% </w:t>
      </w:r>
      <w:r w:rsidR="00820552">
        <w:t xml:space="preserve">higher </w:t>
      </w:r>
      <w:r>
        <w:t>than E</w:t>
      </w:r>
      <w:r w:rsidR="00820552">
        <w:t>uropean</w:t>
      </w:r>
      <w:r>
        <w:t xml:space="preserve"> HPC</w:t>
      </w:r>
      <w:r w:rsidR="00820552">
        <w:t xml:space="preserve"> peers</w:t>
      </w:r>
      <w:r>
        <w:t xml:space="preserve">. </w:t>
      </w:r>
      <w:r w:rsidR="00743B0C" w:rsidRPr="00743B0C">
        <w:t>I think t</w:t>
      </w:r>
      <w:r w:rsidR="003644C8">
        <w:t xml:space="preserve">his </w:t>
      </w:r>
      <w:r w:rsidR="00743B0C" w:rsidRPr="00743B0C">
        <w:t>discount is difficult to justify given superior earnings growth</w:t>
      </w:r>
      <w:r w:rsidR="003644C8">
        <w:t xml:space="preserve"> </w:t>
      </w:r>
      <w:r w:rsidR="00743B0C" w:rsidRPr="00743B0C">
        <w:t xml:space="preserve">and </w:t>
      </w:r>
      <w:r w:rsidR="00B02095">
        <w:t>OSG</w:t>
      </w:r>
      <w:r w:rsidR="00743B0C" w:rsidRPr="00743B0C">
        <w:t xml:space="preserve"> towards the top end of the sector.</w:t>
      </w:r>
      <w:r w:rsidR="00743B0C" w:rsidRPr="00743B0C">
        <w:t xml:space="preserve"> </w:t>
      </w:r>
      <w:r w:rsidR="005E5EB0">
        <w:t xml:space="preserve">My price target would imply a valuation of </w:t>
      </w:r>
      <w:r w:rsidR="008D52D5">
        <w:t>18.5</w:t>
      </w:r>
      <w:r w:rsidR="00140D1E">
        <w:t>x</w:t>
      </w:r>
      <w:r w:rsidR="00B02095">
        <w:t xml:space="preserve"> FY27 PE</w:t>
      </w:r>
      <w:r w:rsidR="005E5EB0">
        <w:t xml:space="preserve">, a </w:t>
      </w:r>
      <w:r w:rsidR="008D52D5">
        <w:t>small premium</w:t>
      </w:r>
      <w:r w:rsidR="005E5EB0">
        <w:t xml:space="preserve"> to HPC peers</w:t>
      </w:r>
      <w:r w:rsidR="00095107">
        <w:t xml:space="preserve"> despite its superior growth profile.</w:t>
      </w:r>
    </w:p>
    <w:p w14:paraId="7B6C5BD7" w14:textId="77777777" w:rsidR="000F452B" w:rsidRDefault="000F452B" w:rsidP="00DC083E">
      <w:pPr>
        <w:pStyle w:val="NoSpacing"/>
      </w:pPr>
    </w:p>
    <w:p w14:paraId="786FD9CE" w14:textId="012152BF" w:rsidR="00820552" w:rsidRDefault="000F452B" w:rsidP="00DC083E">
      <w:pPr>
        <w:pStyle w:val="NoSpacing"/>
      </w:pPr>
      <w:r>
        <w:t xml:space="preserve">So why now? </w:t>
      </w:r>
      <w:proofErr w:type="spellStart"/>
      <w:r>
        <w:t>Haleon</w:t>
      </w:r>
      <w:proofErr w:type="spellEnd"/>
      <w:r>
        <w:t xml:space="preserve"> has been overly punished by </w:t>
      </w:r>
      <w:r w:rsidR="00820552">
        <w:t>the recent increase in</w:t>
      </w:r>
      <w:r>
        <w:t xml:space="preserve"> oil prices and</w:t>
      </w:r>
      <w:r w:rsidR="000305F1">
        <w:t xml:space="preserve"> </w:t>
      </w:r>
      <w:r>
        <w:t>yields. The share price is down low-teens % since mid</w:t>
      </w:r>
      <w:r w:rsidR="008C2080">
        <w:t>-</w:t>
      </w:r>
      <w:r>
        <w:t>August</w:t>
      </w:r>
      <w:r w:rsidR="005E5EB0">
        <w:t>, despite no material deterioration in the underlying earnings outlook</w:t>
      </w:r>
      <w:r>
        <w:t xml:space="preserve">. </w:t>
      </w:r>
      <w:r w:rsidR="00B25039" w:rsidRPr="00B25039">
        <w:t>I think the market has over-extrapolated the cost risk</w:t>
      </w:r>
      <w:r w:rsidR="000305F1">
        <w:t>,</w:t>
      </w:r>
      <w:r w:rsidR="00B25039">
        <w:t xml:space="preserve"> as</w:t>
      </w:r>
      <w:r w:rsidR="00B25039" w:rsidRPr="00B25039">
        <w:t xml:space="preserve"> oil-linked costs are only around 3% of revenue, while </w:t>
      </w:r>
      <w:proofErr w:type="spellStart"/>
      <w:r w:rsidR="00B25039" w:rsidRPr="00B25039">
        <w:t>Haleon</w:t>
      </w:r>
      <w:proofErr w:type="spellEnd"/>
      <w:r w:rsidR="00B25039" w:rsidRPr="00B25039">
        <w:t xml:space="preserve"> also benefits from lower category elasticities than many other peers.</w:t>
      </w:r>
      <w:r w:rsidR="00B25039" w:rsidRPr="00B25039">
        <w:t xml:space="preserve"> </w:t>
      </w:r>
      <w:r w:rsidR="00820552" w:rsidRPr="00820552">
        <w:t>Higher bond yields have put further pressure on the multiple</w:t>
      </w:r>
      <w:r w:rsidR="005F5250">
        <w:t xml:space="preserve">. </w:t>
      </w:r>
      <w:r w:rsidR="00820552" w:rsidRPr="00820552">
        <w:t>I therefore see the recent sell-off as an attractive entry point.</w:t>
      </w:r>
    </w:p>
    <w:p w14:paraId="4C7D6700" w14:textId="77777777" w:rsidR="00B25039" w:rsidRDefault="00B25039" w:rsidP="00820552">
      <w:pPr>
        <w:pStyle w:val="NoSpacing"/>
        <w:tabs>
          <w:tab w:val="left" w:pos="1877"/>
        </w:tabs>
      </w:pPr>
    </w:p>
    <w:p w14:paraId="51E77BCF" w14:textId="18B79593" w:rsidR="00DC083E" w:rsidRDefault="000F452B" w:rsidP="00820552">
      <w:pPr>
        <w:pStyle w:val="NoSpacing"/>
        <w:tabs>
          <w:tab w:val="left" w:pos="1877"/>
        </w:tabs>
      </w:pPr>
      <w:r>
        <w:t>As for catalysts,</w:t>
      </w:r>
      <w:r w:rsidR="00820552">
        <w:t xml:space="preserve"> I</w:t>
      </w:r>
      <w:r>
        <w:t xml:space="preserve"> expect improving OSG throughout FY26, with the US market continuing to benefit from increased s</w:t>
      </w:r>
      <w:r w:rsidR="00513BC9">
        <w:t>h</w:t>
      </w:r>
      <w:r>
        <w:t>elf</w:t>
      </w:r>
      <w:r w:rsidR="005F5250">
        <w:t xml:space="preserve"> </w:t>
      </w:r>
      <w:r>
        <w:t xml:space="preserve">space in key retailers. </w:t>
      </w:r>
      <w:r w:rsidR="00A0743F">
        <w:t>The</w:t>
      </w:r>
      <w:r w:rsidR="00A0743F" w:rsidRPr="00A0743F">
        <w:t xml:space="preserve"> delivery of margins ahead of consensus should force EPS and FCF upgrades.</w:t>
      </w:r>
      <w:r w:rsidR="00A0743F" w:rsidRPr="00A0743F">
        <w:t xml:space="preserve"> </w:t>
      </w:r>
      <w:r w:rsidR="00820552" w:rsidRPr="00820552">
        <w:t xml:space="preserve">Strong cash generation also creates potential for additional share buybacks </w:t>
      </w:r>
      <w:r w:rsidR="005F5250">
        <w:t>and further capital returns.</w:t>
      </w:r>
    </w:p>
    <w:p w14:paraId="6E7B4E8E" w14:textId="77777777" w:rsidR="00DC083E" w:rsidRDefault="00DC083E" w:rsidP="00DC083E">
      <w:pPr>
        <w:pStyle w:val="NoSpacing"/>
      </w:pPr>
    </w:p>
    <w:p w14:paraId="023C7200" w14:textId="77777777" w:rsidR="00DC083E" w:rsidRDefault="00DC083E" w:rsidP="00DC083E">
      <w:pPr>
        <w:pStyle w:val="NoSpacing"/>
      </w:pPr>
    </w:p>
    <w:p w14:paraId="3F415644" w14:textId="77777777" w:rsidR="00DC083E" w:rsidRDefault="00DC083E" w:rsidP="00DC083E">
      <w:pPr>
        <w:pStyle w:val="NoSpacing"/>
      </w:pPr>
    </w:p>
    <w:p w14:paraId="6C70E911" w14:textId="77777777" w:rsidR="00DC083E" w:rsidRDefault="00DC083E" w:rsidP="00DC083E">
      <w:pPr>
        <w:pStyle w:val="NoSpacing"/>
      </w:pPr>
    </w:p>
    <w:p w14:paraId="125E1438" w14:textId="77777777" w:rsidR="00DC083E" w:rsidRDefault="00DC083E" w:rsidP="00DC083E">
      <w:pPr>
        <w:pStyle w:val="NoSpacing"/>
      </w:pPr>
    </w:p>
    <w:p w14:paraId="5F5A3F0A" w14:textId="77777777" w:rsidR="00DC083E" w:rsidRDefault="00DC083E" w:rsidP="00DC083E">
      <w:pPr>
        <w:pStyle w:val="NoSpacing"/>
      </w:pPr>
    </w:p>
    <w:p w14:paraId="10205D2D" w14:textId="77777777" w:rsidR="00DC083E" w:rsidRDefault="00DC083E" w:rsidP="00DC083E">
      <w:pPr>
        <w:pStyle w:val="NoSpacing"/>
      </w:pPr>
    </w:p>
    <w:p w14:paraId="44C6E5D1" w14:textId="77777777" w:rsidR="00DC083E" w:rsidRDefault="00DC083E" w:rsidP="00DC083E">
      <w:pPr>
        <w:pStyle w:val="NoSpacing"/>
      </w:pPr>
    </w:p>
    <w:p w14:paraId="3A2EC43F" w14:textId="77777777" w:rsidR="00DC083E" w:rsidRDefault="00DC083E" w:rsidP="00DC083E">
      <w:pPr>
        <w:pStyle w:val="NoSpacing"/>
      </w:pPr>
    </w:p>
    <w:p w14:paraId="334D4FDF" w14:textId="77777777" w:rsidR="00DC083E" w:rsidRDefault="00DC083E" w:rsidP="00DC083E">
      <w:pPr>
        <w:pStyle w:val="NoSpacing"/>
      </w:pPr>
    </w:p>
    <w:p w14:paraId="2453E0CB" w14:textId="77777777" w:rsidR="00DC083E" w:rsidRDefault="00DC083E" w:rsidP="00DC083E">
      <w:pPr>
        <w:pStyle w:val="NoSpacing"/>
      </w:pPr>
    </w:p>
    <w:p w14:paraId="642A4CA5" w14:textId="77777777" w:rsidR="00DC083E" w:rsidRDefault="00DC083E" w:rsidP="00DC083E">
      <w:pPr>
        <w:pStyle w:val="NoSpacing"/>
      </w:pPr>
    </w:p>
    <w:p w14:paraId="22E2F011" w14:textId="77777777" w:rsidR="00DC083E" w:rsidRDefault="00DC083E" w:rsidP="00DC083E">
      <w:pPr>
        <w:pStyle w:val="NoSpacing"/>
      </w:pPr>
    </w:p>
    <w:p w14:paraId="34A7117A" w14:textId="77777777" w:rsidR="00DC083E" w:rsidRDefault="00DC083E" w:rsidP="00DC083E">
      <w:pPr>
        <w:pStyle w:val="NoSpacing"/>
      </w:pPr>
    </w:p>
    <w:p w14:paraId="6F534A27" w14:textId="77777777" w:rsidR="00DC083E" w:rsidRDefault="00DC083E" w:rsidP="00DC083E">
      <w:pPr>
        <w:pStyle w:val="NoSpacing"/>
      </w:pPr>
    </w:p>
    <w:p w14:paraId="5960DC61" w14:textId="77777777" w:rsidR="00DC083E" w:rsidRDefault="00DC083E" w:rsidP="00DC083E">
      <w:pPr>
        <w:pStyle w:val="NoSpacing"/>
      </w:pPr>
    </w:p>
    <w:p w14:paraId="57DFE76E" w14:textId="77777777" w:rsidR="00DC083E" w:rsidRDefault="00DC083E" w:rsidP="00DC083E">
      <w:pPr>
        <w:pStyle w:val="NoSpacing"/>
      </w:pPr>
    </w:p>
    <w:p w14:paraId="7427D162" w14:textId="77777777" w:rsidR="00DC083E" w:rsidRDefault="00DC083E" w:rsidP="00DC083E">
      <w:pPr>
        <w:pStyle w:val="NoSpacing"/>
      </w:pPr>
    </w:p>
    <w:p w14:paraId="17CA1C54" w14:textId="77777777" w:rsidR="00DC083E" w:rsidRDefault="00DC083E" w:rsidP="00DC083E">
      <w:pPr>
        <w:pStyle w:val="NoSpacing"/>
      </w:pPr>
    </w:p>
    <w:p w14:paraId="7C5245EB" w14:textId="77777777" w:rsidR="00DC083E" w:rsidRDefault="00DC083E" w:rsidP="00DC083E">
      <w:pPr>
        <w:pStyle w:val="NoSpacing"/>
      </w:pPr>
    </w:p>
    <w:p w14:paraId="753DC50B" w14:textId="77777777" w:rsidR="00DC083E" w:rsidRDefault="00DC083E" w:rsidP="00DC083E">
      <w:pPr>
        <w:pStyle w:val="NoSpacing"/>
      </w:pPr>
    </w:p>
    <w:p w14:paraId="3F9C6A08" w14:textId="77777777" w:rsidR="00DC083E" w:rsidRDefault="00DC083E" w:rsidP="00DC083E">
      <w:pPr>
        <w:pStyle w:val="NoSpacing"/>
      </w:pPr>
    </w:p>
    <w:p w14:paraId="08001CD8" w14:textId="77777777" w:rsidR="00DC083E" w:rsidRDefault="00DC083E" w:rsidP="00DC083E">
      <w:pPr>
        <w:pStyle w:val="NoSpacing"/>
      </w:pPr>
    </w:p>
    <w:p w14:paraId="6EBDDD38" w14:textId="77777777" w:rsidR="00DC083E" w:rsidRDefault="00DC083E" w:rsidP="00DC083E">
      <w:pPr>
        <w:pStyle w:val="NoSpacing"/>
      </w:pPr>
    </w:p>
    <w:p w14:paraId="1CCD55B8" w14:textId="77777777" w:rsidR="00DC083E" w:rsidRDefault="00DC083E" w:rsidP="00DC083E">
      <w:pPr>
        <w:pStyle w:val="NoSpacing"/>
      </w:pPr>
    </w:p>
    <w:p w14:paraId="13D7DDCD" w14:textId="77777777" w:rsidR="00DC083E" w:rsidRDefault="00DC083E" w:rsidP="00DC083E">
      <w:pPr>
        <w:pStyle w:val="NoSpacing"/>
      </w:pPr>
    </w:p>
    <w:p w14:paraId="404B0DCA" w14:textId="77777777" w:rsidR="00DC083E" w:rsidRDefault="00DC083E" w:rsidP="00DC083E">
      <w:pPr>
        <w:pStyle w:val="NoSpacing"/>
      </w:pPr>
    </w:p>
    <w:p w14:paraId="73E616A6" w14:textId="77777777" w:rsidR="00DC083E" w:rsidRDefault="00DC083E" w:rsidP="00DC083E">
      <w:pPr>
        <w:pStyle w:val="NoSpacing"/>
      </w:pPr>
    </w:p>
    <w:sectPr w:rsidR="00DC083E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83E"/>
    <w:rsid w:val="000305F1"/>
    <w:rsid w:val="00064E55"/>
    <w:rsid w:val="00093346"/>
    <w:rsid w:val="00095107"/>
    <w:rsid w:val="000C2B92"/>
    <w:rsid w:val="000F452B"/>
    <w:rsid w:val="00103436"/>
    <w:rsid w:val="00140D1E"/>
    <w:rsid w:val="001B13D0"/>
    <w:rsid w:val="001E0848"/>
    <w:rsid w:val="0021407A"/>
    <w:rsid w:val="0029419A"/>
    <w:rsid w:val="003644C8"/>
    <w:rsid w:val="00381AE6"/>
    <w:rsid w:val="00382CAE"/>
    <w:rsid w:val="003B586C"/>
    <w:rsid w:val="003E5CCE"/>
    <w:rsid w:val="00446A5B"/>
    <w:rsid w:val="00470A8B"/>
    <w:rsid w:val="00473A95"/>
    <w:rsid w:val="00513BC9"/>
    <w:rsid w:val="005B0A96"/>
    <w:rsid w:val="005E5EB0"/>
    <w:rsid w:val="005F3C92"/>
    <w:rsid w:val="005F5250"/>
    <w:rsid w:val="00696780"/>
    <w:rsid w:val="00700BDC"/>
    <w:rsid w:val="00702968"/>
    <w:rsid w:val="00743B0C"/>
    <w:rsid w:val="007C013C"/>
    <w:rsid w:val="007D40FC"/>
    <w:rsid w:val="0081484F"/>
    <w:rsid w:val="00820552"/>
    <w:rsid w:val="00825E25"/>
    <w:rsid w:val="008C2080"/>
    <w:rsid w:val="008D52D5"/>
    <w:rsid w:val="00A0743F"/>
    <w:rsid w:val="00A82C2D"/>
    <w:rsid w:val="00AF05A1"/>
    <w:rsid w:val="00B003E4"/>
    <w:rsid w:val="00B02095"/>
    <w:rsid w:val="00B25039"/>
    <w:rsid w:val="00B56B3A"/>
    <w:rsid w:val="00B77310"/>
    <w:rsid w:val="00BA191D"/>
    <w:rsid w:val="00BE07E8"/>
    <w:rsid w:val="00C41D99"/>
    <w:rsid w:val="00CA3748"/>
    <w:rsid w:val="00D25C68"/>
    <w:rsid w:val="00DA64B7"/>
    <w:rsid w:val="00DC0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A88AB"/>
  <w15:chartTrackingRefBased/>
  <w15:docId w15:val="{DD93B49D-FE31-A346-A1FE-6A5AE9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8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8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8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8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8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8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8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8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8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8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8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8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8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8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8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C08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524</Words>
  <Characters>2991</Characters>
  <Application>Microsoft Office Word</Application>
  <DocSecurity>0</DocSecurity>
  <Lines>24</Lines>
  <Paragraphs>7</Paragraphs>
  <ScaleCrop>false</ScaleCrop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52</cp:revision>
  <dcterms:created xsi:type="dcterms:W3CDTF">2026-09-13T13:14:00Z</dcterms:created>
  <dcterms:modified xsi:type="dcterms:W3CDTF">2026-09-13T14:58:00Z</dcterms:modified>
</cp:coreProperties>
</file>