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2A6659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0A37501D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5DAB6C7B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02EB378F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6A05A809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5A39BBE3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41C8F396">
      <w:pPr>
        <w:spacing w:line="276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drawing>
          <wp:inline distT="0" distB="0" distL="0" distR="0">
            <wp:extent cx="1943735" cy="1930400"/>
            <wp:effectExtent l="0" t="0" r="0" b="0"/>
            <wp:docPr id="4" name="Picture 3" descr="A close-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close-up of a logo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889"/>
                    <a:stretch>
                      <a:fillRect/>
                    </a:stretch>
                  </pic:blipFill>
                  <pic:spPr>
                    <a:xfrm>
                      <a:off x="0" y="0"/>
                      <a:ext cx="1944157" cy="1930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57C16">
      <w:pPr>
        <w:spacing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72A3D3EC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70EECACB">
      <w:pPr>
        <w:spacing w:line="276" w:lineRule="auto"/>
        <w:jc w:val="center"/>
        <w:rPr>
          <w:rFonts w:ascii="Arial" w:hAnsi="Arial" w:cs="Arial"/>
          <w:b/>
          <w:bCs/>
          <w:sz w:val="40"/>
          <w:szCs w:val="40"/>
        </w:rPr>
      </w:pPr>
      <w:r>
        <w:rPr>
          <w:rFonts w:ascii="Arial" w:hAnsi="Arial" w:cs="Arial"/>
          <w:b/>
          <w:bCs/>
          <w:sz w:val="40"/>
          <w:szCs w:val="40"/>
        </w:rPr>
        <w:t>Circuits Analysis &amp; Design – 2025-26, Semester I</w:t>
      </w:r>
    </w:p>
    <w:p w14:paraId="489FF816">
      <w:pPr>
        <w:spacing w:line="276" w:lineRule="auto"/>
        <w:jc w:val="center"/>
        <w:rPr>
          <w:rFonts w:ascii="Arial" w:hAnsi="Arial" w:cs="Arial"/>
          <w:b/>
          <w:sz w:val="36"/>
          <w:szCs w:val="24"/>
        </w:rPr>
      </w:pPr>
      <w:r>
        <w:rPr>
          <w:rFonts w:ascii="Arial" w:hAnsi="Arial" w:cs="Arial"/>
          <w:b/>
          <w:sz w:val="36"/>
          <w:szCs w:val="24"/>
        </w:rPr>
        <w:t>Individual Project Report</w:t>
      </w:r>
    </w:p>
    <w:p w14:paraId="0D0B940D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0E27B00A">
      <w:pPr>
        <w:spacing w:line="276" w:lineRule="auto"/>
        <w:rPr>
          <w:rFonts w:ascii="Arial" w:hAnsi="Arial" w:cs="Arial"/>
          <w:b/>
          <w:sz w:val="24"/>
          <w:szCs w:val="24"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27"/>
        <w:gridCol w:w="4927"/>
      </w:tblGrid>
      <w:tr w14:paraId="07539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27" w:type="dxa"/>
          </w:tcPr>
          <w:p w14:paraId="5128E9B5">
            <w:pPr>
              <w:spacing w:after="0" w:line="276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Student’s Chinese name</w:t>
            </w:r>
          </w:p>
        </w:tc>
        <w:tc>
          <w:tcPr>
            <w:tcW w:w="4927" w:type="dxa"/>
          </w:tcPr>
          <w:p w14:paraId="60061E4C">
            <w:pPr>
              <w:spacing w:after="0" w:line="276" w:lineRule="auto"/>
              <w:rPr>
                <w:rFonts w:hint="default" w:ascii="Arial" w:hAnsi="Arial" w:cs="Arial" w:eastAsiaTheme="minorEastAsia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Arial" w:hAnsi="Arial" w:cs="Arial"/>
                <w:b/>
                <w:sz w:val="24"/>
                <w:szCs w:val="24"/>
                <w:lang w:val="en-US" w:eastAsia="zh-CN"/>
              </w:rPr>
              <w:t xml:space="preserve">                       Chengwei Cao</w:t>
            </w:r>
          </w:p>
        </w:tc>
      </w:tr>
      <w:tr w14:paraId="0798FF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27" w:type="dxa"/>
          </w:tcPr>
          <w:p w14:paraId="36A92486">
            <w:pPr>
              <w:spacing w:after="0" w:line="276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Student’s English name</w:t>
            </w:r>
          </w:p>
        </w:tc>
        <w:tc>
          <w:tcPr>
            <w:tcW w:w="4927" w:type="dxa"/>
          </w:tcPr>
          <w:p w14:paraId="44EAFD9C">
            <w:pPr>
              <w:spacing w:after="0" w:line="276" w:lineRule="auto"/>
              <w:rPr>
                <w:rFonts w:hint="default" w:ascii="Arial" w:hAnsi="Arial" w:cs="Arial" w:eastAsiaTheme="minorEastAsia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Arial" w:hAnsi="Arial" w:cs="Arial"/>
                <w:b/>
                <w:sz w:val="24"/>
                <w:szCs w:val="24"/>
                <w:lang w:val="en-US" w:eastAsia="zh-CN"/>
              </w:rPr>
              <w:t xml:space="preserve">                            William</w:t>
            </w:r>
          </w:p>
        </w:tc>
      </w:tr>
      <w:tr w14:paraId="6D6A58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27" w:type="dxa"/>
          </w:tcPr>
          <w:p w14:paraId="6619BD5A">
            <w:pPr>
              <w:spacing w:after="0" w:line="276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Student’s UESTC ID#</w:t>
            </w:r>
          </w:p>
        </w:tc>
        <w:tc>
          <w:tcPr>
            <w:tcW w:w="4927" w:type="dxa"/>
          </w:tcPr>
          <w:p w14:paraId="4B94D5A5">
            <w:pPr>
              <w:spacing w:after="0" w:line="276" w:lineRule="auto"/>
              <w:ind w:firstLine="1441" w:firstLineChars="600"/>
              <w:rPr>
                <w:rFonts w:hint="default" w:ascii="Arial" w:hAnsi="Arial" w:cs="Arial" w:eastAsiaTheme="minorEastAsia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Arial" w:hAnsi="Arial" w:cs="Arial"/>
                <w:b/>
                <w:sz w:val="24"/>
                <w:szCs w:val="24"/>
                <w:lang w:val="en-US" w:eastAsia="zh-CN"/>
              </w:rPr>
              <w:t>2024300901016</w:t>
            </w:r>
          </w:p>
        </w:tc>
      </w:tr>
      <w:tr w14:paraId="571A6F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27" w:type="dxa"/>
          </w:tcPr>
          <w:p w14:paraId="6EC653AB">
            <w:pPr>
              <w:spacing w:after="0" w:line="276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Student’s UoG ID#</w:t>
            </w:r>
          </w:p>
        </w:tc>
        <w:tc>
          <w:tcPr>
            <w:tcW w:w="4927" w:type="dxa"/>
          </w:tcPr>
          <w:p w14:paraId="3DEEC669">
            <w:pPr>
              <w:spacing w:after="0" w:line="276" w:lineRule="auto"/>
              <w:ind w:firstLine="1921" w:firstLineChars="800"/>
              <w:rPr>
                <w:rFonts w:hint="default" w:ascii="Arial" w:hAnsi="Arial" w:cs="Arial" w:eastAsiaTheme="minorEastAsia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Arial" w:hAnsi="Arial" w:cs="Arial"/>
                <w:b/>
                <w:sz w:val="24"/>
                <w:szCs w:val="24"/>
                <w:lang w:val="en-US" w:eastAsia="zh-CN"/>
              </w:rPr>
              <w:t>3072936</w:t>
            </w:r>
          </w:p>
        </w:tc>
      </w:tr>
    </w:tbl>
    <w:p w14:paraId="3656B9AB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45FB0818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049F31CB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53128261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62486C05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4101652C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4B99056E">
      <w:pPr>
        <w:pStyle w:val="14"/>
        <w:jc w:val="center"/>
        <w:rPr>
          <w:rFonts w:ascii="Arial" w:hAnsi="Arial" w:cs="Arial"/>
          <w:sz w:val="24"/>
        </w:rPr>
      </w:pPr>
    </w:p>
    <w:p w14:paraId="159B81DF">
      <w:pPr>
        <w:spacing w:line="276" w:lineRule="auto"/>
        <w:rPr>
          <w:rFonts w:ascii="Arial" w:hAnsi="Arial" w:cs="Arial"/>
          <w:b/>
        </w:rPr>
      </w:pPr>
    </w:p>
    <w:p w14:paraId="469395D0">
      <w:pPr>
        <w:spacing w:line="276" w:lineRule="auto"/>
        <w:rPr>
          <w:rFonts w:hint="eastAsia" w:ascii="Times New Roman" w:hAnsi="Times New Roman" w:eastAsia="sans-serif" w:cs="Times New Roman"/>
          <w:b/>
          <w:bCs/>
          <w:i w:val="0"/>
          <w:iCs w:val="0"/>
          <w:caps w:val="0"/>
          <w:color w:val="1F1F1F"/>
          <w:spacing w:val="0"/>
          <w:sz w:val="24"/>
          <w:szCs w:val="24"/>
          <w:shd w:val="clear" w:fill="FFFFFF"/>
          <w:lang w:val="en-US" w:eastAsia="zh-CN" w:bidi="ar-SA"/>
        </w:rPr>
      </w:pPr>
    </w:p>
    <w:p w14:paraId="06DDBBCD">
      <w:pPr>
        <w:keepNext w:val="0"/>
        <w:keepLines w:val="0"/>
        <w:widowControl/>
        <w:suppressLineNumbers w:val="0"/>
        <w:jc w:val="left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kern w:val="0"/>
          <w:sz w:val="22"/>
          <w:szCs w:val="22"/>
          <w:shd w:val="clear" w:fill="FFFFFF"/>
          <w:lang w:val="en-US" w:eastAsia="zh-CN" w:bidi="ar"/>
        </w:rPr>
      </w:pPr>
      <w:r>
        <w:rPr>
          <w:rFonts w:hint="eastAsia" w:ascii="Arial" w:hAnsi="Arial" w:eastAsia="sans-serif" w:cs="Arial"/>
          <w:i w:val="0"/>
          <w:iCs w:val="0"/>
          <w:caps w:val="0"/>
          <w:color w:val="1F1F1F"/>
          <w:spacing w:val="0"/>
          <w:kern w:val="0"/>
          <w:sz w:val="22"/>
          <w:szCs w:val="22"/>
          <w:shd w:val="clear" w:fill="FFFFFF"/>
          <w:lang w:val="en-US" w:eastAsia="zh-CN" w:bidi="ar"/>
        </w:rPr>
        <w:t>Abstract</w:t>
      </w:r>
    </w:p>
    <w:p w14:paraId="2D74BC52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宋体" w:cs="Arial"/>
          <w:sz w:val="22"/>
          <w:szCs w:val="22"/>
          <w:lang w:val="en-US" w:eastAsia="zh-CN"/>
        </w:rPr>
      </w:pP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This report presents the design and validation of two filtering architectures for high-precision neural signal acquisition in EEG amplifiers [1]. The primary objective was to isolate a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10 kHz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brainwave signal while achieving at least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20 dB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rejection of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100 Hz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power-line artifacts and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100 kHz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 xml:space="preserve"> switching noise [2]. Using </w:t>
      </w:r>
      <w:r>
        <w:rPr>
          <w:rFonts w:hint="default" w:ascii="Arial" w:hAnsi="Arial" w:eastAsia="宋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LTs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pice, a 4th-order passive LC ladder filter and an active cascaded RC filter with an LM741 op-amp were developed [3]. Both designs successfully achieved the required passband flatness of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≤1 dB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between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8-12 kHz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. Experimental prototyping on a breadboard further validated the designs, demonstrating robust performance despite real-world component tolerances [4]</w:t>
      </w:r>
      <w:r>
        <w:rPr>
          <w:rFonts w:hint="default" w:ascii="Arial" w:hAnsi="Arial" w:eastAsia="宋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.</w:t>
      </w:r>
      <w:bookmarkStart w:id="0" w:name="_GoBack"/>
      <w:bookmarkEnd w:id="0"/>
    </w:p>
    <w:p w14:paraId="3A6D468A">
      <w:pPr>
        <w:pStyle w:val="15"/>
        <w:keepNext w:val="0"/>
        <w:keepLines w:val="0"/>
        <w:widowControl/>
        <w:numPr>
          <w:numId w:val="0"/>
        </w:numPr>
        <w:suppressLineNumbers w:val="0"/>
        <w:shd w:val="clear" w:fill="FFFFFF"/>
        <w:spacing w:before="0" w:beforeAutospacing="0" w:after="192" w:afterAutospacing="0"/>
        <w:ind w:leftChars="0" w:right="0" w:rightChars="0"/>
        <w:rPr>
          <w:rFonts w:hint="default" w:ascii="Arial" w:hAnsi="Arial" w:cs="Arial"/>
          <w:sz w:val="22"/>
          <w:szCs w:val="22"/>
          <w:lang w:val="en-US" w:eastAsia="zh-CN"/>
        </w:rPr>
      </w:pPr>
      <w:r>
        <w:rPr>
          <w:rFonts w:hint="eastAsia" w:ascii="Arial" w:hAnsi="Arial" w:cs="Arial"/>
          <w:sz w:val="22"/>
          <w:szCs w:val="22"/>
          <w:lang w:val="en-US" w:eastAsia="zh-CN"/>
        </w:rPr>
        <w:t>1.</w:t>
      </w:r>
      <w:r>
        <w:rPr>
          <w:rFonts w:hint="default" w:ascii="Arial" w:hAnsi="Arial" w:cs="Arial"/>
          <w:sz w:val="22"/>
          <w:szCs w:val="22"/>
          <w:lang w:val="en-US" w:eastAsia="zh-CN"/>
        </w:rPr>
        <w:t>Introduction</w:t>
      </w:r>
    </w:p>
    <w:p w14:paraId="33DCF59A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</w:rPr>
      </w:pP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Electroencephalogram (EEG) recordings are critical for cognitive analysis but are highly susceptible to environmental interference due to the low-amplitude nature of biopotentials [1]. In clinical settings, signals of interest are often centered at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10 kHz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and are masked by two main noise sources: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100 Hz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power-line harmonics and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100 kHz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electromagnetic interference from switching mode power supplies [2].</w:t>
      </w:r>
    </w:p>
    <w:p w14:paraId="3002C8FF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</w:rPr>
      </w:pP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According to filter theory, a high-order roll-off is necessary to achieve steep transition bands between the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8-12 kHz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passband and the noise frequencies [3]. Passive LC ladder filters are traditionally utilized for their high Quality Factor (Q) and lack of active noise, though they suffer from insertion loss and bulky components [4]. Alternatively, active RC filters using operational amplifiers like the 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LM741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provide gain compensation and impedance buffering, but their performance is limited by the Gain-Bandwidth Product and Slew Rate of the active device [5]. This project evaluates both methodologies to optimize signal integrity for high-fidelity neural recording [6].</w:t>
      </w:r>
    </w:p>
    <w:p w14:paraId="2D3F94FA">
      <w:pPr>
        <w:pStyle w:val="15"/>
        <w:keepNext w:val="0"/>
        <w:keepLines w:val="0"/>
        <w:widowControl/>
        <w:numPr>
          <w:numId w:val="0"/>
        </w:numPr>
        <w:suppressLineNumbers w:val="0"/>
        <w:shd w:val="clear" w:fill="FFFFFF"/>
        <w:spacing w:before="0" w:beforeAutospacing="0" w:after="192" w:afterAutospacing="0"/>
        <w:ind w:leftChars="0" w:right="0" w:rightChars="0"/>
        <w:rPr>
          <w:rFonts w:hint="eastAsia" w:ascii="Arial" w:hAnsi="Arial" w:cs="Arial"/>
          <w:sz w:val="22"/>
          <w:szCs w:val="22"/>
          <w:lang w:val="en-US" w:eastAsia="zh-CN"/>
        </w:rPr>
      </w:pPr>
      <w:r>
        <w:rPr>
          <w:rFonts w:hint="eastAsia" w:ascii="Arial" w:hAnsi="Arial" w:cs="Arial"/>
          <w:sz w:val="22"/>
          <w:szCs w:val="22"/>
          <w:lang w:val="en-US" w:eastAsia="zh-CN"/>
        </w:rPr>
        <w:t>2.Methodology</w:t>
      </w:r>
    </w:p>
    <w:p w14:paraId="7F2A29A6">
      <w:pPr>
        <w:pStyle w:val="15"/>
        <w:keepNext w:val="0"/>
        <w:keepLines w:val="0"/>
        <w:widowControl/>
        <w:numPr>
          <w:numId w:val="0"/>
        </w:numPr>
        <w:suppressLineNumbers w:val="0"/>
        <w:shd w:val="clear" w:fill="FFFFFF"/>
        <w:spacing w:before="0" w:beforeAutospacing="0" w:after="192" w:afterAutospacing="0"/>
        <w:ind w:leftChars="0" w:right="0" w:rightChars="0"/>
        <w:rPr>
          <w:rFonts w:hint="default" w:ascii="Arial" w:hAnsi="Arial" w:cs="Arial"/>
          <w:sz w:val="22"/>
          <w:szCs w:val="22"/>
          <w:lang w:val="en-US" w:eastAsia="zh-CN"/>
        </w:rPr>
      </w:pP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 xml:space="preserve">The design methodology involves translating clinical requirements into hardware parameters through mathematical modeling and </w:t>
      </w:r>
      <w:r>
        <w:rPr>
          <w:rFonts w:hint="default" w:ascii="Arial" w:hAnsi="Arial" w:eastAsia="宋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LTs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pice verification.</w:t>
      </w:r>
    </w:p>
    <w:p w14:paraId="2BA36DCA">
      <w:pPr>
        <w:pStyle w:val="15"/>
        <w:keepNext w:val="0"/>
        <w:keepLines w:val="0"/>
        <w:widowControl/>
        <w:numPr>
          <w:numId w:val="0"/>
        </w:numPr>
        <w:suppressLineNumbers w:val="0"/>
        <w:shd w:val="clear" w:fill="FFFFFF"/>
        <w:spacing w:before="0" w:beforeAutospacing="0" w:after="192" w:afterAutospacing="0"/>
        <w:ind w:leftChars="0" w:right="0" w:rightChars="0"/>
        <w:rPr>
          <w:rFonts w:hint="default" w:ascii="Arial" w:hAnsi="Arial" w:cs="Arial"/>
          <w:sz w:val="22"/>
          <w:szCs w:val="22"/>
          <w:lang w:val="en-US" w:eastAsia="zh-CN"/>
        </w:rPr>
      </w:pPr>
      <w:r>
        <w:drawing>
          <wp:inline distT="0" distB="0" distL="114300" distR="114300">
            <wp:extent cx="3018790" cy="1259205"/>
            <wp:effectExtent l="0" t="0" r="13970" b="5715"/>
            <wp:docPr id="33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2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18790" cy="1259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157220" cy="1261110"/>
            <wp:effectExtent l="0" t="0" r="12700" b="3810"/>
            <wp:docPr id="34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2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57220" cy="1261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4220A3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jc w:val="center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Figure 1: Comparison of finalized circuit schematics</w:t>
      </w:r>
      <w:r>
        <w:rPr>
          <w:rFonts w:hint="eastAsia" w:ascii="Arial" w:hAnsi="Arial" w:eastAsia="宋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.Left: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 xml:space="preserve"> 4th-order passive LC ladder</w:t>
      </w:r>
      <w:r>
        <w:rPr>
          <w:rFonts w:hint="eastAsia" w:ascii="Arial" w:hAnsi="Arial" w:eastAsia="宋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;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 xml:space="preserve"> </w:t>
      </w:r>
      <w:r>
        <w:rPr>
          <w:rFonts w:hint="eastAsia" w:ascii="Arial" w:hAnsi="Arial" w:eastAsia="宋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Right: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 xml:space="preserve"> Active RC with LM741 compensation.</w:t>
      </w:r>
    </w:p>
    <w:p w14:paraId="040B564D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jc w:val="both"/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</w:rPr>
      </w:pP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2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.1 Scheme 1: 4th-order Passive LC Ladder Filter</w:t>
      </w:r>
    </w:p>
    <w:p w14:paraId="13C60CA1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96" w:afterAutospacing="0"/>
        <w:ind w:left="0" w:right="0" w:firstLine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</w:rPr>
      </w:pP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The selection of a 4th-order ladder structure is driven by the need for a high-order roll-off to satisfy the steep transition band requirements.</w:t>
      </w:r>
    </w:p>
    <w:p w14:paraId="09C73E39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  <w:r>
        <w:rPr>
          <w:rFonts w:hint="eastAsia" w:ascii="Arial" w:hAnsi="Arial" w:eastAsia="宋体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·</w:t>
      </w:r>
      <w:r>
        <w:rPr>
          <w:rFonts w:hint="default" w:ascii="Arial" w:hAnsi="Arial" w:eastAsia="sans-serif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Inductance (</w:t>
      </w:r>
      <w:r>
        <w:rPr>
          <w:rFonts w:hint="default" w:ascii="Arial" w:hAnsi="Arial" w:eastAsia="KaTeX_Math" w:cs="Arial"/>
          <w:b/>
          <w:bCs/>
          <w:i/>
          <w:iCs/>
          <w:caps w:val="0"/>
          <w:color w:val="1F1F1F"/>
          <w:spacing w:val="0"/>
          <w:sz w:val="22"/>
          <w:szCs w:val="22"/>
          <w:shd w:val="clear" w:fill="FFFFFF"/>
        </w:rPr>
        <w:t>L</w:t>
      </w:r>
      <w:r>
        <w:rPr>
          <w:rFonts w:hint="default" w:ascii="Arial" w:hAnsi="Arial" w:eastAsia="Times New Roman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1,</w:t>
      </w:r>
      <w:r>
        <w:rPr>
          <w:rFonts w:hint="default" w:ascii="Arial" w:hAnsi="Arial" w:eastAsia="KaTeX_Math" w:cs="Arial"/>
          <w:b/>
          <w:bCs/>
          <w:i/>
          <w:iCs/>
          <w:caps w:val="0"/>
          <w:color w:val="1F1F1F"/>
          <w:spacing w:val="0"/>
          <w:sz w:val="22"/>
          <w:szCs w:val="22"/>
          <w:shd w:val="clear" w:fill="FFFFFF"/>
        </w:rPr>
        <w:t>L</w:t>
      </w:r>
      <w:r>
        <w:rPr>
          <w:rFonts w:hint="default" w:ascii="Arial" w:hAnsi="Arial" w:eastAsia="Times New Roman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2</w:t>
      </w:r>
      <w:r>
        <w:rPr>
          <w:rFonts w:hint="default" w:ascii="Arial" w:hAnsi="Arial" w:eastAsia="sans-serif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)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: Two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10 mH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inductors are used to provide high impedance at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100 kHz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.</w:t>
      </w:r>
    </w:p>
    <w:p w14:paraId="32AC5E69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cs="Arial"/>
          <w:sz w:val="22"/>
          <w:szCs w:val="22"/>
        </w:rPr>
      </w:pPr>
      <w:r>
        <w:rPr>
          <w:rFonts w:hint="eastAsia" w:ascii="Arial" w:hAnsi="Arial" w:eastAsia="宋体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·</w:t>
      </w:r>
      <w:r>
        <w:rPr>
          <w:rFonts w:hint="default" w:ascii="Arial" w:hAnsi="Arial" w:eastAsia="sans-serif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Capacitance (</w:t>
      </w:r>
      <w:r>
        <w:rPr>
          <w:rFonts w:hint="default" w:ascii="Arial" w:hAnsi="Arial" w:eastAsia="KaTeX_Math" w:cs="Arial"/>
          <w:b/>
          <w:bCs/>
          <w:i/>
          <w:iCs/>
          <w:caps w:val="0"/>
          <w:color w:val="1F1F1F"/>
          <w:spacing w:val="0"/>
          <w:sz w:val="22"/>
          <w:szCs w:val="22"/>
          <w:shd w:val="clear" w:fill="FFFFFF"/>
        </w:rPr>
        <w:t>C</w:t>
      </w:r>
      <w:r>
        <w:rPr>
          <w:rFonts w:hint="default" w:ascii="Arial" w:hAnsi="Arial" w:eastAsia="Times New Roman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1,</w:t>
      </w:r>
      <w:r>
        <w:rPr>
          <w:rFonts w:hint="default" w:ascii="Arial" w:hAnsi="Arial" w:eastAsia="KaTeX_Math" w:cs="Arial"/>
          <w:b/>
          <w:bCs/>
          <w:i/>
          <w:iCs/>
          <w:caps w:val="0"/>
          <w:color w:val="1F1F1F"/>
          <w:spacing w:val="0"/>
          <w:sz w:val="22"/>
          <w:szCs w:val="22"/>
          <w:shd w:val="clear" w:fill="FFFFFF"/>
        </w:rPr>
        <w:t>C</w:t>
      </w:r>
      <w:r>
        <w:rPr>
          <w:rFonts w:hint="default" w:ascii="Arial" w:hAnsi="Arial" w:eastAsia="Times New Roman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2</w:t>
      </w:r>
      <w:r>
        <w:rPr>
          <w:rFonts w:hint="default" w:ascii="Arial" w:hAnsi="Arial" w:eastAsia="sans-serif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)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: Based on the resonance formula 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f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0</w:t>
      </w:r>
      <w:r>
        <w:rPr>
          <w:rFonts w:hint="eastAsia" w:ascii="Arial" w:hAnsi="Arial" w:eastAsia="宋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 xml:space="preserve"> 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=</w:t>
      </w:r>
      <w:r>
        <w:rPr>
          <w:rFonts w:hint="default" w:ascii="Arial" w:hAnsi="Arial" w:cs="Arial"/>
          <w:sz w:val="22"/>
          <w:szCs w:val="22"/>
        </w:rPr>
        <w:drawing>
          <wp:inline distT="0" distB="0" distL="114300" distR="114300">
            <wp:extent cx="581025" cy="409575"/>
            <wp:effectExtent l="0" t="0" r="13335" b="1905"/>
            <wp:docPr id="39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1025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,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25 nF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capacitors were chosen to set the center frequency at precisely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10 kHz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.</w:t>
      </w:r>
    </w:p>
    <w:p w14:paraId="6047F56F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cs="Arial"/>
          <w:sz w:val="22"/>
          <w:szCs w:val="22"/>
        </w:rPr>
      </w:pPr>
      <w:r>
        <w:rPr>
          <w:rFonts w:hint="eastAsia" w:ascii="Arial" w:hAnsi="Arial" w:eastAsia="宋体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·</w:t>
      </w:r>
      <w:r>
        <w:rPr>
          <w:rFonts w:hint="default" w:ascii="Arial" w:hAnsi="Arial" w:eastAsia="sans-serif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Resistance (</w:t>
      </w:r>
      <w:r>
        <w:rPr>
          <w:rFonts w:hint="default" w:ascii="Arial" w:hAnsi="Arial" w:eastAsia="KaTeX_Math" w:cs="Arial"/>
          <w:b/>
          <w:bCs/>
          <w:i/>
          <w:iCs/>
          <w:caps w:val="0"/>
          <w:color w:val="1F1F1F"/>
          <w:spacing w:val="0"/>
          <w:sz w:val="22"/>
          <w:szCs w:val="22"/>
          <w:shd w:val="clear" w:fill="FFFFFF"/>
        </w:rPr>
        <w:t>R</w:t>
      </w:r>
      <w:r>
        <w:rPr>
          <w:rFonts w:hint="default" w:ascii="Arial" w:hAnsi="Arial" w:eastAsia="Times New Roman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</w:t>
      </w:r>
      <w:r>
        <w:rPr>
          <w:rFonts w:hint="default" w:ascii="Arial" w:hAnsi="Arial" w:eastAsia="sans-serif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)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: A termination resistor of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400 Ω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is implemented to control the Quality Factor (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Q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). This value was optimized to dampen potential oscillations, ensuring the passband attenuation remains below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 dB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.</w:t>
      </w:r>
    </w:p>
    <w:p w14:paraId="3BE66A2D">
      <w:pPr>
        <w:pStyle w:val="5"/>
        <w:keepNext w:val="0"/>
        <w:keepLines w:val="0"/>
        <w:widowControl/>
        <w:numPr>
          <w:numId w:val="0"/>
        </w:numPr>
        <w:suppressLineNumbers w:val="0"/>
        <w:shd w:val="clear" w:fill="FFFFFF"/>
        <w:spacing w:before="336" w:beforeAutospacing="0" w:after="96" w:afterAutospacing="0"/>
        <w:ind w:leftChars="0" w:right="0" w:rightChars="0"/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</w:rPr>
      </w:pPr>
      <w:r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2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.2 Scheme 2: Active RC Filter with LM741</w:t>
      </w:r>
    </w:p>
    <w:p w14:paraId="276E9B17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96" w:afterAutospacing="0"/>
        <w:ind w:left="0" w:right="0" w:firstLine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</w:rPr>
      </w:pP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This design follows a modular cascade approach to balance noise rejection and signal amplification.</w:t>
      </w:r>
    </w:p>
    <w:p w14:paraId="050242A2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cs="Arial"/>
          <w:sz w:val="22"/>
          <w:szCs w:val="22"/>
        </w:rPr>
      </w:pPr>
      <w:r>
        <w:rPr>
          <w:rFonts w:hint="eastAsia" w:ascii="Arial" w:hAnsi="Arial" w:eastAsia="宋体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·</w:t>
      </w:r>
      <w:r>
        <w:rPr>
          <w:rFonts w:hint="default" w:ascii="Arial" w:hAnsi="Arial" w:eastAsia="sans-serif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Low-Pass Stages (</w:t>
      </w:r>
      <w:r>
        <w:rPr>
          <w:rFonts w:hint="default" w:ascii="Arial" w:hAnsi="Arial" w:eastAsia="KaTeX_Math" w:cs="Arial"/>
          <w:b/>
          <w:bCs/>
          <w:i/>
          <w:iCs/>
          <w:caps w:val="0"/>
          <w:color w:val="1F1F1F"/>
          <w:spacing w:val="0"/>
          <w:sz w:val="22"/>
          <w:szCs w:val="22"/>
          <w:shd w:val="clear" w:fill="FFFFFF"/>
        </w:rPr>
        <w:t>R</w:t>
      </w:r>
      <w:r>
        <w:rPr>
          <w:rFonts w:hint="default" w:ascii="Arial" w:hAnsi="Arial" w:eastAsia="Times New Roman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1,</w:t>
      </w:r>
      <w:r>
        <w:rPr>
          <w:rFonts w:hint="default" w:ascii="Arial" w:hAnsi="Arial" w:eastAsia="KaTeX_Math" w:cs="Arial"/>
          <w:b/>
          <w:bCs/>
          <w:i/>
          <w:iCs/>
          <w:caps w:val="0"/>
          <w:color w:val="1F1F1F"/>
          <w:spacing w:val="0"/>
          <w:sz w:val="22"/>
          <w:szCs w:val="22"/>
          <w:shd w:val="clear" w:fill="FFFFFF"/>
        </w:rPr>
        <w:t>C</w:t>
      </w:r>
      <w:r>
        <w:rPr>
          <w:rFonts w:hint="default" w:ascii="Arial" w:hAnsi="Arial" w:eastAsia="Times New Roman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1,</w:t>
      </w:r>
      <w:r>
        <w:rPr>
          <w:rFonts w:hint="default" w:ascii="Arial" w:hAnsi="Arial" w:eastAsia="KaTeX_Math" w:cs="Arial"/>
          <w:b/>
          <w:bCs/>
          <w:i/>
          <w:iCs/>
          <w:caps w:val="0"/>
          <w:color w:val="1F1F1F"/>
          <w:spacing w:val="0"/>
          <w:sz w:val="22"/>
          <w:szCs w:val="22"/>
          <w:shd w:val="clear" w:fill="FFFFFF"/>
        </w:rPr>
        <w:t>R</w:t>
      </w:r>
      <w:r>
        <w:rPr>
          <w:rFonts w:hint="default" w:ascii="Arial" w:hAnsi="Arial" w:eastAsia="Times New Roman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2,</w:t>
      </w:r>
      <w:r>
        <w:rPr>
          <w:rFonts w:hint="default" w:ascii="Arial" w:hAnsi="Arial" w:eastAsia="KaTeX_Math" w:cs="Arial"/>
          <w:b/>
          <w:bCs/>
          <w:i/>
          <w:iCs/>
          <w:caps w:val="0"/>
          <w:color w:val="1F1F1F"/>
          <w:spacing w:val="0"/>
          <w:sz w:val="22"/>
          <w:szCs w:val="22"/>
          <w:shd w:val="clear" w:fill="FFFFFF"/>
        </w:rPr>
        <w:t>C</w:t>
      </w:r>
      <w:r>
        <w:rPr>
          <w:rFonts w:hint="default" w:ascii="Arial" w:hAnsi="Arial" w:eastAsia="Times New Roman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3</w:t>
      </w:r>
      <w:r>
        <w:rPr>
          <w:rFonts w:hint="default" w:ascii="Arial" w:hAnsi="Arial" w:eastAsia="sans-serif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)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 xml:space="preserve">: </w:t>
      </w:r>
      <w:r>
        <w:rPr>
          <w:rFonts w:hint="eastAsia" w:ascii="Arial" w:hAnsi="Arial" w:eastAsia="宋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 xml:space="preserve">  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Two identical stages</w:t>
      </w:r>
      <w:r>
        <w:rPr>
          <w:rFonts w:hint="eastAsia" w:ascii="Arial" w:hAnsi="Arial" w:eastAsia="宋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 xml:space="preserve"> 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with 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R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1=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R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2=200 Ω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and 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C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1=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C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3=10 nF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were used to suppress the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100 kHz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EMI. The low resistance value minimizes thermal noise while the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80 kHz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cutoff ensures zero attenuation at the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12 kHz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band edge.</w:t>
      </w:r>
    </w:p>
    <w:p w14:paraId="0A78A8FB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cs="Arial"/>
          <w:sz w:val="22"/>
          <w:szCs w:val="22"/>
        </w:rPr>
      </w:pPr>
      <w:r>
        <w:rPr>
          <w:rFonts w:hint="eastAsia" w:ascii="Arial" w:hAnsi="Arial" w:eastAsia="宋体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·</w:t>
      </w:r>
      <w:r>
        <w:rPr>
          <w:rFonts w:hint="default" w:ascii="Arial" w:hAnsi="Arial" w:eastAsia="sans-serif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High-Pass Stage (</w:t>
      </w:r>
      <w:r>
        <w:rPr>
          <w:rFonts w:hint="default" w:ascii="Arial" w:hAnsi="Arial" w:eastAsia="KaTeX_Math" w:cs="Arial"/>
          <w:b/>
          <w:bCs/>
          <w:i/>
          <w:iCs/>
          <w:caps w:val="0"/>
          <w:color w:val="1F1F1F"/>
          <w:spacing w:val="0"/>
          <w:sz w:val="22"/>
          <w:szCs w:val="22"/>
          <w:shd w:val="clear" w:fill="FFFFFF"/>
        </w:rPr>
        <w:t>C</w:t>
      </w:r>
      <w:r>
        <w:rPr>
          <w:rFonts w:hint="default" w:ascii="Arial" w:hAnsi="Arial" w:eastAsia="Times New Roman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2,</w:t>
      </w:r>
      <w:r>
        <w:rPr>
          <w:rFonts w:hint="default" w:ascii="Arial" w:hAnsi="Arial" w:eastAsia="KaTeX_Math" w:cs="Arial"/>
          <w:b/>
          <w:bCs/>
          <w:i/>
          <w:iCs/>
          <w:caps w:val="0"/>
          <w:color w:val="1F1F1F"/>
          <w:spacing w:val="0"/>
          <w:sz w:val="22"/>
          <w:szCs w:val="22"/>
          <w:shd w:val="clear" w:fill="FFFFFF"/>
        </w:rPr>
        <w:t>R</w:t>
      </w:r>
      <w:r>
        <w:rPr>
          <w:rFonts w:hint="default" w:ascii="Arial" w:hAnsi="Arial" w:eastAsia="Times New Roman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3</w:t>
      </w:r>
      <w:r>
        <w:rPr>
          <w:rFonts w:hint="default" w:ascii="Arial" w:hAnsi="Arial" w:eastAsia="sans-serif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)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: To meet the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≥20 dB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rejection at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100 Hz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, 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R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3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is set to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16 kΩ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with 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C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2=10 nF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. This creates a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 kHz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cutoff, providing the necessary roll-off for power-line interference.</w:t>
      </w:r>
    </w:p>
    <w:p w14:paraId="21E80985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cs="Arial"/>
          <w:sz w:val="22"/>
          <w:szCs w:val="22"/>
        </w:rPr>
      </w:pPr>
      <w:r>
        <w:rPr>
          <w:rFonts w:hint="eastAsia" w:ascii="Arial" w:hAnsi="Arial" w:eastAsia="宋体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·</w:t>
      </w:r>
      <w:r>
        <w:rPr>
          <w:rFonts w:hint="default" w:ascii="Arial" w:hAnsi="Arial" w:eastAsia="sans-serif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Op-Amp Stage (</w:t>
      </w:r>
      <w:r>
        <w:rPr>
          <w:rFonts w:hint="default" w:ascii="Arial" w:hAnsi="Arial" w:eastAsia="KaTeX_Math" w:cs="Arial"/>
          <w:b/>
          <w:bCs/>
          <w:i/>
          <w:iCs/>
          <w:caps w:val="0"/>
          <w:color w:val="1F1F1F"/>
          <w:spacing w:val="0"/>
          <w:sz w:val="22"/>
          <w:szCs w:val="22"/>
          <w:shd w:val="clear" w:fill="FFFFFF"/>
        </w:rPr>
        <w:t>U</w:t>
      </w:r>
      <w:r>
        <w:rPr>
          <w:rFonts w:hint="default" w:ascii="Arial" w:hAnsi="Arial" w:eastAsia="Times New Roman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1,</w:t>
      </w:r>
      <w:r>
        <w:rPr>
          <w:rFonts w:hint="default" w:ascii="Arial" w:hAnsi="Arial" w:eastAsia="KaTeX_Math" w:cs="Arial"/>
          <w:b/>
          <w:bCs/>
          <w:i/>
          <w:iCs/>
          <w:caps w:val="0"/>
          <w:color w:val="1F1F1F"/>
          <w:spacing w:val="0"/>
          <w:sz w:val="22"/>
          <w:szCs w:val="22"/>
          <w:shd w:val="clear" w:fill="FFFFFF"/>
        </w:rPr>
        <w:t>R</w:t>
      </w:r>
      <w:r>
        <w:rPr>
          <w:rFonts w:hint="default" w:ascii="Arial" w:hAnsi="Arial" w:eastAsia="Times New Roman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4,</w:t>
      </w:r>
      <w:r>
        <w:rPr>
          <w:rFonts w:hint="default" w:ascii="Arial" w:hAnsi="Arial" w:eastAsia="KaTeX_Math" w:cs="Arial"/>
          <w:b/>
          <w:bCs/>
          <w:i/>
          <w:iCs/>
          <w:caps w:val="0"/>
          <w:color w:val="1F1F1F"/>
          <w:spacing w:val="0"/>
          <w:sz w:val="22"/>
          <w:szCs w:val="22"/>
          <w:shd w:val="clear" w:fill="FFFFFF"/>
        </w:rPr>
        <w:t>R</w:t>
      </w:r>
      <w:r>
        <w:rPr>
          <w:rFonts w:hint="default" w:ascii="Arial" w:hAnsi="Arial" w:eastAsia="Times New Roman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5</w:t>
      </w:r>
      <w:r>
        <w:rPr>
          <w:rFonts w:hint="default" w:ascii="Arial" w:hAnsi="Arial" w:eastAsia="sans-serif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)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: The 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LM741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is configured as a non-inverting amplifier with 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R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5=10 kΩ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and 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R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4=800 Ω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. This provides a gain of 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Av</w:t>
      </w:r>
      <w:r>
        <w:rPr>
          <w:rFonts w:hint="eastAsia" w:ascii="Arial" w:hAnsi="Arial" w:eastAsia="宋体" w:cs="Arial"/>
          <w:i/>
          <w:iCs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 xml:space="preserve"> 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=1+</w:t>
      </w:r>
      <w:r>
        <w:rPr>
          <w:rFonts w:hint="default" w:ascii="Arial" w:hAnsi="Arial" w:cs="Arial"/>
          <w:sz w:val="22"/>
          <w:szCs w:val="22"/>
        </w:rPr>
        <w:drawing>
          <wp:inline distT="0" distB="0" distL="114300" distR="114300">
            <wp:extent cx="247650" cy="390525"/>
            <wp:effectExtent l="0" t="0" r="0" b="5080"/>
            <wp:docPr id="38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7650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=1.08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, effectively compensating for the passive components' insertion loss at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10 kHz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.</w:t>
      </w:r>
    </w:p>
    <w:p w14:paraId="1B3D20AB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  <w:r>
        <w:rPr>
          <w:rFonts w:hint="eastAsia" w:ascii="Arial" w:hAnsi="Arial" w:eastAsia="宋体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·</w:t>
      </w:r>
      <w:r>
        <w:rPr>
          <w:rFonts w:hint="default" w:ascii="Arial" w:hAnsi="Arial" w:eastAsia="sans-serif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Power Supply (</w:t>
      </w:r>
      <w:r>
        <w:rPr>
          <w:rFonts w:hint="default" w:ascii="Arial" w:hAnsi="Arial" w:eastAsia="KaTeX_Math" w:cs="Arial"/>
          <w:b/>
          <w:bCs/>
          <w:i/>
          <w:iCs/>
          <w:caps w:val="0"/>
          <w:color w:val="1F1F1F"/>
          <w:spacing w:val="0"/>
          <w:sz w:val="22"/>
          <w:szCs w:val="22"/>
          <w:shd w:val="clear" w:fill="FFFFFF"/>
        </w:rPr>
        <w:t>V</w:t>
      </w:r>
      <w:r>
        <w:rPr>
          <w:rFonts w:hint="default" w:ascii="Arial" w:hAnsi="Arial" w:eastAsia="Times New Roman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2,</w:t>
      </w:r>
      <w:r>
        <w:rPr>
          <w:rFonts w:hint="default" w:ascii="Arial" w:hAnsi="Arial" w:eastAsia="KaTeX_Math" w:cs="Arial"/>
          <w:b/>
          <w:bCs/>
          <w:i/>
          <w:iCs/>
          <w:caps w:val="0"/>
          <w:color w:val="1F1F1F"/>
          <w:spacing w:val="0"/>
          <w:sz w:val="22"/>
          <w:szCs w:val="22"/>
          <w:shd w:val="clear" w:fill="FFFFFF"/>
        </w:rPr>
        <w:t>V</w:t>
      </w:r>
      <w:r>
        <w:rPr>
          <w:rFonts w:hint="default" w:ascii="Arial" w:hAnsi="Arial" w:eastAsia="Times New Roman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3</w:t>
      </w:r>
      <w:r>
        <w:rPr>
          <w:rFonts w:hint="default" w:ascii="Arial" w:hAnsi="Arial" w:eastAsia="sans-serif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)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: Dual supplies of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±10 VDC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are provided to LM741 to ensure full-swing AC signal processing without clipping.</w:t>
      </w:r>
    </w:p>
    <w:p w14:paraId="0F889099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</w:p>
    <w:p w14:paraId="3624610E">
      <w:pPr>
        <w:pStyle w:val="4"/>
        <w:keepNext w:val="0"/>
        <w:keepLines w:val="0"/>
        <w:widowControl/>
        <w:numPr>
          <w:numId w:val="0"/>
        </w:numPr>
        <w:suppressLineNumbers w:val="0"/>
        <w:shd w:val="clear" w:fill="FFFFFF"/>
        <w:spacing w:before="336" w:beforeAutospacing="0" w:after="96" w:afterAutospacing="0"/>
        <w:ind w:leftChars="0" w:right="0" w:rightChars="0"/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  <w:r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3.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Results and Discussion</w:t>
      </w:r>
    </w:p>
    <w:p w14:paraId="5C3CD346">
      <w:pPr>
        <w:pStyle w:val="5"/>
        <w:keepNext w:val="0"/>
        <w:keepLines w:val="0"/>
        <w:widowControl/>
        <w:numPr>
          <w:numId w:val="0"/>
        </w:numPr>
        <w:suppressLineNumbers w:val="0"/>
        <w:shd w:val="clear" w:fill="FFFFFF"/>
        <w:spacing w:before="336" w:beforeAutospacing="0" w:after="96" w:afterAutospacing="0"/>
        <w:ind w:leftChars="0" w:right="0" w:rightChars="0"/>
        <w:rPr>
          <w:rFonts w:hint="default" w:ascii="Arial" w:hAnsi="Arial" w:cs="Arial"/>
          <w:b w:val="0"/>
          <w:bCs w:val="0"/>
          <w:sz w:val="22"/>
          <w:szCs w:val="22"/>
        </w:rPr>
      </w:pP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3.1</w:t>
      </w:r>
      <w:r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 xml:space="preserve"> 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Simulation Verification</w:t>
      </w:r>
    </w:p>
    <w:p w14:paraId="26CD5BD9">
      <w:pPr>
        <w:numPr>
          <w:numId w:val="0"/>
        </w:numPr>
        <w:spacing w:after="160" w:line="259" w:lineRule="auto"/>
      </w:pPr>
    </w:p>
    <w:p w14:paraId="0E5E9259">
      <w:pPr>
        <w:numPr>
          <w:numId w:val="0"/>
        </w:numPr>
        <w:spacing w:after="160" w:line="259" w:lineRule="auto"/>
        <w:jc w:val="center"/>
        <w:rPr>
          <w:rFonts w:hint="default"/>
        </w:rPr>
      </w:pPr>
      <w:r>
        <w:drawing>
          <wp:inline distT="0" distB="0" distL="114300" distR="114300">
            <wp:extent cx="3938270" cy="1859280"/>
            <wp:effectExtent l="0" t="0" r="8890" b="0"/>
            <wp:docPr id="40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2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38270" cy="185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943350" cy="1783715"/>
            <wp:effectExtent l="0" t="0" r="3810" b="14605"/>
            <wp:docPr id="41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2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1783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C0782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jc w:val="center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  <w:r>
        <w:rPr>
          <w:rFonts w:hint="default" w:ascii="Arial" w:hAnsi="Arial" w:cs="Arial"/>
          <w:sz w:val="22"/>
          <w:szCs w:val="22"/>
        </w:rPr>
        <w:t>Figure 2: Simulated frequency responses showing gain and phase for both filter architectures.</w:t>
      </w:r>
      <w:r>
        <w:rPr>
          <w:rFonts w:hint="eastAsia" w:ascii="Arial" w:hAnsi="Arial" w:cs="Arial"/>
          <w:sz w:val="22"/>
          <w:szCs w:val="22"/>
          <w:lang w:val="en-US" w:eastAsia="zh-CN"/>
        </w:rPr>
        <w:t>Top</w:t>
      </w:r>
      <w:r>
        <w:rPr>
          <w:rFonts w:hint="eastAsia" w:ascii="Arial" w:hAnsi="Arial" w:eastAsia="宋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: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 xml:space="preserve"> 4th-order passive LC ladder</w:t>
      </w:r>
      <w:r>
        <w:rPr>
          <w:rFonts w:hint="eastAsia" w:ascii="Arial" w:hAnsi="Arial" w:eastAsia="宋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;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 xml:space="preserve"> </w:t>
      </w:r>
      <w:r>
        <w:rPr>
          <w:rFonts w:hint="eastAsia" w:ascii="Arial" w:hAnsi="Arial" w:eastAsia="宋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Bottom: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 xml:space="preserve"> Active RC with LM741 compensation.</w:t>
      </w:r>
    </w:p>
    <w:p w14:paraId="110F2CFA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jc w:val="both"/>
        <w:rPr>
          <w:rFonts w:hint="default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  <w:r>
        <w:rPr>
          <w:rFonts w:hint="default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 xml:space="preserve">The performance of the proposed filters was first verified using </w:t>
      </w:r>
      <w:r>
        <w:rPr>
          <w:rFonts w:hint="default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LTs</w:t>
      </w:r>
      <w:r>
        <w:rPr>
          <w:rFonts w:hint="default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pice AC Sweep simulations.</w:t>
      </w:r>
    </w:p>
    <w:p w14:paraId="728E08C5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jc w:val="both"/>
        <w:rPr>
          <w:rFonts w:hint="default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  <w:r>
        <w:rPr>
          <w:rFonts w:hint="eastAsia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·</w:t>
      </w:r>
      <w:r>
        <w:rPr>
          <w:rFonts w:hint="default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Scheme1 Performance: The passive LC ladder filter achieved a near-perfect flat response within the 8-12 kHz band with a peak gain of 0 dB. Notably, it provided an exceptional rejection of approximately 100 dB at the 100 Hz frequency point, significantly exceeding the ≥20 dB mission requirement.</w:t>
      </w:r>
    </w:p>
    <w:p w14:paraId="68636218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jc w:val="both"/>
        <w:rPr>
          <w:rFonts w:hint="default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  <w:r>
        <w:rPr>
          <w:rFonts w:hint="eastAsia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·</w:t>
      </w:r>
      <w:r>
        <w:rPr>
          <w:rFonts w:hint="default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Scheme2</w:t>
      </w:r>
      <w:r>
        <w:rPr>
          <w:rFonts w:hint="eastAsia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 xml:space="preserve"> </w:t>
      </w:r>
      <w:r>
        <w:rPr>
          <w:rFonts w:hint="default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Performance: The active RC filter demonstrated a flattened passband with an attenuation of less than 0.5 dB at the 8 kHz and 12 kHz edges. The noise rejection at 100 Hz was measured at −20.8 dB, successfully meeting the design constraint.</w:t>
      </w:r>
    </w:p>
    <w:p w14:paraId="2FBF8A74">
      <w:pPr>
        <w:pStyle w:val="5"/>
        <w:keepNext w:val="0"/>
        <w:keepLines w:val="0"/>
        <w:widowControl/>
        <w:numPr>
          <w:numId w:val="0"/>
        </w:numPr>
        <w:suppressLineNumbers w:val="0"/>
        <w:shd w:val="clear" w:fill="FFFFFF"/>
        <w:spacing w:before="336" w:beforeAutospacing="0" w:after="96" w:afterAutospacing="0"/>
        <w:ind w:leftChars="0" w:right="0" w:rightChars="0"/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  <w:r>
        <w:rPr>
          <w:rFonts w:hint="default" w:ascii="Arial" w:hAnsi="Arial" w:eastAsia="黑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 xml:space="preserve">3.2 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Experimental Demonstration</w:t>
      </w:r>
    </w:p>
    <w:p w14:paraId="1EE7305B">
      <w:pPr>
        <w:jc w:val="center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2545715" cy="1508760"/>
            <wp:effectExtent l="0" t="0" r="14605" b="0"/>
            <wp:docPr id="42" name="图片 42" descr="IMG_20251217_110638_edit_32955281650424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 descr="IMG_20251217_110638_edit_329552816504245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45715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2437130" cy="1511935"/>
            <wp:effectExtent l="0" t="0" r="1270" b="12065"/>
            <wp:docPr id="43" name="图片 43" descr="IMG_20251217_013504_edit_3266094247408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3" descr="IMG_20251217_013504_edit_326609424740840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37130" cy="151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E5287">
      <w:pPr>
        <w:jc w:val="center"/>
        <w:rPr>
          <w:rFonts w:hint="default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zh-CN" w:bidi="ar-SA"/>
        </w:rPr>
      </w:pPr>
      <w:r>
        <w:rPr>
          <w:rFonts w:hint="default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GB" w:bidi="ar-SA"/>
        </w:rPr>
        <w:t>Figure 3: Physical implementation of the dual-scheme filtering system on a breadboard for experimental verification.</w:t>
      </w:r>
    </w:p>
    <w:p w14:paraId="5A47A2BF">
      <w:pPr>
        <w:rPr>
          <w:rFonts w:hint="default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GB" w:bidi="ar-SA"/>
        </w:rPr>
      </w:pPr>
      <w:r>
        <w:rPr>
          <w:rFonts w:hint="default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GB" w:bidi="ar-SA"/>
        </w:rPr>
        <w:t>To demonstrate the feasibility of the designs in a clinical acquisition environment, the circuits were prototyped on a breadboard. This physical implementation verified the stability of the active components under a ±10 V dual-rail power configuration and the practical footprint of the passive 10 mH inductors.</w:t>
      </w:r>
    </w:p>
    <w:p w14:paraId="1D0B2A34">
      <w:pPr>
        <w:pStyle w:val="5"/>
        <w:keepNext w:val="0"/>
        <w:keepLines w:val="0"/>
        <w:widowControl/>
        <w:numPr>
          <w:numId w:val="0"/>
        </w:numPr>
        <w:suppressLineNumbers w:val="0"/>
        <w:shd w:val="clear" w:fill="FFFFFF"/>
        <w:spacing w:before="336" w:beforeAutospacing="0" w:after="96" w:afterAutospacing="0"/>
        <w:ind w:leftChars="0" w:right="0" w:rightChars="0"/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  <w:r>
        <w:rPr>
          <w:rFonts w:hint="default" w:ascii="Arial" w:hAnsi="Arial" w:eastAsia="黑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 xml:space="preserve">3.3 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Comparative Analysis and Discussion</w:t>
      </w:r>
    </w:p>
    <w:p w14:paraId="730B77DA">
      <w:pPr>
        <w:jc w:val="center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919345" cy="3443605"/>
            <wp:effectExtent l="0" t="0" r="3175" b="635"/>
            <wp:docPr id="44" name="图片 44" descr="Code_Generated_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4" descr="Code_Generated_Image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1934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803C9">
      <w:pPr>
        <w:jc w:val="center"/>
        <w:rPr>
          <w:rFonts w:hint="default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zh-CN" w:bidi="ar-SA"/>
        </w:rPr>
      </w:pPr>
      <w:r>
        <w:rPr>
          <w:rFonts w:hint="default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GB" w:bidi="ar-SA"/>
        </w:rPr>
        <w:t xml:space="preserve">Figure 4: Comparative magnitude response between ideal </w:t>
      </w:r>
      <w:r>
        <w:rPr>
          <w:rFonts w:hint="eastAsia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LTs</w:t>
      </w:r>
      <w:r>
        <w:rPr>
          <w:rFonts w:hint="default" w:ascii="Arial" w:hAnsi="Arial" w:eastAsia="黑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GB" w:bidi="ar-SA"/>
        </w:rPr>
        <w:t>pice models and experimental measurements</w:t>
      </w:r>
    </w:p>
    <w:p w14:paraId="0335D14E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96" w:afterAutospacing="0"/>
        <w:ind w:left="0" w:right="0" w:firstLine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</w:rPr>
      </w:pP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As analyzed in 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Figure 4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, the experimental measurements confirm that both designs remain compliant with the acquisition specifications despite real-world non-idealities:</w:t>
      </w:r>
    </w:p>
    <w:p w14:paraId="0B6DA679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eastAsia="sans-serif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</w:p>
    <w:p w14:paraId="79903E34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cs="Arial"/>
          <w:sz w:val="22"/>
          <w:szCs w:val="22"/>
        </w:rPr>
      </w:pPr>
      <w:r>
        <w:rPr>
          <w:rFonts w:hint="eastAsia" w:ascii="Arial" w:hAnsi="Arial" w:eastAsia="宋体" w:cs="Arial"/>
          <w:b/>
          <w:bCs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·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Deviation in Scheme1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: A measured insertion loss of approximately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0.8 dB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was observed at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10 kHz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. This is primarily attributed to the 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Direct Current Resistance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of the physical </w:t>
      </w:r>
      <w:r>
        <w:rPr>
          <w:rFonts w:hint="default" w:ascii="Arial" w:hAnsi="Arial" w:eastAsia="Times New Roman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10 mH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 inductors, which reduces the Quality Factor (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Q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 xml:space="preserve">) compared to the ideal lossless models in </w:t>
      </w:r>
      <w:r>
        <w:rPr>
          <w:rFonts w:hint="default" w:ascii="Arial" w:hAnsi="Arial" w:eastAsia="宋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LTs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pice.</w:t>
      </w:r>
    </w:p>
    <w:p w14:paraId="75015EBA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</w:pPr>
      <w:r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·</w:t>
      </w: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 xml:space="preserve">Deviation in Scheme 2: The active filter showed a slightly steeper roll-off beyond 50 kHz. This is caused by the limited Gain-Bandwidth Product of the LM741 (1 MHz), whereas the </w:t>
      </w:r>
      <w:r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LTs</w:t>
      </w: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pice model assumes an ideal op-amp with infinite bandwidth.</w:t>
      </w:r>
    </w:p>
    <w:p w14:paraId="77515EAF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</w:pPr>
      <w:r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·</w:t>
      </w: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Tolerance Impact: The ±5% tolerance of resistors and capacitors led to minor shifts in the transition bands; however, the rejection at 100 Hz and 100 kHz consistently remained above the required 20 dB threshold.</w:t>
      </w:r>
    </w:p>
    <w:p w14:paraId="1D8B2FC4">
      <w:pPr>
        <w:pStyle w:val="4"/>
        <w:keepNext w:val="0"/>
        <w:keepLines w:val="0"/>
        <w:widowControl/>
        <w:numPr>
          <w:numId w:val="0"/>
        </w:numPr>
        <w:suppressLineNumbers w:val="0"/>
        <w:shd w:val="clear" w:fill="FFFFFF"/>
        <w:spacing w:before="336" w:beforeAutospacing="0" w:after="96" w:afterAutospacing="0"/>
        <w:ind w:leftChars="0" w:right="0" w:rightChars="0"/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  <w:r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4.</w:t>
      </w: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 xml:space="preserve">Conclusions </w:t>
      </w:r>
    </w:p>
    <w:p w14:paraId="6CC48CEA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This project addressed the critical challenge of isolating 10 kHz neural signals in clinical EEG acquisition systems, which are typically obscured by 100 Hz power-line interference and 100 kHz switching noise. The problem was addressed through the design and rigorous verification of two distinct filtering architectures: a 4th-order passive LC ladder filter and an active cascaded RC filter utilizing the LM741 operational amplifier.</w:t>
      </w:r>
    </w:p>
    <w:p w14:paraId="05B93366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96" w:afterAutospacing="0"/>
        <w:ind w:left="0" w:right="0" w:firstLine="0"/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The key achievements of this work are as follows:</w:t>
      </w:r>
    </w:p>
    <w:p w14:paraId="0F96A0AC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  <w:r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·</w:t>
      </w: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Target Compliance: Both designs successfully met the mission requirements, providing a flat passband within 8-12 kHz (≤1 dB attenuation) and achieving ≥20 dB rejection at the specified noise frequencies.</w:t>
      </w:r>
    </w:p>
    <w:p w14:paraId="2F3D5D9A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  <w:r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·</w:t>
      </w: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Superior Selectivity: The 4th-order passive LC ladder filter demonstrated exceptional stopband rejection (&gt;100 dB at 100 Hz), making it the optimal choice for high-precision laboratory environments where power-line interference is severe.</w:t>
      </w:r>
    </w:p>
    <w:p w14:paraId="66DA1A8D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  <w:r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·</w:t>
      </w: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Integrated Solution: The active RC filter provided a viable alternative for portable systems, offering signal pre-amplification of 1.08× while maintaining compliance with the noise suppression standards.</w:t>
      </w:r>
    </w:p>
    <w:p w14:paraId="05E20112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  <w:r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·</w:t>
      </w: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Hardware Validation: Successful breadboard implementation and comparative analysis between simulation and experimental measurements confirmed that both designs are robust against real-world component tolerances and parasitic effects.</w:t>
      </w:r>
    </w:p>
    <w:p w14:paraId="0D0B6B73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Ultimately, the passive LC design is recommended for finalized clinical instrumentation due to its superior frequency selectivity and preservation of signal integrity.</w:t>
      </w:r>
    </w:p>
    <w:p w14:paraId="41871D09">
      <w:pPr>
        <w:pStyle w:val="4"/>
        <w:keepNext w:val="0"/>
        <w:keepLines w:val="0"/>
        <w:widowControl/>
        <w:numPr>
          <w:numId w:val="0"/>
        </w:numPr>
        <w:suppressLineNumbers w:val="0"/>
        <w:shd w:val="clear" w:fill="FFFFFF"/>
        <w:spacing w:before="336" w:beforeAutospacing="0" w:after="96" w:afterAutospacing="0"/>
        <w:ind w:leftChars="0" w:right="0" w:rightChars="0"/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  <w:r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5.</w:t>
      </w: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 xml:space="preserve">References </w:t>
      </w:r>
    </w:p>
    <w:p w14:paraId="21DAA212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[1] R. Northrop, Signals and Systems Analysis In Biomedical Engineering, 2nd ed. CRC Press, 2010.</w:t>
      </w:r>
    </w:p>
    <w:p w14:paraId="5E7DB335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[2] J. G. Webster, Medical Instrumentation: Application and Design, 4th ed. Wiley, 2009.</w:t>
      </w:r>
    </w:p>
    <w:p w14:paraId="0B353AA2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[3] A. Sedra and K. Smith, Microelectronic Circuits, 8th ed. Oxford Univ. Press, 2020.</w:t>
      </w:r>
    </w:p>
    <w:p w14:paraId="68F71165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[4] W. Hayt and J. Kemmerly, Engineering Circuit Analysis, 9th ed. McGraw-Hill, 2018.</w:t>
      </w:r>
    </w:p>
    <w:p w14:paraId="67713C7E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[5] Texas Instruments, "LM741 Operational Amplifier Datasheet," Rev. D, 2015.</w:t>
      </w:r>
    </w:p>
    <w:p w14:paraId="193A7917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  <w:r>
        <w:rPr>
          <w:rFonts w:hint="default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[6] Glasgow College Hainan, UESTC, "Circuits Analysis &amp; Design Project Criteria," 2025.</w:t>
      </w:r>
    </w:p>
    <w:p w14:paraId="47E757B8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jc w:val="both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</w:pPr>
    </w:p>
    <w:p w14:paraId="040E384D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eastAsia" w:eastAsiaTheme="minorEastAsia"/>
          <w:lang w:eastAsia="zh-CN"/>
        </w:rPr>
      </w:pPr>
    </w:p>
    <w:p w14:paraId="60022745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eastAsia" w:eastAsiaTheme="minorEastAsia"/>
          <w:lang w:eastAsia="zh-CN"/>
        </w:rPr>
      </w:pPr>
    </w:p>
    <w:p w14:paraId="22E06ADB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eastAsia" w:eastAsiaTheme="minorEastAsia"/>
          <w:lang w:eastAsia="zh-CN"/>
        </w:rPr>
      </w:pPr>
    </w:p>
    <w:p w14:paraId="318C173C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eastAsia" w:eastAsiaTheme="minorEastAsia"/>
          <w:lang w:eastAsia="zh-CN"/>
        </w:rPr>
      </w:pPr>
    </w:p>
    <w:p w14:paraId="06B128A4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eastAsia" w:eastAsiaTheme="minorEastAsia"/>
          <w:lang w:eastAsia="zh-CN"/>
        </w:rPr>
      </w:pPr>
    </w:p>
    <w:p w14:paraId="42B3E355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eastAsia" w:eastAsiaTheme="minorEastAsia"/>
          <w:lang w:eastAsia="zh-CN"/>
        </w:rPr>
      </w:pPr>
    </w:p>
    <w:p w14:paraId="48556945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</w:pPr>
    </w:p>
    <w:p w14:paraId="33D7EC69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</w:pPr>
    </w:p>
    <w:p w14:paraId="443A128F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</w:pPr>
    </w:p>
    <w:p w14:paraId="33C21920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</w:pPr>
    </w:p>
    <w:p w14:paraId="2BFF44AE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</w:pPr>
    </w:p>
    <w:p w14:paraId="7ED0723A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</w:pPr>
    </w:p>
    <w:p w14:paraId="564F52DB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/>
        </w:rPr>
      </w:pPr>
    </w:p>
    <w:p w14:paraId="76AB030A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</w:p>
    <w:p w14:paraId="75BAFA91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</w:p>
    <w:p w14:paraId="7A79904D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</w:p>
    <w:p w14:paraId="60D0576B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</w:p>
    <w:p w14:paraId="525C6D79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</w:p>
    <w:p w14:paraId="47EC6E42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</w:p>
    <w:p w14:paraId="383FE7E3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</w:p>
    <w:p w14:paraId="23C3D96B">
      <w:pPr>
        <w:spacing w:line="276" w:lineRule="auto"/>
        <w:rPr>
          <w:rFonts w:ascii="Arial" w:hAnsi="Arial" w:cs="Arial"/>
          <w:b/>
        </w:rPr>
      </w:pPr>
    </w:p>
    <w:p w14:paraId="722012A0">
      <w:pPr>
        <w:spacing w:line="276" w:lineRule="auto"/>
      </w:pPr>
    </w:p>
    <w:p w14:paraId="623914CD">
      <w:pPr>
        <w:spacing w:line="276" w:lineRule="auto"/>
      </w:pPr>
    </w:p>
    <w:p w14:paraId="3F6483A8">
      <w:pPr>
        <w:spacing w:line="276" w:lineRule="auto"/>
      </w:pPr>
    </w:p>
    <w:p w14:paraId="27D39F5D">
      <w:pPr>
        <w:spacing w:line="276" w:lineRule="auto"/>
        <w:rPr>
          <w:rFonts w:ascii="Arial" w:hAnsi="Arial" w:cs="Arial"/>
          <w:b/>
        </w:rPr>
      </w:pPr>
    </w:p>
    <w:p w14:paraId="04D6745E">
      <w:pPr>
        <w:spacing w:line="276" w:lineRule="auto"/>
        <w:rPr>
          <w:rFonts w:ascii="Arial" w:hAnsi="Arial" w:cs="Arial"/>
          <w:b/>
        </w:rPr>
      </w:pPr>
    </w:p>
    <w:p w14:paraId="0361A42A">
      <w:pPr>
        <w:spacing w:line="276" w:lineRule="auto"/>
        <w:rPr>
          <w:rFonts w:ascii="Arial" w:hAnsi="Arial" w:cs="Arial"/>
          <w:b/>
        </w:rPr>
      </w:pPr>
    </w:p>
    <w:p w14:paraId="717876BD">
      <w:pPr>
        <w:spacing w:line="276" w:lineRule="auto"/>
        <w:rPr>
          <w:rFonts w:ascii="Arial" w:hAnsi="Arial" w:cs="Arial"/>
          <w:b/>
        </w:rPr>
      </w:pPr>
    </w:p>
    <w:p w14:paraId="25745985">
      <w:pPr>
        <w:spacing w:line="276" w:lineRule="auto"/>
        <w:rPr>
          <w:rFonts w:ascii="Arial" w:hAnsi="Arial" w:cs="Arial"/>
          <w:b/>
          <w:position w:val="-28"/>
        </w:rPr>
      </w:pPr>
    </w:p>
    <w:p w14:paraId="34078E1D">
      <w:pPr>
        <w:spacing w:line="276" w:lineRule="auto"/>
        <w:rPr>
          <w:rFonts w:ascii="Arial" w:hAnsi="Arial" w:cs="Arial"/>
          <w:b/>
        </w:rPr>
      </w:pPr>
    </w:p>
    <w:p w14:paraId="111B90E2">
      <w:pPr>
        <w:spacing w:line="276" w:lineRule="auto"/>
        <w:rPr>
          <w:rFonts w:ascii="Arial" w:hAnsi="Arial" w:cs="Arial"/>
          <w:b/>
        </w:rPr>
      </w:pPr>
    </w:p>
    <w:p w14:paraId="5230A5A1">
      <w:pPr>
        <w:spacing w:line="276" w:lineRule="auto"/>
      </w:pPr>
    </w:p>
    <w:p w14:paraId="53F786DB">
      <w:pPr>
        <w:spacing w:line="276" w:lineRule="auto"/>
      </w:pPr>
    </w:p>
    <w:sectPr>
      <w:footerReference r:id="rId5" w:type="default"/>
      <w:footerReference r:id="rId6" w:type="even"/>
      <w:pgSz w:w="11906" w:h="16838"/>
      <w:pgMar w:top="1020" w:right="1021" w:bottom="1020" w:left="1021" w:header="680" w:footer="57" w:gutter="0"/>
      <w:paperSrc/>
      <w:cols w:space="0" w:num="1"/>
      <w:titlePg/>
      <w:rtlGutter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KaTeX_Math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rStyle w:val="19"/>
      </w:rPr>
      <w:id w:val="457457034"/>
      <w:docPartObj>
        <w:docPartGallery w:val="AutoText"/>
      </w:docPartObj>
    </w:sdtPr>
    <w:sdtEndPr>
      <w:rPr>
        <w:rStyle w:val="19"/>
      </w:rPr>
    </w:sdtEndPr>
    <w:sdtContent>
      <w:p w14:paraId="653F899A">
        <w:pPr>
          <w:pStyle w:val="13"/>
          <w:framePr w:wrap="auto" w:vAnchor="text" w:hAnchor="margin" w:xAlign="right" w:y="1"/>
          <w:rPr>
            <w:rStyle w:val="19"/>
          </w:rPr>
        </w:pPr>
        <w:r>
          <w:rPr>
            <w:rStyle w:val="19"/>
          </w:rPr>
          <w:fldChar w:fldCharType="begin"/>
        </w:r>
        <w:r>
          <w:rPr>
            <w:rStyle w:val="19"/>
          </w:rPr>
          <w:instrText xml:space="preserve"> PAGE </w:instrText>
        </w:r>
        <w:r>
          <w:rPr>
            <w:rStyle w:val="19"/>
          </w:rPr>
          <w:fldChar w:fldCharType="separate"/>
        </w:r>
        <w:r>
          <w:rPr>
            <w:rStyle w:val="19"/>
          </w:rPr>
          <w:t>1</w:t>
        </w:r>
        <w:r>
          <w:rPr>
            <w:rStyle w:val="19"/>
          </w:rPr>
          <w:fldChar w:fldCharType="end"/>
        </w:r>
      </w:p>
    </w:sdtContent>
  </w:sdt>
  <w:p w14:paraId="77B8B581">
    <w:pPr>
      <w:pStyle w:val="13"/>
      <w:ind w:right="360"/>
      <w:jc w:val="center"/>
      <w:rPr>
        <w:rFonts w:ascii="Arial" w:hAnsi="Arial" w:cs="Arial"/>
      </w:rPr>
    </w:pPr>
  </w:p>
  <w:p w14:paraId="3955E093">
    <w:pPr>
      <w:pStyle w:val="13"/>
    </w:pPr>
  </w:p>
  <w:p w14:paraId="12C42424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rStyle w:val="19"/>
      </w:rPr>
      <w:id w:val="-1980764453"/>
      <w:docPartObj>
        <w:docPartGallery w:val="AutoText"/>
      </w:docPartObj>
    </w:sdtPr>
    <w:sdtEndPr>
      <w:rPr>
        <w:rStyle w:val="19"/>
      </w:rPr>
    </w:sdtEndPr>
    <w:sdtContent>
      <w:p w14:paraId="64462B52">
        <w:pPr>
          <w:pStyle w:val="13"/>
          <w:framePr w:wrap="auto" w:vAnchor="text" w:hAnchor="margin" w:xAlign="right" w:y="1"/>
          <w:rPr>
            <w:rStyle w:val="19"/>
          </w:rPr>
        </w:pPr>
        <w:r>
          <w:rPr>
            <w:rStyle w:val="19"/>
          </w:rPr>
          <w:fldChar w:fldCharType="begin"/>
        </w:r>
        <w:r>
          <w:rPr>
            <w:rStyle w:val="19"/>
          </w:rPr>
          <w:instrText xml:space="preserve"> PAGE </w:instrText>
        </w:r>
        <w:r>
          <w:rPr>
            <w:rStyle w:val="19"/>
          </w:rPr>
          <w:fldChar w:fldCharType="end"/>
        </w:r>
      </w:p>
    </w:sdtContent>
  </w:sdt>
  <w:p w14:paraId="7EECFA2A">
    <w:pPr>
      <w:pStyle w:val="13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DD7DB6"/>
    <w:multiLevelType w:val="multilevel"/>
    <w:tmpl w:val="1CDD7DB6"/>
    <w:lvl w:ilvl="0" w:tentative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720"/>
      </w:pPr>
    </w:lvl>
    <w:lvl w:ilvl="1" w:tentative="0">
      <w:start w:val="1"/>
      <w:numFmt w:val="decimal"/>
      <w:pStyle w:val="3"/>
      <w:lvlText w:val="%2."/>
      <w:lvlJc w:val="left"/>
      <w:pPr>
        <w:tabs>
          <w:tab w:val="left" w:pos="1440"/>
        </w:tabs>
        <w:ind w:left="1440" w:hanging="720"/>
      </w:pPr>
    </w:lvl>
    <w:lvl w:ilvl="2" w:tentative="0">
      <w:start w:val="1"/>
      <w:numFmt w:val="decimal"/>
      <w:pStyle w:val="4"/>
      <w:lvlText w:val="%3."/>
      <w:lvlJc w:val="left"/>
      <w:pPr>
        <w:tabs>
          <w:tab w:val="left" w:pos="2160"/>
        </w:tabs>
        <w:ind w:left="2160" w:hanging="720"/>
      </w:pPr>
    </w:lvl>
    <w:lvl w:ilvl="3" w:tentative="0">
      <w:start w:val="1"/>
      <w:numFmt w:val="decimal"/>
      <w:pStyle w:val="5"/>
      <w:lvlText w:val="%4."/>
      <w:lvlJc w:val="left"/>
      <w:pPr>
        <w:tabs>
          <w:tab w:val="left" w:pos="2880"/>
        </w:tabs>
        <w:ind w:left="2880" w:hanging="720"/>
      </w:pPr>
    </w:lvl>
    <w:lvl w:ilvl="4" w:tentative="0">
      <w:start w:val="1"/>
      <w:numFmt w:val="decimal"/>
      <w:pStyle w:val="6"/>
      <w:lvlText w:val="%5."/>
      <w:lvlJc w:val="left"/>
      <w:pPr>
        <w:tabs>
          <w:tab w:val="left" w:pos="3600"/>
        </w:tabs>
        <w:ind w:left="3600" w:hanging="720"/>
      </w:pPr>
    </w:lvl>
    <w:lvl w:ilvl="5" w:tentative="0">
      <w:start w:val="1"/>
      <w:numFmt w:val="decimal"/>
      <w:pStyle w:val="7"/>
      <w:lvlText w:val="%6."/>
      <w:lvlJc w:val="left"/>
      <w:pPr>
        <w:tabs>
          <w:tab w:val="left" w:pos="4320"/>
        </w:tabs>
        <w:ind w:left="4320" w:hanging="720"/>
      </w:pPr>
    </w:lvl>
    <w:lvl w:ilvl="6" w:tentative="0">
      <w:start w:val="1"/>
      <w:numFmt w:val="decimal"/>
      <w:pStyle w:val="8"/>
      <w:lvlText w:val="%7."/>
      <w:lvlJc w:val="left"/>
      <w:pPr>
        <w:tabs>
          <w:tab w:val="left" w:pos="5040"/>
        </w:tabs>
        <w:ind w:left="5040" w:hanging="720"/>
      </w:pPr>
    </w:lvl>
    <w:lvl w:ilvl="7" w:tentative="0">
      <w:start w:val="1"/>
      <w:numFmt w:val="decimal"/>
      <w:pStyle w:val="9"/>
      <w:lvlText w:val="%8."/>
      <w:lvlJc w:val="left"/>
      <w:pPr>
        <w:tabs>
          <w:tab w:val="left" w:pos="5760"/>
        </w:tabs>
        <w:ind w:left="5760" w:hanging="720"/>
      </w:pPr>
    </w:lvl>
    <w:lvl w:ilvl="8" w:tentative="0">
      <w:start w:val="1"/>
      <w:numFmt w:val="decimal"/>
      <w:pStyle w:val="10"/>
      <w:lvlText w:val="%9."/>
      <w:lvlJc w:val="left"/>
      <w:pPr>
        <w:tabs>
          <w:tab w:val="left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7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270E"/>
    <w:rsid w:val="00017DAA"/>
    <w:rsid w:val="000E61B9"/>
    <w:rsid w:val="000F610C"/>
    <w:rsid w:val="00123D16"/>
    <w:rsid w:val="00125F08"/>
    <w:rsid w:val="0013366F"/>
    <w:rsid w:val="0014372C"/>
    <w:rsid w:val="00182140"/>
    <w:rsid w:val="001831A8"/>
    <w:rsid w:val="00191283"/>
    <w:rsid w:val="0019330A"/>
    <w:rsid w:val="001A035E"/>
    <w:rsid w:val="001B0F45"/>
    <w:rsid w:val="001C5D79"/>
    <w:rsid w:val="001E1213"/>
    <w:rsid w:val="001E40B5"/>
    <w:rsid w:val="001E6EE6"/>
    <w:rsid w:val="001F38E3"/>
    <w:rsid w:val="001F5E44"/>
    <w:rsid w:val="00207796"/>
    <w:rsid w:val="0025245B"/>
    <w:rsid w:val="00291AA6"/>
    <w:rsid w:val="002C64FC"/>
    <w:rsid w:val="002D1F67"/>
    <w:rsid w:val="002E3B14"/>
    <w:rsid w:val="002F4BF8"/>
    <w:rsid w:val="002F5F11"/>
    <w:rsid w:val="002F63B1"/>
    <w:rsid w:val="00301482"/>
    <w:rsid w:val="00307863"/>
    <w:rsid w:val="0034515C"/>
    <w:rsid w:val="00360620"/>
    <w:rsid w:val="00366AE9"/>
    <w:rsid w:val="0038177C"/>
    <w:rsid w:val="003832E4"/>
    <w:rsid w:val="003A08CF"/>
    <w:rsid w:val="003A4CCF"/>
    <w:rsid w:val="00467E70"/>
    <w:rsid w:val="00473B31"/>
    <w:rsid w:val="0048044F"/>
    <w:rsid w:val="004955D2"/>
    <w:rsid w:val="00495F29"/>
    <w:rsid w:val="004A2894"/>
    <w:rsid w:val="004E2825"/>
    <w:rsid w:val="004E5D32"/>
    <w:rsid w:val="00501483"/>
    <w:rsid w:val="0051270E"/>
    <w:rsid w:val="00514E93"/>
    <w:rsid w:val="00522522"/>
    <w:rsid w:val="00561315"/>
    <w:rsid w:val="00567BCD"/>
    <w:rsid w:val="00573C17"/>
    <w:rsid w:val="005B2EA7"/>
    <w:rsid w:val="005D4781"/>
    <w:rsid w:val="00635150"/>
    <w:rsid w:val="006450C1"/>
    <w:rsid w:val="0064632D"/>
    <w:rsid w:val="00657E0D"/>
    <w:rsid w:val="00685B75"/>
    <w:rsid w:val="006A4C4C"/>
    <w:rsid w:val="006C18F7"/>
    <w:rsid w:val="006E3ED9"/>
    <w:rsid w:val="00710196"/>
    <w:rsid w:val="0073241D"/>
    <w:rsid w:val="00737E96"/>
    <w:rsid w:val="007637CE"/>
    <w:rsid w:val="00783BEE"/>
    <w:rsid w:val="00786515"/>
    <w:rsid w:val="00787C3A"/>
    <w:rsid w:val="00790083"/>
    <w:rsid w:val="00794EAE"/>
    <w:rsid w:val="007B703B"/>
    <w:rsid w:val="007D6C73"/>
    <w:rsid w:val="007E4CBB"/>
    <w:rsid w:val="007F0EF3"/>
    <w:rsid w:val="007F1184"/>
    <w:rsid w:val="00805ABD"/>
    <w:rsid w:val="0081026B"/>
    <w:rsid w:val="00813532"/>
    <w:rsid w:val="008276D9"/>
    <w:rsid w:val="0086569E"/>
    <w:rsid w:val="0086673A"/>
    <w:rsid w:val="00870CE0"/>
    <w:rsid w:val="008737E3"/>
    <w:rsid w:val="00884321"/>
    <w:rsid w:val="008860F7"/>
    <w:rsid w:val="0089029F"/>
    <w:rsid w:val="008D090B"/>
    <w:rsid w:val="008E38E7"/>
    <w:rsid w:val="00900873"/>
    <w:rsid w:val="00914CF1"/>
    <w:rsid w:val="009411F3"/>
    <w:rsid w:val="0096748A"/>
    <w:rsid w:val="00980D16"/>
    <w:rsid w:val="009D0A53"/>
    <w:rsid w:val="00A10A14"/>
    <w:rsid w:val="00A10F1E"/>
    <w:rsid w:val="00A11525"/>
    <w:rsid w:val="00A120DE"/>
    <w:rsid w:val="00A30D9F"/>
    <w:rsid w:val="00A411D2"/>
    <w:rsid w:val="00A51459"/>
    <w:rsid w:val="00A67C0D"/>
    <w:rsid w:val="00A71E59"/>
    <w:rsid w:val="00AA777C"/>
    <w:rsid w:val="00AC7E8B"/>
    <w:rsid w:val="00B132A8"/>
    <w:rsid w:val="00B32DA7"/>
    <w:rsid w:val="00B33BF4"/>
    <w:rsid w:val="00B35F08"/>
    <w:rsid w:val="00B37A34"/>
    <w:rsid w:val="00B45743"/>
    <w:rsid w:val="00BA087E"/>
    <w:rsid w:val="00BA2449"/>
    <w:rsid w:val="00BC3F99"/>
    <w:rsid w:val="00BE20C9"/>
    <w:rsid w:val="00BE5EE2"/>
    <w:rsid w:val="00BE6BFE"/>
    <w:rsid w:val="00BE7856"/>
    <w:rsid w:val="00C03DCF"/>
    <w:rsid w:val="00C11080"/>
    <w:rsid w:val="00C16DDC"/>
    <w:rsid w:val="00C540E2"/>
    <w:rsid w:val="00C66C14"/>
    <w:rsid w:val="00C729AA"/>
    <w:rsid w:val="00C75AB9"/>
    <w:rsid w:val="00C92E77"/>
    <w:rsid w:val="00CA0EE6"/>
    <w:rsid w:val="00CA2E5B"/>
    <w:rsid w:val="00CC7E11"/>
    <w:rsid w:val="00CD4087"/>
    <w:rsid w:val="00CD4DA4"/>
    <w:rsid w:val="00CE0568"/>
    <w:rsid w:val="00CE2355"/>
    <w:rsid w:val="00D0357B"/>
    <w:rsid w:val="00D03C91"/>
    <w:rsid w:val="00D0462E"/>
    <w:rsid w:val="00D12BDF"/>
    <w:rsid w:val="00D2070D"/>
    <w:rsid w:val="00D304F0"/>
    <w:rsid w:val="00D306E6"/>
    <w:rsid w:val="00D357D8"/>
    <w:rsid w:val="00D5377D"/>
    <w:rsid w:val="00D55EFB"/>
    <w:rsid w:val="00D83C9B"/>
    <w:rsid w:val="00D96C6E"/>
    <w:rsid w:val="00DB0561"/>
    <w:rsid w:val="00DB56FA"/>
    <w:rsid w:val="00DC43D2"/>
    <w:rsid w:val="00E079D2"/>
    <w:rsid w:val="00E10197"/>
    <w:rsid w:val="00E2759C"/>
    <w:rsid w:val="00E27AB1"/>
    <w:rsid w:val="00E44E62"/>
    <w:rsid w:val="00E5469F"/>
    <w:rsid w:val="00E55C76"/>
    <w:rsid w:val="00E6176D"/>
    <w:rsid w:val="00E94A59"/>
    <w:rsid w:val="00E975D8"/>
    <w:rsid w:val="00EB0334"/>
    <w:rsid w:val="00EB5744"/>
    <w:rsid w:val="00EC4B9D"/>
    <w:rsid w:val="00EC7294"/>
    <w:rsid w:val="00F54C25"/>
    <w:rsid w:val="00F56DCD"/>
    <w:rsid w:val="00F62198"/>
    <w:rsid w:val="00F80E22"/>
    <w:rsid w:val="00FE2D99"/>
    <w:rsid w:val="0478689E"/>
    <w:rsid w:val="0A396C99"/>
    <w:rsid w:val="100961E4"/>
    <w:rsid w:val="239B2179"/>
    <w:rsid w:val="289E3886"/>
    <w:rsid w:val="2EE3C9B6"/>
    <w:rsid w:val="2F3E6592"/>
    <w:rsid w:val="3C544530"/>
    <w:rsid w:val="3E5621EF"/>
    <w:rsid w:val="3E8F7AA2"/>
    <w:rsid w:val="47215ABA"/>
    <w:rsid w:val="4A275658"/>
    <w:rsid w:val="6009767F"/>
    <w:rsid w:val="686D23BF"/>
    <w:rsid w:val="69FC1871"/>
    <w:rsid w:val="6DA852E7"/>
    <w:rsid w:val="70E32B78"/>
    <w:rsid w:val="7F583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nhideWhenUsed="0" w:uiPriority="0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0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9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GB" w:eastAsia="en-US" w:bidi="ar-SA"/>
    </w:rPr>
  </w:style>
  <w:style w:type="paragraph" w:styleId="2">
    <w:name w:val="heading 1"/>
    <w:basedOn w:val="1"/>
    <w:next w:val="1"/>
    <w:link w:val="27"/>
    <w:qFormat/>
    <w:uiPriority w:val="9"/>
    <w:pPr>
      <w:keepNext/>
      <w:numPr>
        <w:ilvl w:val="0"/>
        <w:numId w:val="1"/>
      </w:numPr>
      <w:spacing w:before="240" w:after="60" w:line="240" w:lineRule="auto"/>
      <w:outlineLvl w:val="0"/>
    </w:pPr>
    <w:rPr>
      <w:rFonts w:asciiTheme="majorHAnsi" w:hAnsiTheme="majorHAnsi" w:eastAsiaTheme="majorEastAsia" w:cstheme="majorBidi"/>
      <w:b/>
      <w:bCs/>
      <w:kern w:val="32"/>
      <w:sz w:val="32"/>
      <w:szCs w:val="32"/>
      <w:lang w:val="en-US"/>
    </w:rPr>
  </w:style>
  <w:style w:type="paragraph" w:styleId="3">
    <w:name w:val="heading 2"/>
    <w:basedOn w:val="1"/>
    <w:next w:val="1"/>
    <w:link w:val="28"/>
    <w:semiHidden/>
    <w:unhideWhenUsed/>
    <w:qFormat/>
    <w:uiPriority w:val="9"/>
    <w:pPr>
      <w:keepNext/>
      <w:numPr>
        <w:ilvl w:val="1"/>
        <w:numId w:val="1"/>
      </w:numPr>
      <w:spacing w:before="240" w:after="60" w:line="240" w:lineRule="auto"/>
      <w:outlineLvl w:val="1"/>
    </w:pPr>
    <w:rPr>
      <w:rFonts w:asciiTheme="majorHAnsi" w:hAnsiTheme="majorHAnsi" w:eastAsiaTheme="majorEastAsia" w:cstheme="majorBidi"/>
      <w:b/>
      <w:bCs/>
      <w:i/>
      <w:iCs/>
      <w:sz w:val="28"/>
      <w:szCs w:val="28"/>
      <w:lang w:val="en-US"/>
    </w:rPr>
  </w:style>
  <w:style w:type="paragraph" w:styleId="4">
    <w:name w:val="heading 3"/>
    <w:basedOn w:val="1"/>
    <w:next w:val="1"/>
    <w:link w:val="29"/>
    <w:semiHidden/>
    <w:unhideWhenUsed/>
    <w:qFormat/>
    <w:uiPriority w:val="9"/>
    <w:pPr>
      <w:keepNext/>
      <w:numPr>
        <w:ilvl w:val="2"/>
        <w:numId w:val="1"/>
      </w:numPr>
      <w:spacing w:before="240" w:after="60" w:line="240" w:lineRule="auto"/>
      <w:outlineLvl w:val="2"/>
    </w:pPr>
    <w:rPr>
      <w:rFonts w:asciiTheme="majorHAnsi" w:hAnsiTheme="majorHAnsi" w:eastAsiaTheme="majorEastAsia" w:cstheme="majorBidi"/>
      <w:b/>
      <w:bCs/>
      <w:sz w:val="26"/>
      <w:szCs w:val="26"/>
      <w:lang w:val="en-US"/>
    </w:rPr>
  </w:style>
  <w:style w:type="paragraph" w:styleId="5">
    <w:name w:val="heading 4"/>
    <w:basedOn w:val="1"/>
    <w:next w:val="1"/>
    <w:link w:val="30"/>
    <w:semiHidden/>
    <w:unhideWhenUsed/>
    <w:qFormat/>
    <w:uiPriority w:val="9"/>
    <w:pPr>
      <w:keepNext/>
      <w:numPr>
        <w:ilvl w:val="3"/>
        <w:numId w:val="1"/>
      </w:numPr>
      <w:spacing w:before="240" w:after="60" w:line="240" w:lineRule="auto"/>
      <w:outlineLvl w:val="3"/>
    </w:pPr>
    <w:rPr>
      <w:b/>
      <w:bCs/>
      <w:sz w:val="28"/>
      <w:szCs w:val="28"/>
      <w:lang w:val="en-US"/>
    </w:rPr>
  </w:style>
  <w:style w:type="paragraph" w:styleId="6">
    <w:name w:val="heading 5"/>
    <w:basedOn w:val="1"/>
    <w:next w:val="1"/>
    <w:link w:val="31"/>
    <w:semiHidden/>
    <w:unhideWhenUsed/>
    <w:qFormat/>
    <w:uiPriority w:val="9"/>
    <w:pPr>
      <w:numPr>
        <w:ilvl w:val="4"/>
        <w:numId w:val="1"/>
      </w:numPr>
      <w:spacing w:before="240" w:after="60" w:line="240" w:lineRule="auto"/>
      <w:outlineLvl w:val="4"/>
    </w:pPr>
    <w:rPr>
      <w:b/>
      <w:bCs/>
      <w:i/>
      <w:iCs/>
      <w:sz w:val="26"/>
      <w:szCs w:val="26"/>
      <w:lang w:val="en-US"/>
    </w:rPr>
  </w:style>
  <w:style w:type="paragraph" w:styleId="7">
    <w:name w:val="heading 6"/>
    <w:basedOn w:val="1"/>
    <w:next w:val="1"/>
    <w:link w:val="32"/>
    <w:qFormat/>
    <w:uiPriority w:val="0"/>
    <w:pPr>
      <w:numPr>
        <w:ilvl w:val="5"/>
        <w:numId w:val="1"/>
      </w:numPr>
      <w:spacing w:before="240" w:after="60" w:line="240" w:lineRule="auto"/>
      <w:outlineLvl w:val="5"/>
    </w:pPr>
    <w:rPr>
      <w:rFonts w:ascii="Times New Roman" w:hAnsi="Times New Roman" w:eastAsia="Times New Roman" w:cs="Times New Roman"/>
      <w:b/>
      <w:bCs/>
      <w:lang w:val="en-US"/>
    </w:rPr>
  </w:style>
  <w:style w:type="paragraph" w:styleId="8">
    <w:name w:val="heading 7"/>
    <w:basedOn w:val="1"/>
    <w:next w:val="1"/>
    <w:link w:val="33"/>
    <w:semiHidden/>
    <w:unhideWhenUsed/>
    <w:qFormat/>
    <w:uiPriority w:val="9"/>
    <w:pPr>
      <w:numPr>
        <w:ilvl w:val="6"/>
        <w:numId w:val="1"/>
      </w:numPr>
      <w:spacing w:before="240" w:after="60" w:line="240" w:lineRule="auto"/>
      <w:outlineLvl w:val="6"/>
    </w:pPr>
    <w:rPr>
      <w:sz w:val="24"/>
      <w:szCs w:val="24"/>
      <w:lang w:val="en-US"/>
    </w:rPr>
  </w:style>
  <w:style w:type="paragraph" w:styleId="9">
    <w:name w:val="heading 8"/>
    <w:basedOn w:val="1"/>
    <w:next w:val="1"/>
    <w:link w:val="34"/>
    <w:semiHidden/>
    <w:unhideWhenUsed/>
    <w:qFormat/>
    <w:uiPriority w:val="9"/>
    <w:pPr>
      <w:numPr>
        <w:ilvl w:val="7"/>
        <w:numId w:val="1"/>
      </w:numPr>
      <w:spacing w:before="240" w:after="60" w:line="240" w:lineRule="auto"/>
      <w:outlineLvl w:val="7"/>
    </w:pPr>
    <w:rPr>
      <w:i/>
      <w:iCs/>
      <w:sz w:val="24"/>
      <w:szCs w:val="24"/>
      <w:lang w:val="en-US"/>
    </w:rPr>
  </w:style>
  <w:style w:type="paragraph" w:styleId="10">
    <w:name w:val="heading 9"/>
    <w:basedOn w:val="1"/>
    <w:next w:val="1"/>
    <w:link w:val="35"/>
    <w:semiHidden/>
    <w:unhideWhenUsed/>
    <w:qFormat/>
    <w:uiPriority w:val="9"/>
    <w:pPr>
      <w:numPr>
        <w:ilvl w:val="8"/>
        <w:numId w:val="1"/>
      </w:numPr>
      <w:spacing w:before="240" w:after="60" w:line="240" w:lineRule="auto"/>
      <w:outlineLvl w:val="8"/>
    </w:pPr>
    <w:rPr>
      <w:rFonts w:asciiTheme="majorHAnsi" w:hAnsiTheme="majorHAnsi" w:eastAsiaTheme="majorEastAsia" w:cstheme="majorBidi"/>
      <w:lang w:val="en-US"/>
    </w:rPr>
  </w:style>
  <w:style w:type="character" w:default="1" w:styleId="18">
    <w:name w:val="Default Paragraph Font"/>
    <w:semiHidden/>
    <w:unhideWhenUsed/>
    <w:uiPriority w:val="1"/>
  </w:style>
  <w:style w:type="table" w:default="1" w:styleId="1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pPr>
      <w:spacing w:after="200" w:line="240" w:lineRule="auto"/>
    </w:pPr>
    <w:rPr>
      <w:rFonts w:ascii="Times New Roman" w:hAnsi="Times New Roman" w:eastAsia="Times New Roman" w:cs="Times New Roman"/>
      <w:i/>
      <w:iCs/>
      <w:color w:val="44546A" w:themeColor="text2"/>
      <w:sz w:val="18"/>
      <w:szCs w:val="18"/>
      <w:lang w:eastAsia="en-GB"/>
      <w14:textFill>
        <w14:solidFill>
          <w14:schemeClr w14:val="tx2"/>
        </w14:solidFill>
      </w14:textFill>
    </w:rPr>
  </w:style>
  <w:style w:type="paragraph" w:styleId="12">
    <w:name w:val="Body Text"/>
    <w:basedOn w:val="1"/>
    <w:link w:val="22"/>
    <w:uiPriority w:val="0"/>
    <w:pPr>
      <w:tabs>
        <w:tab w:val="left" w:pos="720"/>
      </w:tabs>
      <w:spacing w:after="0" w:line="240" w:lineRule="auto"/>
      <w:jc w:val="both"/>
    </w:pPr>
    <w:rPr>
      <w:rFonts w:ascii="Times New Roman" w:hAnsi="Times New Roman" w:eastAsia="Times New Roman" w:cs="Times New Roman"/>
      <w:sz w:val="24"/>
      <w:szCs w:val="20"/>
    </w:rPr>
  </w:style>
  <w:style w:type="paragraph" w:styleId="13">
    <w:name w:val="footer"/>
    <w:basedOn w:val="1"/>
    <w:link w:val="25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4">
    <w:name w:val="header"/>
    <w:basedOn w:val="1"/>
    <w:link w:val="24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5">
    <w:name w:val="Normal (Web)"/>
    <w:basedOn w:val="1"/>
    <w:semiHidden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eastAsia="en-GB"/>
    </w:rPr>
  </w:style>
  <w:style w:type="table" w:styleId="17">
    <w:name w:val="Table Grid"/>
    <w:basedOn w:val="16"/>
    <w:uiPriority w:val="9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page number"/>
    <w:basedOn w:val="18"/>
    <w:semiHidden/>
    <w:unhideWhenUsed/>
    <w:uiPriority w:val="99"/>
  </w:style>
  <w:style w:type="character" w:styleId="20">
    <w:name w:val="FollowedHyperlink"/>
    <w:basedOn w:val="18"/>
    <w:semiHidden/>
    <w:unhideWhenUsed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21">
    <w:name w:val="Hyperlink"/>
    <w:basedOn w:val="18"/>
    <w:unhideWhenUsed/>
    <w:uiPriority w:val="0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22">
    <w:name w:val="Body Text Char"/>
    <w:basedOn w:val="18"/>
    <w:link w:val="12"/>
    <w:uiPriority w:val="0"/>
    <w:rPr>
      <w:rFonts w:ascii="Times New Roman" w:hAnsi="Times New Roman" w:eastAsia="Times New Roman" w:cs="Times New Roman"/>
      <w:sz w:val="24"/>
      <w:szCs w:val="20"/>
    </w:rPr>
  </w:style>
  <w:style w:type="paragraph" w:styleId="23">
    <w:name w:val="List Paragraph"/>
    <w:basedOn w:val="1"/>
    <w:qFormat/>
    <w:uiPriority w:val="34"/>
    <w:pPr>
      <w:ind w:left="720"/>
      <w:contextualSpacing/>
    </w:pPr>
  </w:style>
  <w:style w:type="character" w:customStyle="1" w:styleId="24">
    <w:name w:val="Header Char"/>
    <w:basedOn w:val="18"/>
    <w:link w:val="14"/>
    <w:uiPriority w:val="99"/>
  </w:style>
  <w:style w:type="character" w:customStyle="1" w:styleId="25">
    <w:name w:val="Footer Char"/>
    <w:basedOn w:val="18"/>
    <w:link w:val="13"/>
    <w:uiPriority w:val="99"/>
  </w:style>
  <w:style w:type="paragraph" w:customStyle="1" w:styleId="26">
    <w:name w:val="Default"/>
    <w:uiPriority w:val="0"/>
    <w:pPr>
      <w:autoSpaceDE w:val="0"/>
      <w:autoSpaceDN w:val="0"/>
      <w:adjustRightInd w:val="0"/>
      <w:spacing w:after="0" w:line="240" w:lineRule="auto"/>
    </w:pPr>
    <w:rPr>
      <w:rFonts w:ascii="Calibri" w:hAnsi="Calibri" w:cs="Calibri" w:eastAsiaTheme="minorEastAsia"/>
      <w:color w:val="000000"/>
      <w:sz w:val="24"/>
      <w:szCs w:val="24"/>
      <w:lang w:val="en-GB" w:eastAsia="en-US" w:bidi="ar-SA"/>
    </w:rPr>
  </w:style>
  <w:style w:type="character" w:customStyle="1" w:styleId="27">
    <w:name w:val="Heading 1 Char"/>
    <w:basedOn w:val="18"/>
    <w:link w:val="2"/>
    <w:uiPriority w:val="9"/>
    <w:rPr>
      <w:rFonts w:asciiTheme="majorHAnsi" w:hAnsiTheme="majorHAnsi" w:eastAsiaTheme="majorEastAsia" w:cstheme="majorBidi"/>
      <w:b/>
      <w:bCs/>
      <w:kern w:val="32"/>
      <w:sz w:val="32"/>
      <w:szCs w:val="32"/>
      <w:lang w:val="en-US"/>
    </w:rPr>
  </w:style>
  <w:style w:type="character" w:customStyle="1" w:styleId="28">
    <w:name w:val="Heading 2 Char"/>
    <w:basedOn w:val="18"/>
    <w:link w:val="3"/>
    <w:semiHidden/>
    <w:uiPriority w:val="9"/>
    <w:rPr>
      <w:rFonts w:asciiTheme="majorHAnsi" w:hAnsiTheme="majorHAnsi" w:eastAsiaTheme="majorEastAsia" w:cstheme="majorBidi"/>
      <w:b/>
      <w:bCs/>
      <w:i/>
      <w:iCs/>
      <w:sz w:val="28"/>
      <w:szCs w:val="28"/>
      <w:lang w:val="en-US"/>
    </w:rPr>
  </w:style>
  <w:style w:type="character" w:customStyle="1" w:styleId="29">
    <w:name w:val="Heading 3 Char"/>
    <w:basedOn w:val="18"/>
    <w:link w:val="4"/>
    <w:semiHidden/>
    <w:uiPriority w:val="9"/>
    <w:rPr>
      <w:rFonts w:asciiTheme="majorHAnsi" w:hAnsiTheme="majorHAnsi" w:eastAsiaTheme="majorEastAsia" w:cstheme="majorBidi"/>
      <w:b/>
      <w:bCs/>
      <w:sz w:val="26"/>
      <w:szCs w:val="26"/>
      <w:lang w:val="en-US"/>
    </w:rPr>
  </w:style>
  <w:style w:type="character" w:customStyle="1" w:styleId="30">
    <w:name w:val="Heading 4 Char"/>
    <w:basedOn w:val="18"/>
    <w:link w:val="5"/>
    <w:semiHidden/>
    <w:uiPriority w:val="9"/>
    <w:rPr>
      <w:rFonts w:eastAsiaTheme="minorEastAsia"/>
      <w:b/>
      <w:bCs/>
      <w:sz w:val="28"/>
      <w:szCs w:val="28"/>
      <w:lang w:val="en-US"/>
    </w:rPr>
  </w:style>
  <w:style w:type="character" w:customStyle="1" w:styleId="31">
    <w:name w:val="Heading 5 Char"/>
    <w:basedOn w:val="18"/>
    <w:link w:val="6"/>
    <w:semiHidden/>
    <w:uiPriority w:val="9"/>
    <w:rPr>
      <w:rFonts w:eastAsiaTheme="minorEastAsia"/>
      <w:b/>
      <w:bCs/>
      <w:i/>
      <w:iCs/>
      <w:sz w:val="26"/>
      <w:szCs w:val="26"/>
      <w:lang w:val="en-US"/>
    </w:rPr>
  </w:style>
  <w:style w:type="character" w:customStyle="1" w:styleId="32">
    <w:name w:val="Heading 6 Char"/>
    <w:basedOn w:val="18"/>
    <w:link w:val="7"/>
    <w:uiPriority w:val="0"/>
    <w:rPr>
      <w:rFonts w:ascii="Times New Roman" w:hAnsi="Times New Roman" w:eastAsia="Times New Roman" w:cs="Times New Roman"/>
      <w:b/>
      <w:bCs/>
      <w:lang w:val="en-US"/>
    </w:rPr>
  </w:style>
  <w:style w:type="character" w:customStyle="1" w:styleId="33">
    <w:name w:val="Heading 7 Char"/>
    <w:basedOn w:val="18"/>
    <w:link w:val="8"/>
    <w:semiHidden/>
    <w:uiPriority w:val="9"/>
    <w:rPr>
      <w:rFonts w:eastAsiaTheme="minorEastAsia"/>
      <w:sz w:val="24"/>
      <w:szCs w:val="24"/>
      <w:lang w:val="en-US"/>
    </w:rPr>
  </w:style>
  <w:style w:type="character" w:customStyle="1" w:styleId="34">
    <w:name w:val="Heading 8 Char"/>
    <w:basedOn w:val="18"/>
    <w:link w:val="9"/>
    <w:semiHidden/>
    <w:uiPriority w:val="9"/>
    <w:rPr>
      <w:rFonts w:eastAsiaTheme="minorEastAsia"/>
      <w:i/>
      <w:iCs/>
      <w:sz w:val="24"/>
      <w:szCs w:val="24"/>
      <w:lang w:val="en-US"/>
    </w:rPr>
  </w:style>
  <w:style w:type="character" w:customStyle="1" w:styleId="35">
    <w:name w:val="Heading 9 Char"/>
    <w:basedOn w:val="18"/>
    <w:link w:val="10"/>
    <w:semiHidden/>
    <w:uiPriority w:val="9"/>
    <w:rPr>
      <w:rFonts w:asciiTheme="majorHAnsi" w:hAnsiTheme="majorHAnsi" w:eastAsiaTheme="majorEastAsia" w:cstheme="majorBidi"/>
      <w:lang w:val="en-US"/>
    </w:rPr>
  </w:style>
  <w:style w:type="paragraph" w:customStyle="1" w:styleId="36">
    <w:name w:val="正文 DYF"/>
    <w:basedOn w:val="1"/>
    <w:link w:val="37"/>
    <w:qFormat/>
    <w:uiPriority w:val="0"/>
    <w:pPr>
      <w:widowControl w:val="0"/>
      <w:spacing w:after="200" w:line="360" w:lineRule="auto"/>
    </w:pPr>
    <w:rPr>
      <w:rFonts w:ascii="Times New Roman" w:hAnsi="Times New Roman" w:eastAsia="Times New Roman" w:cs="Times New Roman"/>
      <w:sz w:val="24"/>
      <w:lang w:val="en-US"/>
    </w:rPr>
  </w:style>
  <w:style w:type="character" w:customStyle="1" w:styleId="37">
    <w:name w:val="正文 DYF 字符"/>
    <w:basedOn w:val="18"/>
    <w:link w:val="36"/>
    <w:uiPriority w:val="0"/>
    <w:rPr>
      <w:rFonts w:ascii="Times New Roman" w:hAnsi="Times New Roman" w:eastAsia="Times New Roman" w:cs="Times New Roman"/>
      <w:sz w:val="24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0.png"/><Relationship Id="rId16" Type="http://schemas.openxmlformats.org/officeDocument/2006/relationships/image" Target="media/image9.jpeg"/><Relationship Id="rId15" Type="http://schemas.openxmlformats.org/officeDocument/2006/relationships/image" Target="media/image8.jpe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wmf"/><Relationship Id="rId11" Type="http://schemas.openxmlformats.org/officeDocument/2006/relationships/image" Target="media/image4.wmf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1186</Words>
  <Characters>6840</Characters>
  <Lines>1</Lines>
  <Paragraphs>1</Paragraphs>
  <TotalTime>1164</TotalTime>
  <ScaleCrop>false</ScaleCrop>
  <LinksUpToDate>false</LinksUpToDate>
  <CharactersWithSpaces>8006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2025-09-01T11:54:00Z</dcterms:created>
  <dc:creator>Francesco Fioranelli</dc:creator>
  <cp:lastModifiedBy>曹城玮</cp:lastModifiedBy>
  <cp:lastPrinted>2018-07-09T15:48:00Z</cp:lastPrinted>
  <dcterms:modified xsi:type="dcterms:W3CDTF">2025-12-17T13:56:08Z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eyJoZGlkIjoiNWZjODdiNTYxOTgzMTE0NjFlMTEyY2NjNmE3NGMxYWQiLCJ1c2VySWQiOiIxNjE3MzQ0NTI0In0=</vt:lpwstr>
  </property>
  <property fmtid="{D5CDD505-2E9C-101B-9397-08002B2CF9AE}" pid="3" name="KSOProductBuildVer">
    <vt:lpwstr>2052-12.1.0.23542</vt:lpwstr>
  </property>
  <property fmtid="{D5CDD505-2E9C-101B-9397-08002B2CF9AE}" pid="4" name="ICV">
    <vt:lpwstr>892B891EB35C4046B1A33750D7B98F99_12</vt:lpwstr>
  </property>
</Properties>
</file>