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F046AE">
      <w:pPr>
        <w:jc w:val="center"/>
        <w:rPr>
          <w:rFonts w:hint="eastAsia" w:ascii="仿宋" w:hAnsi="仿宋" w:eastAsia="仿宋" w:cs="仿宋"/>
          <w:b/>
          <w:bCs/>
          <w:sz w:val="24"/>
          <w:szCs w:val="24"/>
          <w:lang w:eastAsia="zh-CN"/>
        </w:rPr>
      </w:pPr>
      <w:bookmarkStart w:id="0" w:name="_GoBack"/>
      <w:bookmarkEnd w:id="0"/>
      <w:r>
        <w:rPr>
          <w:rFonts w:hint="eastAsia" w:ascii="仿宋" w:hAnsi="仿宋" w:eastAsia="仿宋" w:cs="仿宋"/>
          <w:b/>
          <w:bCs/>
          <w:sz w:val="32"/>
          <w:szCs w:val="32"/>
          <w:lang w:eastAsia="zh-CN"/>
        </w:rPr>
        <w:t>武汉工程大学毕业设计（论文）管理工作操作规范</w:t>
      </w:r>
    </w:p>
    <w:p w14:paraId="5E0D6C26">
      <w:pPr>
        <w:rPr>
          <w:rFonts w:hint="eastAsia" w:ascii="仿宋" w:hAnsi="仿宋" w:eastAsia="仿宋" w:cs="仿宋"/>
          <w:sz w:val="24"/>
          <w:szCs w:val="24"/>
          <w:lang w:eastAsia="zh-CN"/>
        </w:rPr>
      </w:pPr>
    </w:p>
    <w:p w14:paraId="639224F9">
      <w:p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eastAsia="zh-CN"/>
        </w:rPr>
        <w:t>为做好我校</w:t>
      </w:r>
      <w:r>
        <w:rPr>
          <w:rFonts w:hint="eastAsia" w:ascii="仿宋" w:hAnsi="仿宋" w:eastAsia="仿宋" w:cs="仿宋"/>
          <w:sz w:val="24"/>
          <w:szCs w:val="24"/>
          <w:lang w:val="en-US" w:eastAsia="zh-CN"/>
        </w:rPr>
        <w:t>2017年本科教学审核评估工作，规范我校毕业设计（论文）工作程序及论文资料存档管理，方便学院开展毕业设计（论文）自查和学校对学院教学效果的检查，结合毕业设计（论文）工作常见问题，特制定本规范。</w:t>
      </w:r>
    </w:p>
    <w:p w14:paraId="47060E82">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一、论文征题、选题、审题</w:t>
      </w:r>
    </w:p>
    <w:p w14:paraId="2DE28F75">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由学院自行组织毕业设计（论文）征题、选题、审题工作。</w:t>
      </w:r>
    </w:p>
    <w:p w14:paraId="60B7DA18">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学院有完善的征题、选题、审题制度。</w:t>
      </w:r>
    </w:p>
    <w:p w14:paraId="15DAF070">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题目表述，语句要求通顺。</w:t>
      </w:r>
    </w:p>
    <w:p w14:paraId="7E98B599">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题目与专业相关，符合专业培养目标。</w:t>
      </w:r>
    </w:p>
    <w:p w14:paraId="2A5799D8">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设计（论文）题目难易程度适中。</w:t>
      </w:r>
    </w:p>
    <w:p w14:paraId="7AEF4C49">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设计（论文）题目应有一定的创新意义或有实际应用价值。</w:t>
      </w:r>
    </w:p>
    <w:p w14:paraId="0F96E605">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填写题目审核表，并有审核意见及签名。</w:t>
      </w:r>
    </w:p>
    <w:p w14:paraId="1F77A0F1">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一生一题。</w:t>
      </w:r>
    </w:p>
    <w:p w14:paraId="73DD1760">
      <w:pPr>
        <w:numPr>
          <w:ilvl w:val="0"/>
          <w:numId w:val="1"/>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三年内题目无重复。</w:t>
      </w:r>
    </w:p>
    <w:p w14:paraId="42270135">
      <w:pPr>
        <w:numPr>
          <w:ilvl w:val="0"/>
          <w:numId w:val="2"/>
        </w:num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指导教师资格审查</w:t>
      </w:r>
    </w:p>
    <w:p w14:paraId="15C5A4D3">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为满足师生比要求，在校内师资不足的情况下可由学院聘请校外专业人员指导学生毕业设计（论文）。</w:t>
      </w:r>
    </w:p>
    <w:p w14:paraId="12978867">
      <w:pPr>
        <w:numPr>
          <w:ilvl w:val="0"/>
          <w:numId w:val="3"/>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校内指导教师应具有讲师以上职称、校外指导教师应具有中级以上职称或硕士研究生以上学历。</w:t>
      </w:r>
    </w:p>
    <w:p w14:paraId="57DB4FA0">
      <w:pPr>
        <w:pStyle w:val="2"/>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（3）生师比要求。毕业设计：正高级职称教师不超过1:8，</w:t>
      </w:r>
      <w:r>
        <w:rPr>
          <w:rFonts w:hint="eastAsia" w:ascii="仿宋" w:hAnsi="仿宋" w:eastAsia="仿宋" w:cs="仿宋"/>
          <w:sz w:val="24"/>
          <w:szCs w:val="24"/>
        </w:rPr>
        <w:t>副高级</w:t>
      </w:r>
      <w:r>
        <w:rPr>
          <w:rFonts w:hint="eastAsia" w:ascii="仿宋" w:hAnsi="仿宋" w:eastAsia="仿宋" w:cs="仿宋"/>
          <w:sz w:val="24"/>
        </w:rPr>
        <w:t>职称教师不超过1:6</w:t>
      </w:r>
      <w:r>
        <w:rPr>
          <w:rFonts w:hint="eastAsia" w:ascii="仿宋" w:hAnsi="仿宋" w:eastAsia="仿宋" w:cs="仿宋"/>
          <w:sz w:val="24"/>
          <w:lang w:eastAsia="zh-CN"/>
        </w:rPr>
        <w:t>，</w:t>
      </w:r>
      <w:r>
        <w:rPr>
          <w:rFonts w:hint="eastAsia" w:ascii="仿宋" w:hAnsi="仿宋" w:eastAsia="仿宋" w:cs="仿宋"/>
          <w:sz w:val="24"/>
          <w:szCs w:val="24"/>
          <w:lang w:val="en-US" w:eastAsia="zh-CN"/>
        </w:rPr>
        <w:t>中级职称教师不超过1:4。毕业论文：正高级职称教师不超过1:6，副高级职称教师不超过1:6，中级职称教师不超过1:4。</w:t>
      </w:r>
    </w:p>
    <w:p w14:paraId="56DCD566">
      <w:pPr>
        <w:numPr>
          <w:ilvl w:val="0"/>
          <w:numId w:val="4"/>
        </w:numPr>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开题</w:t>
      </w:r>
    </w:p>
    <w:p w14:paraId="6BE056B2">
      <w:pPr>
        <w:numPr>
          <w:ilvl w:val="0"/>
          <w:numId w:val="5"/>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指导教师填写任务书。有详细可行的计划，对设计（论文）任务、进度等要求明确具体、填写规范。</w:t>
      </w:r>
    </w:p>
    <w:p w14:paraId="078AAE06">
      <w:pPr>
        <w:numPr>
          <w:ilvl w:val="0"/>
          <w:numId w:val="5"/>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学生填写开题报告。使用规范模板，内容完整、格式规范，有教研室审核意见及签名。</w:t>
      </w:r>
    </w:p>
    <w:p w14:paraId="111FF7E7">
      <w:pPr>
        <w:numPr>
          <w:ilvl w:val="0"/>
          <w:numId w:val="6"/>
        </w:num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指导</w:t>
      </w:r>
    </w:p>
    <w:p w14:paraId="5C7BA58B">
      <w:pPr>
        <w:numPr>
          <w:ilvl w:val="0"/>
          <w:numId w:val="7"/>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教师有明确的指导时间、地点安排，每周至少安排2次与学生见面，每次指导时间不得少于4学时。指导时间、地点安排填入《毕业设计（论文）信息一览表》。</w:t>
      </w:r>
    </w:p>
    <w:p w14:paraId="686E0FEE">
      <w:pPr>
        <w:numPr>
          <w:ilvl w:val="0"/>
          <w:numId w:val="7"/>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教师填写指导周志。指导周志应结合每名学生的课题内容填写，不能泛泛而谈。</w:t>
      </w:r>
    </w:p>
    <w:p w14:paraId="556622C2">
      <w:pPr>
        <w:numPr>
          <w:ilvl w:val="0"/>
          <w:numId w:val="7"/>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学生课题进度基本和任务书的安排基本一致。没有发生进度严重滞后的状况。</w:t>
      </w:r>
    </w:p>
    <w:p w14:paraId="42C1A890">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五、论文格式规范</w:t>
      </w:r>
    </w:p>
    <w:p w14:paraId="38CA5B35">
      <w:pPr>
        <w:numPr>
          <w:ilvl w:val="0"/>
          <w:numId w:val="0"/>
        </w:num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统一按《武汉工程大学本科毕业设计（论文）撰写格式要求（2016版）》及《武汉工程大学本科毕业设计（论文）格式范本（2016版）》执行。</w:t>
      </w:r>
    </w:p>
    <w:p w14:paraId="0E68D857">
      <w:pPr>
        <w:numPr>
          <w:ilvl w:val="0"/>
          <w:numId w:val="0"/>
        </w:numPr>
        <w:spacing w:line="360" w:lineRule="auto"/>
        <w:ind w:firstLine="420" w:firstLineChars="0"/>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参考文献篇数要求：</w:t>
      </w:r>
    </w:p>
    <w:p w14:paraId="030D9565">
      <w:pPr>
        <w:numPr>
          <w:ilvl w:val="0"/>
          <w:numId w:val="0"/>
        </w:numPr>
        <w:spacing w:line="360" w:lineRule="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（1）理工类专业。不少于15篇，其中外文参考文献不少于3篇；</w:t>
      </w:r>
    </w:p>
    <w:p w14:paraId="79EB0CF0">
      <w:pPr>
        <w:numPr>
          <w:ilvl w:val="0"/>
          <w:numId w:val="0"/>
        </w:numPr>
        <w:spacing w:line="360" w:lineRule="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（2）人文社科类专业。不少于30篇，其中外文参考文献不少于5篇；</w:t>
      </w:r>
    </w:p>
    <w:p w14:paraId="0015FEA7">
      <w:pPr>
        <w:numPr>
          <w:ilvl w:val="0"/>
          <w:numId w:val="0"/>
        </w:numPr>
        <w:spacing w:line="360" w:lineRule="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（3）艺术类专业。不少于15篇，其中外文参考文献不少于2篇；</w:t>
      </w:r>
    </w:p>
    <w:p w14:paraId="26D8198A">
      <w:pPr>
        <w:numPr>
          <w:ilvl w:val="0"/>
          <w:numId w:val="0"/>
        </w:numPr>
        <w:spacing w:line="360" w:lineRule="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（4）语言文学类专业。不少于20篇，其中英语专业外文参考文献不少于5篇。</w:t>
      </w:r>
    </w:p>
    <w:p w14:paraId="76392D9E">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b/>
          <w:bCs/>
          <w:color w:val="auto"/>
          <w:sz w:val="24"/>
          <w:szCs w:val="24"/>
          <w:lang w:val="en-US" w:eastAsia="zh-CN"/>
        </w:rPr>
        <w:t>六、答辩资格</w:t>
      </w:r>
      <w:r>
        <w:rPr>
          <w:rFonts w:hint="eastAsia" w:ascii="仿宋" w:hAnsi="仿宋" w:eastAsia="仿宋" w:cs="仿宋"/>
          <w:b/>
          <w:bCs/>
          <w:sz w:val="24"/>
          <w:szCs w:val="24"/>
          <w:lang w:val="en-US" w:eastAsia="zh-CN"/>
        </w:rPr>
        <w:t>及答辩管理</w:t>
      </w:r>
    </w:p>
    <w:p w14:paraId="1F9A61DE">
      <w:pPr>
        <w:numPr>
          <w:ilvl w:val="0"/>
          <w:numId w:val="8"/>
        </w:numPr>
        <w:spacing w:line="360" w:lineRule="auto"/>
        <w:rPr>
          <w:rFonts w:hint="eastAsia" w:ascii="仿宋" w:hAnsi="仿宋" w:eastAsia="仿宋" w:cs="仿宋"/>
          <w:sz w:val="24"/>
          <w:szCs w:val="24"/>
          <w:lang w:eastAsia="zh-CN"/>
        </w:rPr>
      </w:pPr>
      <w:r>
        <w:rPr>
          <w:rFonts w:hint="eastAsia" w:ascii="仿宋" w:hAnsi="仿宋" w:eastAsia="仿宋" w:cs="仿宋"/>
          <w:sz w:val="24"/>
          <w:szCs w:val="24"/>
          <w:lang w:eastAsia="zh-CN"/>
        </w:rPr>
        <w:t>论文查重检测。学生在答辩前须在学校指定的学术不端行为检查平台进行论文查重，</w:t>
      </w:r>
      <w:r>
        <w:rPr>
          <w:rFonts w:hint="eastAsia" w:ascii="仿宋" w:hAnsi="仿宋" w:eastAsia="仿宋" w:cs="仿宋"/>
          <w:kern w:val="0"/>
          <w:sz w:val="24"/>
          <w:szCs w:val="24"/>
        </w:rPr>
        <w:t>检测结果以检测报告中总体相似度为准，论文的总体相似度原则上不超过30%，各学院可根据学科专业特点自行制定各专业的合格比例。</w:t>
      </w:r>
    </w:p>
    <w:p w14:paraId="30746906">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答辩资格审查。学生填写</w:t>
      </w:r>
      <w:r>
        <w:rPr>
          <w:rFonts w:hint="eastAsia" w:ascii="仿宋" w:hAnsi="仿宋" w:eastAsia="仿宋" w:cs="仿宋"/>
          <w:color w:val="auto"/>
          <w:sz w:val="24"/>
          <w:szCs w:val="24"/>
          <w:lang w:val="en-US" w:eastAsia="zh-CN"/>
        </w:rPr>
        <w:t>答辩申请表</w:t>
      </w:r>
      <w:r>
        <w:rPr>
          <w:rFonts w:hint="eastAsia" w:ascii="仿宋" w:hAnsi="仿宋" w:eastAsia="仿宋" w:cs="仿宋"/>
          <w:sz w:val="24"/>
          <w:szCs w:val="24"/>
          <w:lang w:val="en-US" w:eastAsia="zh-CN"/>
        </w:rPr>
        <w:t>，指导教师</w:t>
      </w:r>
      <w:r>
        <w:rPr>
          <w:rFonts w:hint="eastAsia" w:ascii="仿宋" w:hAnsi="仿宋" w:eastAsia="仿宋" w:cs="仿宋"/>
          <w:sz w:val="24"/>
          <w:szCs w:val="24"/>
        </w:rPr>
        <w:t>对毕业设计（论文）</w:t>
      </w:r>
      <w:r>
        <w:rPr>
          <w:rFonts w:hint="eastAsia" w:ascii="仿宋" w:hAnsi="仿宋" w:eastAsia="仿宋" w:cs="仿宋"/>
          <w:sz w:val="24"/>
          <w:szCs w:val="24"/>
          <w:lang w:eastAsia="zh-CN"/>
        </w:rPr>
        <w:t>课题完成情况</w:t>
      </w:r>
      <w:r>
        <w:rPr>
          <w:rFonts w:hint="eastAsia" w:ascii="仿宋" w:hAnsi="仿宋" w:eastAsia="仿宋" w:cs="仿宋"/>
          <w:sz w:val="24"/>
          <w:szCs w:val="24"/>
        </w:rPr>
        <w:t>及</w:t>
      </w:r>
      <w:r>
        <w:rPr>
          <w:rFonts w:hint="eastAsia" w:ascii="仿宋" w:hAnsi="仿宋" w:eastAsia="仿宋" w:cs="仿宋"/>
          <w:sz w:val="24"/>
          <w:szCs w:val="24"/>
          <w:lang w:eastAsia="zh-CN"/>
        </w:rPr>
        <w:t>论文格式</w:t>
      </w:r>
      <w:r>
        <w:rPr>
          <w:rFonts w:hint="eastAsia" w:ascii="仿宋" w:hAnsi="仿宋" w:eastAsia="仿宋" w:cs="仿宋"/>
          <w:sz w:val="24"/>
          <w:szCs w:val="24"/>
        </w:rPr>
        <w:t>规范严格审查把关。</w:t>
      </w:r>
    </w:p>
    <w:p w14:paraId="04AB1E0F">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eastAsia="zh-CN"/>
        </w:rPr>
        <w:t>毕业论文评阅。每届毕业生论文要求以不低于</w:t>
      </w:r>
      <w:r>
        <w:rPr>
          <w:rFonts w:hint="eastAsia" w:ascii="仿宋" w:hAnsi="仿宋" w:eastAsia="仿宋" w:cs="仿宋"/>
          <w:sz w:val="24"/>
          <w:szCs w:val="24"/>
          <w:lang w:val="en-US" w:eastAsia="zh-CN"/>
        </w:rPr>
        <w:t>40%的比例进行评阅，并填写评阅人评语。评阅人意见要切合论文实际，有针对性，书写工整，分数计算无误，各项分值无涂改痕迹，有评阅人签名。</w:t>
      </w:r>
    </w:p>
    <w:p w14:paraId="1BC4A432">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指导教师评阅意见。要切合论文实际，有针对性，书写工整，分数计算无误，各项分值无涂改痕迹，有教师签名。</w:t>
      </w:r>
    </w:p>
    <w:p w14:paraId="383FBE08">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答辩组织。</w:t>
      </w:r>
      <w:r>
        <w:rPr>
          <w:rFonts w:hint="eastAsia" w:ascii="仿宋" w:hAnsi="仿宋" w:eastAsia="仿宋" w:cs="仿宋"/>
          <w:sz w:val="24"/>
          <w:szCs w:val="24"/>
          <w:lang w:eastAsia="zh-CN"/>
        </w:rPr>
        <w:t>学院成立答辩委员会和答辩小组。制定参与公开答辩和小组答辩的教师及学生名单，答辩时间、地点安排等。</w:t>
      </w:r>
    </w:p>
    <w:p w14:paraId="3DDE7EF5">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eastAsia="zh-CN"/>
        </w:rPr>
        <w:t>答辩小组成员。答辩小组专业教师人数应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仿宋" w:hAnsi="仿宋" w:eastAsia="仿宋" w:cs="仿宋"/>
          <w:sz w:val="24"/>
          <w:szCs w:val="24"/>
          <w:lang w:val="en-US" w:eastAsia="zh-CN"/>
        </w:rPr>
        <w:t>人</w:t>
      </w:r>
      <w:r>
        <w:rPr>
          <w:rFonts w:hint="eastAsia" w:ascii="宋体" w:hAnsi="宋体" w:eastAsia="宋体" w:cs="宋体"/>
          <w:sz w:val="24"/>
          <w:szCs w:val="24"/>
          <w:lang w:val="en-US" w:eastAsia="zh-CN"/>
        </w:rPr>
        <w:t>。</w:t>
      </w:r>
    </w:p>
    <w:p w14:paraId="157AAEB3">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答辩过程。要求每名学生回答不少于3个与课题有关的问题。答辩记录认真、完整，能反映答辩实际情况，无涂改痕迹。</w:t>
      </w:r>
    </w:p>
    <w:p w14:paraId="3D8C2171">
      <w:pPr>
        <w:numPr>
          <w:ilvl w:val="0"/>
          <w:numId w:val="8"/>
        </w:numPr>
        <w:spacing w:line="360" w:lineRule="auto"/>
        <w:rPr>
          <w:rFonts w:hint="eastAsia" w:ascii="仿宋" w:hAnsi="仿宋" w:eastAsia="仿宋" w:cs="仿宋"/>
          <w:color w:val="0000FF"/>
          <w:sz w:val="24"/>
          <w:szCs w:val="24"/>
          <w:lang w:val="en-US" w:eastAsia="zh-CN"/>
        </w:rPr>
      </w:pPr>
      <w:r>
        <w:rPr>
          <w:rFonts w:hint="eastAsia" w:ascii="仿宋" w:hAnsi="仿宋" w:eastAsia="仿宋" w:cs="仿宋"/>
          <w:color w:val="0000FF"/>
          <w:sz w:val="24"/>
          <w:szCs w:val="24"/>
          <w:lang w:val="en-US" w:eastAsia="zh-CN"/>
        </w:rPr>
        <w:t>答辩现场评分。现场教师分别填写答辩评分表。</w:t>
      </w:r>
    </w:p>
    <w:p w14:paraId="2B9EB581">
      <w:pPr>
        <w:numPr>
          <w:ilvl w:val="0"/>
          <w:numId w:val="8"/>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答辩委员会意见及答辩成绩。答辩委员会意见填写认真，评价客观，切合课题论文实际。答辩成绩计算无误，无涂改痕迹，有答辩委员会负责人签名。</w:t>
      </w:r>
    </w:p>
    <w:p w14:paraId="5828D36E">
      <w:pPr>
        <w:numPr>
          <w:ilvl w:val="0"/>
          <w:numId w:val="9"/>
        </w:num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毕业设计（论文）管理</w:t>
      </w:r>
    </w:p>
    <w:p w14:paraId="12BBDB6B">
      <w:pPr>
        <w:numPr>
          <w:ilvl w:val="0"/>
          <w:numId w:val="1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学院有明确的毕业设计（论文）工作领导小组。</w:t>
      </w:r>
    </w:p>
    <w:p w14:paraId="383823E9">
      <w:pPr>
        <w:numPr>
          <w:ilvl w:val="0"/>
          <w:numId w:val="1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学院结合学校有关规定制定本学院毕业设计（论文）工作的检查计划并实施。对征题及选题阶段、开题及研究阶段、撰写论文及答辩阶段自行组织检查并进行总结整改。</w:t>
      </w:r>
    </w:p>
    <w:p w14:paraId="587B7AA3">
      <w:pPr>
        <w:numPr>
          <w:ilvl w:val="0"/>
          <w:numId w:val="1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学院按时填写并提交“毕业设计（论文）信息一览表”，学院对表格数据负责。</w:t>
      </w:r>
    </w:p>
    <w:p w14:paraId="27E8C694">
      <w:pPr>
        <w:numPr>
          <w:ilvl w:val="0"/>
          <w:numId w:val="1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学院按照学校要求组织省优学士学位论文推荐及评选工作，按时向学校提交省优论文初选名单及论文材料。</w:t>
      </w:r>
    </w:p>
    <w:p w14:paraId="5B1487A0">
      <w:pPr>
        <w:numPr>
          <w:ilvl w:val="0"/>
          <w:numId w:val="11"/>
        </w:numPr>
        <w:spacing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资料存档</w:t>
      </w:r>
    </w:p>
    <w:p w14:paraId="72271668">
      <w:pPr>
        <w:numPr>
          <w:ilvl w:val="0"/>
          <w:numId w:val="12"/>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学院负责收集毕业生毕业论文、文献翻译及论文查重报告电子版并合并刻录光盘上交</w:t>
      </w:r>
      <w:r>
        <w:rPr>
          <w:rFonts w:hint="eastAsia" w:ascii="仿宋" w:hAnsi="仿宋" w:eastAsia="仿宋" w:cs="仿宋"/>
          <w:sz w:val="24"/>
          <w:szCs w:val="24"/>
        </w:rPr>
        <w:t>学校教务管理相关部门</w:t>
      </w:r>
      <w:r>
        <w:rPr>
          <w:rFonts w:hint="eastAsia" w:ascii="仿宋" w:hAnsi="仿宋" w:eastAsia="仿宋" w:cs="仿宋"/>
          <w:sz w:val="24"/>
          <w:szCs w:val="24"/>
          <w:lang w:val="en-US" w:eastAsia="zh-CN"/>
        </w:rPr>
        <w:t>。</w:t>
      </w:r>
    </w:p>
    <w:p w14:paraId="3241C896">
      <w:pPr>
        <w:numPr>
          <w:ilvl w:val="0"/>
          <w:numId w:val="12"/>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学院负责论文资料袋资料的完整性检查</w:t>
      </w:r>
      <w:r>
        <w:rPr>
          <w:rFonts w:hint="eastAsia" w:ascii="仿宋" w:hAnsi="仿宋" w:eastAsia="仿宋" w:cs="仿宋"/>
          <w:sz w:val="24"/>
          <w:szCs w:val="24"/>
        </w:rPr>
        <w:t>和纸质版资料存档</w:t>
      </w:r>
      <w:r>
        <w:rPr>
          <w:rFonts w:hint="eastAsia" w:ascii="仿宋" w:hAnsi="仿宋" w:eastAsia="仿宋" w:cs="仿宋"/>
          <w:sz w:val="24"/>
          <w:szCs w:val="24"/>
          <w:lang w:val="en-US" w:eastAsia="zh-CN"/>
        </w:rPr>
        <w:t>。</w:t>
      </w:r>
    </w:p>
    <w:p w14:paraId="1A12434E">
      <w:pPr>
        <w:numPr>
          <w:ilvl w:val="0"/>
          <w:numId w:val="0"/>
        </w:numPr>
        <w:spacing w:line="360" w:lineRule="auto"/>
        <w:ind w:firstLine="420" w:firstLineChars="0"/>
        <w:rPr>
          <w:rFonts w:hint="eastAsia" w:ascii="仿宋" w:hAnsi="仿宋" w:eastAsia="仿宋" w:cs="仿宋"/>
          <w:sz w:val="24"/>
          <w:szCs w:val="24"/>
          <w:lang w:val="en-US" w:eastAsia="zh-CN"/>
        </w:rPr>
      </w:pPr>
    </w:p>
    <w:p w14:paraId="7C894A9D">
      <w:pPr>
        <w:numPr>
          <w:ilvl w:val="0"/>
          <w:numId w:val="0"/>
        </w:numPr>
        <w:spacing w:line="360" w:lineRule="auto"/>
        <w:ind w:firstLine="420" w:firstLineChars="0"/>
        <w:rPr>
          <w:rFonts w:hint="eastAsia" w:ascii="仿宋" w:hAnsi="仿宋" w:eastAsia="仿宋" w:cs="仿宋"/>
          <w:sz w:val="24"/>
          <w:szCs w:val="24"/>
          <w:lang w:val="en-US" w:eastAsia="zh-CN"/>
        </w:rPr>
      </w:pPr>
    </w:p>
    <w:p w14:paraId="3D0C3DF3">
      <w:pPr>
        <w:numPr>
          <w:ilvl w:val="0"/>
          <w:numId w:val="0"/>
        </w:num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教务处</w:t>
      </w:r>
    </w:p>
    <w:p w14:paraId="555A2FBF">
      <w:pPr>
        <w:numPr>
          <w:ilvl w:val="0"/>
          <w:numId w:val="0"/>
        </w:numPr>
        <w:spacing w:line="360" w:lineRule="auto"/>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2017年4月28日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05FBE2"/>
    <w:multiLevelType w:val="singleLevel"/>
    <w:tmpl w:val="5705FBE2"/>
    <w:lvl w:ilvl="0" w:tentative="0">
      <w:start w:val="1"/>
      <w:numFmt w:val="decimal"/>
      <w:suff w:val="nothing"/>
      <w:lvlText w:val="（%1）"/>
      <w:lvlJc w:val="left"/>
    </w:lvl>
  </w:abstractNum>
  <w:abstractNum w:abstractNumId="1">
    <w:nsid w:val="5705FDE9"/>
    <w:multiLevelType w:val="singleLevel"/>
    <w:tmpl w:val="5705FDE9"/>
    <w:lvl w:ilvl="0" w:tentative="0">
      <w:start w:val="2"/>
      <w:numFmt w:val="chineseCounting"/>
      <w:suff w:val="nothing"/>
      <w:lvlText w:val="%1、"/>
      <w:lvlJc w:val="left"/>
    </w:lvl>
  </w:abstractNum>
  <w:abstractNum w:abstractNumId="2">
    <w:nsid w:val="57060015"/>
    <w:multiLevelType w:val="singleLevel"/>
    <w:tmpl w:val="57060015"/>
    <w:lvl w:ilvl="0" w:tentative="0">
      <w:start w:val="1"/>
      <w:numFmt w:val="decimal"/>
      <w:suff w:val="nothing"/>
      <w:lvlText w:val="（%1）"/>
      <w:lvlJc w:val="left"/>
    </w:lvl>
  </w:abstractNum>
  <w:abstractNum w:abstractNumId="3">
    <w:nsid w:val="57062002"/>
    <w:multiLevelType w:val="singleLevel"/>
    <w:tmpl w:val="57062002"/>
    <w:lvl w:ilvl="0" w:tentative="0">
      <w:start w:val="3"/>
      <w:numFmt w:val="chineseCounting"/>
      <w:suff w:val="nothing"/>
      <w:lvlText w:val="%1、"/>
      <w:lvlJc w:val="left"/>
    </w:lvl>
  </w:abstractNum>
  <w:abstractNum w:abstractNumId="4">
    <w:nsid w:val="57075C37"/>
    <w:multiLevelType w:val="singleLevel"/>
    <w:tmpl w:val="57075C37"/>
    <w:lvl w:ilvl="0" w:tentative="0">
      <w:start w:val="1"/>
      <w:numFmt w:val="decimal"/>
      <w:suff w:val="nothing"/>
      <w:lvlText w:val="（%1）"/>
      <w:lvlJc w:val="left"/>
    </w:lvl>
  </w:abstractNum>
  <w:abstractNum w:abstractNumId="5">
    <w:nsid w:val="57075CAB"/>
    <w:multiLevelType w:val="singleLevel"/>
    <w:tmpl w:val="57075CAB"/>
    <w:lvl w:ilvl="0" w:tentative="0">
      <w:start w:val="4"/>
      <w:numFmt w:val="chineseCounting"/>
      <w:suff w:val="nothing"/>
      <w:lvlText w:val="%1、"/>
      <w:lvlJc w:val="left"/>
    </w:lvl>
  </w:abstractNum>
  <w:abstractNum w:abstractNumId="6">
    <w:nsid w:val="57075D2D"/>
    <w:multiLevelType w:val="singleLevel"/>
    <w:tmpl w:val="57075D2D"/>
    <w:lvl w:ilvl="0" w:tentative="0">
      <w:start w:val="1"/>
      <w:numFmt w:val="decimal"/>
      <w:suff w:val="nothing"/>
      <w:lvlText w:val="（%1）"/>
      <w:lvlJc w:val="left"/>
    </w:lvl>
  </w:abstractNum>
  <w:abstractNum w:abstractNumId="7">
    <w:nsid w:val="570B474C"/>
    <w:multiLevelType w:val="singleLevel"/>
    <w:tmpl w:val="570B474C"/>
    <w:lvl w:ilvl="0" w:tentative="0">
      <w:start w:val="1"/>
      <w:numFmt w:val="decimal"/>
      <w:suff w:val="nothing"/>
      <w:lvlText w:val="（%1）"/>
      <w:lvlJc w:val="left"/>
    </w:lvl>
  </w:abstractNum>
  <w:abstractNum w:abstractNumId="8">
    <w:nsid w:val="570B5082"/>
    <w:multiLevelType w:val="singleLevel"/>
    <w:tmpl w:val="570B5082"/>
    <w:lvl w:ilvl="0" w:tentative="0">
      <w:start w:val="7"/>
      <w:numFmt w:val="chineseCounting"/>
      <w:suff w:val="nothing"/>
      <w:lvlText w:val="%1、"/>
      <w:lvlJc w:val="left"/>
    </w:lvl>
  </w:abstractNum>
  <w:abstractNum w:abstractNumId="9">
    <w:nsid w:val="570B5143"/>
    <w:multiLevelType w:val="singleLevel"/>
    <w:tmpl w:val="570B5143"/>
    <w:lvl w:ilvl="0" w:tentative="0">
      <w:start w:val="1"/>
      <w:numFmt w:val="decimal"/>
      <w:suff w:val="nothing"/>
      <w:lvlText w:val="（%1）"/>
      <w:lvlJc w:val="left"/>
    </w:lvl>
  </w:abstractNum>
  <w:abstractNum w:abstractNumId="10">
    <w:nsid w:val="570B5526"/>
    <w:multiLevelType w:val="singleLevel"/>
    <w:tmpl w:val="570B5526"/>
    <w:lvl w:ilvl="0" w:tentative="0">
      <w:start w:val="8"/>
      <w:numFmt w:val="chineseCounting"/>
      <w:suff w:val="nothing"/>
      <w:lvlText w:val="%1、"/>
      <w:lvlJc w:val="left"/>
    </w:lvl>
  </w:abstractNum>
  <w:abstractNum w:abstractNumId="11">
    <w:nsid w:val="570B55FB"/>
    <w:multiLevelType w:val="singleLevel"/>
    <w:tmpl w:val="570B55FB"/>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D3C31"/>
    <w:rsid w:val="033C1FB9"/>
    <w:rsid w:val="044436B8"/>
    <w:rsid w:val="045B3040"/>
    <w:rsid w:val="0723108C"/>
    <w:rsid w:val="0A7C12FC"/>
    <w:rsid w:val="0AD36E95"/>
    <w:rsid w:val="0AE72027"/>
    <w:rsid w:val="0E271229"/>
    <w:rsid w:val="0F7F7DF0"/>
    <w:rsid w:val="1E051DE5"/>
    <w:rsid w:val="1E8C5A07"/>
    <w:rsid w:val="1FC5509B"/>
    <w:rsid w:val="20A263B2"/>
    <w:rsid w:val="21193EFC"/>
    <w:rsid w:val="2129732B"/>
    <w:rsid w:val="215D3C31"/>
    <w:rsid w:val="21EC7BD5"/>
    <w:rsid w:val="24371A4A"/>
    <w:rsid w:val="298A6471"/>
    <w:rsid w:val="2C8021F9"/>
    <w:rsid w:val="2F2E69D2"/>
    <w:rsid w:val="3303513E"/>
    <w:rsid w:val="35C24957"/>
    <w:rsid w:val="45151070"/>
    <w:rsid w:val="48DF2A81"/>
    <w:rsid w:val="4AD53C57"/>
    <w:rsid w:val="4C2A38BA"/>
    <w:rsid w:val="4E172172"/>
    <w:rsid w:val="50442D5B"/>
    <w:rsid w:val="559D3058"/>
    <w:rsid w:val="64E6505E"/>
    <w:rsid w:val="660A1E8E"/>
    <w:rsid w:val="6B8E7F57"/>
    <w:rsid w:val="6CC92AD0"/>
    <w:rsid w:val="74116C97"/>
    <w:rsid w:val="761A7B93"/>
    <w:rsid w:val="76666527"/>
    <w:rsid w:val="77C1705A"/>
    <w:rsid w:val="7B382361"/>
    <w:rsid w:val="7C2946A9"/>
    <w:rsid w:val="7D345A6B"/>
    <w:rsid w:val="7E113B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1670</Words>
  <Characters>1703</Characters>
  <Lines>0</Lines>
  <Paragraphs>0</Paragraphs>
  <TotalTime>0</TotalTime>
  <ScaleCrop>false</ScaleCrop>
  <LinksUpToDate>false</LinksUpToDate>
  <CharactersWithSpaces>1795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2016-04-07T02:49:00Z</dcterms:created>
  <dc:creator>Administrator</dc:creator>
  <cp:lastModifiedBy>刘禹欣</cp:lastModifiedBy>
  <dcterms:modified xsi:type="dcterms:W3CDTF">2026-01-30T07:11:20Z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A65C85B85CB24B1C87810E384AE6FA73_13</vt:lpwstr>
  </property>
</Properties>
</file>