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003366"/>
          <w:sz w:val="44"/>
        </w:rPr>
        <w:t>Predicting Student Course Completion</w:t>
      </w:r>
    </w:p>
    <w:p>
      <w:pPr>
        <w:jc w:val="center"/>
      </w:pPr>
      <w:r>
        <w:rPr>
          <w:rFonts w:ascii="Calibri" w:hAnsi="Calibri"/>
          <w:b w:val="0"/>
          <w:i/>
          <w:color w:val="505050"/>
          <w:sz w:val="28"/>
        </w:rPr>
        <w:t>A Machine Learning Analysis Report</w:t>
      </w:r>
    </w:p>
    <w:p/>
    <w:p>
      <w:pPr>
        <w:jc w:val="center"/>
      </w:pPr>
      <w:r>
        <w:rPr>
          <w:rFonts w:ascii="Calibri" w:hAnsi="Calibri"/>
          <w:b/>
          <w:i w:val="0"/>
          <w:sz w:val="26"/>
        </w:rPr>
        <w:t>Clifton Chen Yi</w:t>
      </w:r>
    </w:p>
    <w:p>
      <w:pPr>
        <w:jc w:val="center"/>
      </w:pPr>
      <w:r>
        <w:rPr>
          <w:rFonts w:ascii="Calibri" w:hAnsi="Calibri"/>
          <w:b w:val="0"/>
          <w:i w:val="0"/>
          <w:sz w:val="22"/>
        </w:rPr>
        <w:t>Admin Number: 231220B</w:t>
      </w:r>
    </w:p>
    <w:p/>
    <w:p>
      <w:pPr>
        <w:jc w:val="center"/>
      </w:pPr>
      <w:r>
        <w:rPr>
          <w:rFonts w:ascii="Calibri" w:hAnsi="Calibri"/>
          <w:b w:val="0"/>
          <w:i/>
          <w:sz w:val="22"/>
        </w:rPr>
        <w:t>February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</w:rPr>
        <w:t>i. Introduction</w:t>
      </w:r>
    </w:p>
    <w:p>
      <w:pPr>
        <w:pStyle w:val="Heading2"/>
      </w:pPr>
      <w:r>
        <w:rPr>
          <w:rFonts w:ascii="Calibri" w:hAnsi="Calibri"/>
          <w:color w:val="003366"/>
        </w:rPr>
        <w:t>Problem Statement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Online learning platforms face significant student dropout rates, with Massive Open Online Courses (MOOCs) often experiencing attrition exceeding 90% (Onah et al., 2014). This high dropout represents a critical challenge for educational providers, resulting in lost revenue, wasted resources, and unfulfilled student potential. The ability to predict whether a student will complete a course early in their enrolment would enable platforms to implement targeted interventions — such as personalised reminders, mentor outreach, or adaptive content — to improve retention.</w:t>
      </w:r>
    </w:p>
    <w:p>
      <w:pPr>
        <w:pStyle w:val="Heading2"/>
      </w:pPr>
      <w:r>
        <w:rPr>
          <w:rFonts w:ascii="Calibri" w:hAnsi="Calibri"/>
          <w:color w:val="003366"/>
        </w:rPr>
        <w:t>Objective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analysis aims to build a supervised binary classification model that predicts whether a student will complete an online course ("Completed" vs "Not Completed") using a dataset of 100,000 student-course enrolment records with 40 features spanning demographics, course metadata, engagement behaviour, and payment details (Patel, 2024). The expected outcomes are: (1) identify the most predictive features of course completion, (2) achieve an F1-Score of at least 0.70 and ROC-AUC of at least 0.75, and (3) provide actionable insights for early intervention strategies.</w:t>
      </w:r>
    </w:p>
    <w:p>
      <w:pPr>
        <w:pStyle w:val="Heading1"/>
      </w:pPr>
      <w:r>
        <w:rPr>
          <w:rFonts w:ascii="Calibri" w:hAnsi="Calibri"/>
          <w:color w:val="003366"/>
        </w:rPr>
        <w:t>ii. Dataset Overview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This dataset is well-suited for binary classification because it contains a large sample size (100,000 records), a nearly balanced target variable (~49% Completed vs ~51% Not Completed), and 40 features spanning four distinct categories — demographics, course metadata, engagement behaviour, and payment — providing diverse predictive signals without requiring class imbalance handling techniques such as SMOTE or class weighting.</w:t>
      </w:r>
    </w:p>
    <w:p>
      <w:pPr>
        <w:pStyle w:val="Heading2"/>
      </w:pPr>
      <w:r>
        <w:rPr>
          <w:rFonts w:ascii="Calibri" w:hAnsi="Calibri"/>
          <w:color w:val="003366"/>
        </w:rPr>
        <w:t>Dataset Source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dataset is the Student Course Completion Prediction Dataset, sourced from Kaggle (Patel, 2024): https://www.kaggle.com/datasets/nisargpatel344/student-course-completion-prediction-dataset. It contains 100,000 student-course enrolment records with 40 features.</w:t>
      </w:r>
    </w:p>
    <w:p>
      <w:pPr>
        <w:pStyle w:val="Heading2"/>
      </w:pPr>
      <w:r>
        <w:rPr>
          <w:rFonts w:ascii="Calibri" w:hAnsi="Calibri"/>
          <w:color w:val="003366"/>
        </w:rPr>
        <w:t>Key Features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The 40 features are organised into four categories: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Demographics: </w:t>
      </w:r>
      <w:r>
        <w:rPr>
          <w:rFonts w:ascii="Calibri" w:hAnsi="Calibri"/>
          <w:b w:val="0"/>
          <w:i w:val="0"/>
          <w:sz w:val="20"/>
        </w:rPr>
        <w:t>Gender, Age, Education_Level, Employment_Status, City — capturing student background. EDA later confirmed these have limited predictive power for this dataset.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Course Metadata: </w:t>
      </w:r>
      <w:r>
        <w:rPr>
          <w:rFonts w:ascii="Calibri" w:hAnsi="Calibri"/>
          <w:b w:val="0"/>
          <w:i w:val="0"/>
          <w:sz w:val="20"/>
        </w:rPr>
        <w:t>Course_ID, Course_Name, Category, Course_Level, Course_Duration_Days, Instructor_Rating — describing course characteristics and structure.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Engagement Behaviour: </w:t>
      </w:r>
      <w:r>
        <w:rPr>
          <w:rFonts w:ascii="Calibri" w:hAnsi="Calibri"/>
          <w:b w:val="0"/>
          <w:i w:val="0"/>
          <w:sz w:val="20"/>
        </w:rPr>
        <w:t>Login_Frequency, Video_Completion_Rate, Quiz_Score_Avg, Progress_Percentage, Assignments_Submitted, Assignments_Missed, Discussion_Participation, Time_Spent_Hours — measuring student activity, which proved to be the strongest predictive category.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Payment: </w:t>
      </w:r>
      <w:r>
        <w:rPr>
          <w:rFonts w:ascii="Calibri" w:hAnsi="Calibri"/>
          <w:b w:val="0"/>
          <w:i w:val="0"/>
          <w:sz w:val="20"/>
        </w:rPr>
        <w:t>Payment_Mode, Fee_Paid, Payment_Amount, Discount_Used — financial context.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The target variable is "Completed" (Completed / Not Completed).</w:t>
      </w:r>
    </w:p>
    <w:p>
      <w:pPr>
        <w:pStyle w:val="Heading2"/>
      </w:pPr>
      <w:r>
        <w:rPr>
          <w:rFonts w:ascii="Calibri" w:hAnsi="Calibri"/>
          <w:color w:val="003366"/>
        </w:rPr>
        <w:t>Challenges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raw dataset is pre-cleaned with zero missing values and no duplicates — an unrealistic characteristic for real-world educational data. To practise proper data cleaning, missing values (~2% per column) and duplicates (~500 rows) were introduced artificially. Additional dataset-specific challenges included: high-cardinality identifier columns (Student_ID, Name, City with 15+ unique values) that risk overfitting if retained; right-skewed distributions in Time_Spent_Hours and Days_Since_Last_Login requiring robust imputation choices; and outliers detected via the IQR method in Time_Spent_Hours (5.1%) and Days_Since_Last_Login (3.7%), which could distort linear models like Logistic Regression.</w:t>
      </w:r>
    </w:p>
    <w:p>
      <w:pPr>
        <w:pStyle w:val="Heading1"/>
      </w:pPr>
      <w:r>
        <w:rPr>
          <w:rFonts w:ascii="Calibri" w:hAnsi="Calibri"/>
          <w:color w:val="003366"/>
        </w:rPr>
        <w:t>iii. Data Preprocessing and Cleaning</w:t>
      </w:r>
    </w:p>
    <w:p>
      <w:pPr>
        <w:pStyle w:val="Heading2"/>
      </w:pPr>
      <w:r>
        <w:rPr>
          <w:rFonts w:ascii="Calibri" w:hAnsi="Calibri"/>
          <w:color w:val="003366"/>
        </w:rPr>
        <w:t>Summary of Steps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Handling Missing Values: </w:t>
      </w:r>
      <w:r>
        <w:rPr>
          <w:rFonts w:ascii="Calibri" w:hAnsi="Calibri"/>
          <w:b w:val="0"/>
          <w:i w:val="0"/>
          <w:sz w:val="20"/>
        </w:rPr>
        <w:t>Missing values in Age, Video_Completion_Rate, Quiz_Score_Avg, and Satisfaction_Rating were filled using median imputation, chosen specifically because these features exhibit right-skewness in this dataset.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Duplicate Removal: </w:t>
      </w:r>
      <w:r>
        <w:rPr>
          <w:rFonts w:ascii="Calibri" w:hAnsi="Calibri"/>
          <w:b w:val="0"/>
          <w:i w:val="0"/>
          <w:sz w:val="20"/>
        </w:rPr>
        <w:t>500 duplicate rows were identified and removed, restoring the dataset to 100,000 unique records.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Dropping Non-Predictive Columns: </w:t>
      </w:r>
      <w:r>
        <w:rPr>
          <w:rFonts w:ascii="Calibri" w:hAnsi="Calibri"/>
          <w:b w:val="0"/>
          <w:i w:val="0"/>
          <w:sz w:val="20"/>
        </w:rPr>
        <w:t>Six columns (Student_ID, Name, City, Course_ID, Course_Name, Enrollment_Date) were dropped — identifiers carry no predictive signal, while City's 15+ unique values would inflate dimensionality without adding discriminative power, as confirmed by EDA showing uniform completion rates across demographics.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Feature Encoding: </w:t>
      </w:r>
      <w:r>
        <w:rPr>
          <w:rFonts w:ascii="Calibri" w:hAnsi="Calibri"/>
          <w:b w:val="0"/>
          <w:i w:val="0"/>
          <w:sz w:val="20"/>
        </w:rPr>
        <w:t>A hybrid strategy was used — ordinal encoding for naturally ordered features (Education_Level: HighSchool→0 to PhD→4; Course_Level: Beginner→0 to Advanced→2; Internet_Connection_Quality: Low→0 to High→2) and one-hot encoding for low-cardinality nominal features (Gender, Employment_Status, Device_Type, Category, Payment_Mode).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Feature Engineering: </w:t>
      </w:r>
      <w:r>
        <w:rPr>
          <w:rFonts w:ascii="Calibri" w:hAnsi="Calibri"/>
          <w:b w:val="0"/>
          <w:i w:val="0"/>
          <w:sz w:val="20"/>
        </w:rPr>
        <w:t>Two new features were created: Assignment_Completion_Rate (submitted / total assignments) and Quiz_Performance (Quiz_Score_Avg × Quiz_Attempts), designed to capture engagement quality rather than raw counts.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Feature Scaling: </w:t>
      </w:r>
      <w:r>
        <w:rPr>
          <w:rFonts w:ascii="Calibri" w:hAnsi="Calibri"/>
          <w:b w:val="0"/>
          <w:i w:val="0"/>
          <w:sz w:val="20"/>
        </w:rPr>
        <w:t>StandardScaler (mean=0, std=1) was applied only for Logistic Regression, which is sensitive to feature scales; tree-based models used unscaled data as they are scale-invariant.</w:t>
      </w:r>
    </w:p>
    <w:p>
      <w:pPr>
        <w:pStyle w:val="Heading2"/>
      </w:pPr>
      <w:r>
        <w:rPr>
          <w:rFonts w:ascii="Calibri" w:hAnsi="Calibri"/>
          <w:color w:val="003366"/>
        </w:rPr>
        <w:t>Alternative Method Considered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Mean imputation was considered as an alternative to median imputation. However, median imputation was selected because features such as Time_Spent_Hours (mean=3.87, median=2.10) and Days_Since_Last_Login (mean=6.19, median=3.00) are right-skewed in this dataset, making the median more robust to outliers and more representative of the typical student. KNN imputation was also considered but rejected due to its O(n²) computational cost on 100,000 rows. For feature encoding, one-hot encoding all categorical features was considered but rejected because City alone (15+ unique values) would substantially inflate the feature matrix, increasing the risk of the curse of dimensionality while adding negligible predictive value — as confirmed by EDA showing near-identical completion rates across demographic categories.</w:t>
      </w:r>
    </w:p>
    <w:p>
      <w:pPr>
        <w:pStyle w:val="Heading2"/>
      </w:pPr>
      <w:r>
        <w:rPr>
          <w:rFonts w:ascii="Calibri" w:hAnsi="Calibri"/>
          <w:color w:val="003366"/>
        </w:rPr>
        <w:t>Key Outcomes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After preprocessing, the dataset was reduced from 40 to 34 features (plus 2 engineered features), with all categorical variables encoded numerically. The data was split 80/20 into training (80,000 records) and test (20,000 records) sets with stratified sampling to preserve the ~49/51% class balance. These preprocessing steps ensured the dataset was ready for modelling: no missing values, appropriate encodings preserving ordinal relationships, and standardised scaling where required.</w:t>
      </w:r>
    </w:p>
    <w:p>
      <w:pPr>
        <w:pStyle w:val="Heading1"/>
      </w:pPr>
      <w:r>
        <w:rPr>
          <w:rFonts w:ascii="Calibri" w:hAnsi="Calibri"/>
          <w:color w:val="003366"/>
        </w:rPr>
        <w:t>iv. Exploratory Data Analysis (EDA)</w:t>
      </w:r>
    </w:p>
    <w:p>
      <w:pPr>
        <w:pStyle w:val="Heading2"/>
      </w:pPr>
      <w:r>
        <w:rPr>
          <w:rFonts w:ascii="Calibri" w:hAnsi="Calibri"/>
          <w:color w:val="003366"/>
        </w:rPr>
        <w:t>Findings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EDA revealed several key insights specific to this dataset that directly influenced modelling decisions: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Balanced Target: </w:t>
      </w:r>
      <w:r>
        <w:rPr>
          <w:rFonts w:ascii="Calibri" w:hAnsi="Calibri"/>
          <w:b w:val="0"/>
          <w:i w:val="0"/>
          <w:sz w:val="20"/>
        </w:rPr>
        <w:t>The target variable is nearly balanced (~49% Completed vs ~51% Not Completed), as shown in Figure 1. This confirmed that accuracy is a valid metric and class imbalance techniques (e.g., SMOTE) are unnecessary — unlike many real-world educational datasets with heavily skewed dropout rates.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Engagement Features Dominate: </w:t>
      </w:r>
      <w:r>
        <w:rPr>
          <w:rFonts w:ascii="Calibri" w:hAnsi="Calibri"/>
          <w:b w:val="0"/>
          <w:i w:val="0"/>
          <w:sz w:val="20"/>
        </w:rPr>
        <w:t>Boxplots (Figure 2) showed that Progress_Percentage, Video_Completion_Rate, and Quiz_Score_Avg have the clearest separation between completers and non-completers, while demographic features (Gender, Employment_Status, Device_Type) showed near-identical distributions across both classes. This guided the decision to prioritise engagement features and confirmed that demographics contribute little discriminative information in this dataset.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Low Inter-Feature Correlation: </w:t>
      </w:r>
      <w:r>
        <w:rPr>
          <w:rFonts w:ascii="Calibri" w:hAnsi="Calibri"/>
          <w:b w:val="0"/>
          <w:i w:val="0"/>
          <w:sz w:val="20"/>
        </w:rPr>
        <w:t>The correlation heatmap (Figure 3) revealed that no feature pairs exceed a correlation of 0.8, indicating minimal multicollinearity. This is a favourable condition for Logistic Regression — justifying its selection as a baseline — since high multicollinearity would destabilise coefficient estimates.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Outliers in Behavioural Features: </w:t>
      </w:r>
      <w:r>
        <w:rPr>
          <w:rFonts w:ascii="Calibri" w:hAnsi="Calibri"/>
          <w:b w:val="0"/>
          <w:i w:val="0"/>
          <w:sz w:val="20"/>
        </w:rPr>
        <w:t>The IQR method detected outliers in Time_Spent_Hours (5.1%) and Days_Since_Last_Login (3.7%). These were retained rather than removed, as they represent genuine student behaviour patterns (e.g., students who cram or disengage for extended periods) rather than data errors.</w:t>
      </w:r>
    </w:p>
    <w:p>
      <w:pPr>
        <w:pStyle w:val="Heading2"/>
      </w:pPr>
      <w:r>
        <w:rPr>
          <w:rFonts w:ascii="Calibri" w:hAnsi="Calibri"/>
          <w:color w:val="003366"/>
        </w:rPr>
        <w:t>Visualisations</w:t>
      </w:r>
    </w:p>
    <w:p>
      <w:pPr>
        <w:spacing w:after="40"/>
        <w:jc w:val="center"/>
      </w:pPr>
      <w:r>
        <w:rPr>
          <w:rFonts w:ascii="Calibri" w:hAnsi="Calibri"/>
          <w:b/>
          <w:i/>
          <w:sz w:val="18"/>
        </w:rPr>
        <w:t>Figure 1: Distribution of Course Completion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arget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16"/>
        </w:rPr>
        <w:t>The near-equal class split (49%/51%) confirms that accuracy is valid and class imbalance handling is unnecessary.</w:t>
      </w:r>
    </w:p>
    <w:p>
      <w:pPr>
        <w:spacing w:after="40"/>
        <w:jc w:val="center"/>
      </w:pPr>
      <w:r>
        <w:rPr>
          <w:rFonts w:ascii="Calibri" w:hAnsi="Calibri"/>
          <w:b/>
          <w:i/>
          <w:sz w:val="18"/>
        </w:rPr>
        <w:t>Figure 2: Key Features by Completion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3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ox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3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16"/>
        </w:rPr>
        <w:t>Progress_Percentage shows the strongest separation; engagement metrics are more discriminative than demographics for this dataset.</w:t>
      </w:r>
    </w:p>
    <w:p>
      <w:pPr>
        <w:spacing w:after="40"/>
        <w:jc w:val="center"/>
      </w:pPr>
      <w:r>
        <w:rPr>
          <w:rFonts w:ascii="Calibri" w:hAnsi="Calibri"/>
          <w:b/>
          <w:i/>
          <w:sz w:val="18"/>
        </w:rPr>
        <w:t>Figure 3: Correlation Heatmap of Selected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764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764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16"/>
        </w:rPr>
        <w:t>Low inter-feature correlations (all below 0.8) confirm minimal multicollinearity, supporting the use of Logistic Regression.</w:t>
      </w:r>
    </w:p>
    <w:p>
      <w:pPr>
        <w:pStyle w:val="Heading1"/>
      </w:pPr>
      <w:r>
        <w:rPr>
          <w:rFonts w:ascii="Calibri" w:hAnsi="Calibri"/>
          <w:color w:val="003366"/>
        </w:rPr>
        <w:t>v. Machine Learning Model</w:t>
      </w:r>
    </w:p>
    <w:p>
      <w:pPr>
        <w:pStyle w:val="Heading2"/>
      </w:pPr>
      <w:r>
        <w:rPr>
          <w:rFonts w:ascii="Calibri" w:hAnsi="Calibri"/>
          <w:color w:val="003366"/>
        </w:rPr>
        <w:t>Model Used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Three supervised classification algorithms were trained, each selected based on specific characteristics observed in this dataset: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Logistic Regression (baseline): </w:t>
      </w:r>
      <w:r>
        <w:rPr>
          <w:rFonts w:ascii="Calibri" w:hAnsi="Calibri"/>
          <w:b w:val="0"/>
          <w:i w:val="0"/>
          <w:sz w:val="20"/>
        </w:rPr>
        <w:t>Selected because EDA revealed low inter-feature correlation (Figure 3), satisfying the assumption of minimal multicollinearity. The near-balanced target distribution (Figure 1) further supports this choice, as Logistic Regression performs well when classes are balanced. It models the log-odds of completion as a linear combination of features, providing interpretable coefficients.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Random Forest: </w:t>
      </w:r>
      <w:r>
        <w:rPr>
          <w:rFonts w:ascii="Calibri" w:hAnsi="Calibri"/>
          <w:b w:val="0"/>
          <w:i w:val="0"/>
          <w:sz w:val="20"/>
        </w:rPr>
        <w:t>Selected to test whether non-linear feature interactions — such as combinations of engagement metrics (Video_Completion_Rate, Quiz_Score_Avg) that EDA identified as individually predictive — could improve upon the linear baseline. This bagging ensemble reduces variance through averaging across 100 decision trees.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Gradient Boosting: </w:t>
      </w:r>
      <w:r>
        <w:rPr>
          <w:rFonts w:ascii="Calibri" w:hAnsi="Calibri"/>
          <w:b w:val="0"/>
          <w:i w:val="0"/>
          <w:sz w:val="20"/>
        </w:rPr>
        <w:t>Selected for its sequential error-correction approach and extensive tuning options (learning_rate, max_depth, n_estimators), offering the most potential for optimisation on this dataset. Its bounded tree depth (max_depth=5) helps control the overfitting observed in unconstrained Random Forest.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An alternative considered was Support Vector Machine (SVM). However, SVM was not used because its O(n²) computational complexity is prohibitive for the 100,000-row dataset, and tree-based ensembles scale linearly while naturally handling the mixed feature types (ordinal, one-hot, continuous) present in this dataset after encoding.</w:t>
      </w:r>
    </w:p>
    <w:p>
      <w:pPr>
        <w:pStyle w:val="Heading2"/>
      </w:pPr>
      <w:r>
        <w:rPr>
          <w:rFonts w:ascii="Calibri" w:hAnsi="Calibri"/>
          <w:color w:val="003366"/>
        </w:rPr>
        <w:t>Evaluation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0.6047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0.5953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0.5896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0.5924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0.6484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0.5933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0.5810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0.5917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0.5863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0.6339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0.6040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0.5954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0.5910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0.5932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0.6476</w:t>
            </w:r>
          </w:p>
        </w:tc>
      </w:tr>
    </w:tbl>
    <w:p>
      <w:pPr>
        <w:spacing w:after="60"/>
      </w:pPr>
      <w:r>
        <w:rPr>
          <w:rFonts w:ascii="Calibri" w:hAnsi="Calibri"/>
          <w:b w:val="0"/>
          <w:i w:val="0"/>
          <w:sz w:val="8"/>
        </w:rPr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18"/>
        </w:rPr>
        <w:t>Table 1: Performance comparison of the three classification models.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All three models achieve modest performance (F1 ≈ 0.59, AUC ≈ 0.64), falling short of the initial targets (F1 ≥ 0.70, AUC ≥ 0.75). This result is itself informative: it indicates that the 40 features in this dataset provide limited discriminative power for predicting course completion — the engagement features that EDA identified as most separable (Figure 2) are necessary but insufficient for strong predictions. Logistic Regression achieved the best overall performance (F1=0.5924, AUC=0.6484), slightly outperforming both tree-based models. This confirms that the decision boundary in this dataset has a significant linear component, and that capturing non-linear interactions yields negligible additional benefit. Hyperparameter tuning on Gradient Boosting via GridSearchCV selected shallower trees (max_depth=3) but did not improve test performance. Cross-validation (5-fold stratified) confirmed stable generalisation with all standard deviations below 0.011.</w:t>
      </w:r>
    </w:p>
    <w:p>
      <w:pPr>
        <w:pStyle w:val="Heading2"/>
      </w:pPr>
      <w:r>
        <w:rPr>
          <w:rFonts w:ascii="Calibri" w:hAnsi="Calibri"/>
          <w:color w:val="003366"/>
        </w:rPr>
        <w:t>Improvements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Incorporate richer data sources: </w:t>
      </w:r>
      <w:r>
        <w:rPr>
          <w:rFonts w:ascii="Calibri" w:hAnsi="Calibri"/>
          <w:b w:val="0"/>
          <w:i w:val="0"/>
          <w:sz w:val="20"/>
        </w:rPr>
        <w:t>Real-time behavioural logs (e.g., clickstream data, forum participation, video watch patterns) and prior academic history could provide stronger predictive signals beyond the static features available in this dataset.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Address potential data leakage: </w:t>
      </w:r>
      <w:r>
        <w:rPr>
          <w:rFonts w:ascii="Calibri" w:hAnsi="Calibri"/>
          <w:b w:val="0"/>
          <w:i w:val="0"/>
          <w:sz w:val="20"/>
        </w:rPr>
        <w:t>Progress_Percentage may partially encode completion status. In production, this feature should be measured at a fixed point (e.g., course midpoint) rather than at the end, to ensure the model predicts future completion rather than reflecting already-completed progress.</w:t>
      </w:r>
    </w:p>
    <w:p>
      <w:pPr>
        <w:pStyle w:val="Heading1"/>
      </w:pPr>
      <w:r>
        <w:rPr>
          <w:rFonts w:ascii="Calibri" w:hAnsi="Calibri"/>
          <w:color w:val="003366"/>
        </w:rPr>
        <w:t>vi. Conclusion</w:t>
      </w:r>
    </w:p>
    <w:p>
      <w:pPr>
        <w:pStyle w:val="Heading2"/>
      </w:pPr>
      <w:r>
        <w:rPr>
          <w:rFonts w:ascii="Calibri" w:hAnsi="Calibri"/>
          <w:color w:val="003366"/>
        </w:rPr>
        <w:t>Business Objectives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The primary objective of building a binary classification pipeline to predict course completion was achieved. A complete machine learning workflow — from data preprocessing and EDA through model training, comparison, tuning, and cross-validation — was successfully implemented. However, the initial performance targets (F1 ≥ 0.70, AUC ≥ 0.75) were not met; the best model (Logistic Regression) achieved F1 = 0.5924 and AUC = 0.6484. This shortfall is itself a valuable dataset-specific finding: it reveals that the available features — while spanning demographics, course metadata, engagement, and payment — provide limited discriminative power for course completion in this dataset. The analysis successfully identified that engagement metrics (Progress_Percentage, Video_Completion_Rate, Quiz_Score_Avg) are the strongest predictors, which platforms can use for early-warning systems and targeted student interventions.</w:t>
      </w:r>
    </w:p>
    <w:p>
      <w:pPr>
        <w:pStyle w:val="Heading2"/>
      </w:pPr>
      <w:r>
        <w:rPr>
          <w:rFonts w:ascii="Calibri" w:hAnsi="Calibri"/>
          <w:color w:val="003366"/>
        </w:rPr>
        <w:t>Challenges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Pre-cleaned dataset: </w:t>
      </w:r>
      <w:r>
        <w:rPr>
          <w:rFonts w:ascii="Calibri" w:hAnsi="Calibri"/>
          <w:b w:val="0"/>
          <w:i w:val="0"/>
          <w:sz w:val="20"/>
        </w:rPr>
        <w:t>The dataset contained no missing values or duplicates, which is unrealistic for real-world educational data. This was overcome by intentionally introducing dirty data (~2% missing values, 500 duplicates) to practise and demonstrate proper preprocessing techniques.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Limited predictive signal: </w:t>
      </w:r>
      <w:r>
        <w:rPr>
          <w:rFonts w:ascii="Calibri" w:hAnsi="Calibri"/>
          <w:b w:val="0"/>
          <w:i w:val="0"/>
          <w:sz w:val="20"/>
        </w:rPr>
        <w:t>Despite 40 features and 100,000 records, all models achieved only ~60% accuracy. This was addressed by thorough feature engineering (Assignment_Completion_Rate, Quiz_Performance) and hyperparameter tuning, though improvements were marginal — highlighting that this dataset's features reach a predictive ceiling that requires richer data sources to overcome.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0"/>
        </w:rPr>
        <w:t xml:space="preserve">Overfitting in Random Forest: </w:t>
      </w:r>
      <w:r>
        <w:rPr>
          <w:rFonts w:ascii="Calibri" w:hAnsi="Calibri"/>
          <w:b w:val="0"/>
          <w:i w:val="0"/>
          <w:sz w:val="20"/>
        </w:rPr>
        <w:t>The default Random Forest model showed 100% training accuracy but only 59.3% test accuracy — a clear overfitting gap. This was identified through systematic train-test performance comparison and could be mitigated by constraining tree depth or increasing minimum samples per leaf.</w:t>
      </w:r>
    </w:p>
    <w:p>
      <w:pPr>
        <w:pStyle w:val="Heading1"/>
      </w:pPr>
      <w:r>
        <w:rPr>
          <w:rFonts w:ascii="Calibri" w:hAnsi="Calibri"/>
          <w:color w:val="003366"/>
        </w:rPr>
        <w:t>vii. References</w:t>
      </w:r>
    </w:p>
    <w:p>
      <w:pPr>
        <w:spacing w:after="120"/>
        <w:ind w:left="720" w:hanging="720"/>
      </w:pPr>
      <w:r>
        <w:rPr>
          <w:rFonts w:ascii="Calibri" w:hAnsi="Calibri"/>
          <w:b w:val="0"/>
          <w:i w:val="0"/>
          <w:sz w:val="20"/>
        </w:rPr>
        <w:t>McKinney, W. (2010). Data structures for statistical computing in Python. Proceedings of the 9th Python in Science Conference, 51–56. https://doi.org/10.25080/Majora-92bf1922-00a</w:t>
      </w:r>
    </w:p>
    <w:p>
      <w:pPr>
        <w:spacing w:after="120"/>
        <w:ind w:left="720" w:hanging="720"/>
      </w:pPr>
      <w:r>
        <w:rPr>
          <w:rFonts w:ascii="Calibri" w:hAnsi="Calibri"/>
          <w:b w:val="0"/>
          <w:i w:val="0"/>
          <w:sz w:val="20"/>
        </w:rPr>
        <w:t>Onah, D. F. O., Sinclair, J., &amp; Boyatt, R. (2014). Dropout rates of massive open online courses: Behavioural patterns. In L. Gómez Chova, A. López Martínez, &amp; I. Candel Torres (Eds.), EDULEARN14 Proceedings (pp. 5825–5834). IATED Academy. https://doi.org/10.13140/RG.2.1.2402.0009</w:t>
      </w:r>
    </w:p>
    <w:p>
      <w:pPr>
        <w:spacing w:after="120"/>
        <w:ind w:left="720" w:hanging="720"/>
      </w:pPr>
      <w:r>
        <w:rPr>
          <w:rFonts w:ascii="Calibri" w:hAnsi="Calibri"/>
          <w:b w:val="0"/>
          <w:i w:val="0"/>
          <w:sz w:val="20"/>
        </w:rPr>
        <w:t>Patel, N. (2024). Student course completion prediction dataset [Data set]. Kaggle. https://www.kaggle.com/datasets/nisargpatel344/student-course-completion-prediction-dataset</w:t>
      </w:r>
    </w:p>
    <w:p>
      <w:pPr>
        <w:spacing w:after="120"/>
        <w:ind w:left="720" w:hanging="720"/>
      </w:pPr>
      <w:r>
        <w:rPr>
          <w:rFonts w:ascii="Calibri" w:hAnsi="Calibri"/>
          <w:b w:val="0"/>
          <w:i w:val="0"/>
          <w:sz w:val="20"/>
        </w:rPr>
        <w:t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 https://jmlr.org/papers/v12/pedregosa11a.html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