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63EAF" w14:textId="4AC47CE5" w:rsidR="00C937A4" w:rsidRPr="00536578" w:rsidRDefault="00000000" w:rsidP="00536578">
      <w:pPr>
        <w:jc w:val="center"/>
        <w:rPr>
          <w:rFonts w:asciiTheme="majorHAnsi" w:hAnsiTheme="majorHAnsi" w:cstheme="majorHAnsi"/>
          <w:b/>
          <w:color w:val="0070C0"/>
          <w:sz w:val="28"/>
          <w:szCs w:val="28"/>
        </w:rPr>
      </w:pPr>
      <w:r w:rsidRPr="00536578">
        <w:rPr>
          <w:rFonts w:asciiTheme="majorHAnsi" w:hAnsiTheme="majorHAnsi" w:cstheme="majorHAnsi"/>
          <w:b/>
          <w:color w:val="0070C0"/>
          <w:sz w:val="28"/>
          <w:szCs w:val="28"/>
        </w:rPr>
        <w:t>Predicting Student Course Completion</w:t>
      </w:r>
      <w:r w:rsidR="00536578" w:rsidRPr="00536578">
        <w:rPr>
          <w:rFonts w:asciiTheme="majorHAnsi" w:hAnsiTheme="majorHAnsi" w:cstheme="majorHAnsi"/>
          <w:b/>
          <w:color w:val="0070C0"/>
          <w:sz w:val="28"/>
          <w:szCs w:val="28"/>
        </w:rPr>
        <w:t xml:space="preserve"> - </w:t>
      </w:r>
      <w:r w:rsidRPr="00536578">
        <w:rPr>
          <w:rFonts w:asciiTheme="majorHAnsi" w:hAnsiTheme="majorHAnsi" w:cstheme="majorHAnsi"/>
          <w:b/>
          <w:i/>
          <w:color w:val="0070C0"/>
          <w:sz w:val="28"/>
          <w:szCs w:val="28"/>
        </w:rPr>
        <w:t>A Machine Learning Analysis Report</w:t>
      </w:r>
    </w:p>
    <w:p w14:paraId="11405511" w14:textId="4685F838" w:rsidR="00C937A4" w:rsidRPr="0085729F" w:rsidRDefault="00000000" w:rsidP="00536578">
      <w:pPr>
        <w:jc w:val="center"/>
        <w:rPr>
          <w:rFonts w:ascii="Calibri" w:hAnsi="Calibri" w:cs="Calibri"/>
          <w:bCs/>
          <w:sz w:val="28"/>
          <w:szCs w:val="28"/>
        </w:rPr>
      </w:pPr>
      <w:r w:rsidRPr="0085729F">
        <w:rPr>
          <w:rFonts w:ascii="Calibri" w:hAnsi="Calibri" w:cs="Calibri"/>
          <w:bCs/>
          <w:sz w:val="28"/>
          <w:szCs w:val="28"/>
        </w:rPr>
        <w:t>Clifton Chen Yi</w:t>
      </w:r>
      <w:r w:rsidR="00536578" w:rsidRPr="0085729F">
        <w:rPr>
          <w:rFonts w:ascii="Calibri" w:hAnsi="Calibri" w:cs="Calibri"/>
          <w:bCs/>
          <w:sz w:val="28"/>
          <w:szCs w:val="28"/>
        </w:rPr>
        <w:t xml:space="preserve">, </w:t>
      </w:r>
      <w:r w:rsidRPr="0085729F">
        <w:rPr>
          <w:rFonts w:ascii="Calibri" w:hAnsi="Calibri" w:cs="Calibri"/>
          <w:bCs/>
          <w:sz w:val="28"/>
          <w:szCs w:val="28"/>
        </w:rPr>
        <w:t>231220B</w:t>
      </w:r>
      <w:r w:rsidR="00536578" w:rsidRPr="0085729F">
        <w:rPr>
          <w:rFonts w:ascii="Calibri" w:hAnsi="Calibri" w:cs="Calibri"/>
          <w:bCs/>
          <w:sz w:val="28"/>
          <w:szCs w:val="28"/>
        </w:rPr>
        <w:t xml:space="preserve">, </w:t>
      </w:r>
      <w:r w:rsidR="00536578" w:rsidRPr="0085729F">
        <w:rPr>
          <w:rFonts w:ascii="Calibri" w:hAnsi="Calibri" w:cs="Calibri"/>
          <w:sz w:val="28"/>
          <w:szCs w:val="28"/>
        </w:rPr>
        <w:t xml:space="preserve">15 </w:t>
      </w:r>
      <w:r w:rsidRPr="0085729F">
        <w:rPr>
          <w:rFonts w:ascii="Calibri" w:hAnsi="Calibri" w:cs="Calibri"/>
          <w:sz w:val="28"/>
          <w:szCs w:val="28"/>
        </w:rPr>
        <w:t>February 2026</w:t>
      </w:r>
    </w:p>
    <w:p w14:paraId="6C0C3062" w14:textId="4A7D6328" w:rsidR="00C937A4" w:rsidRPr="00536578" w:rsidRDefault="00521DAA">
      <w:pPr>
        <w:pStyle w:val="Heading1"/>
        <w:rPr>
          <w:sz w:val="26"/>
          <w:szCs w:val="26"/>
        </w:rPr>
      </w:pPr>
      <w:r>
        <w:rPr>
          <w:rFonts w:ascii="Calibri" w:hAnsi="Calibri"/>
          <w:color w:val="003366"/>
          <w:sz w:val="26"/>
          <w:szCs w:val="26"/>
        </w:rPr>
        <w:t>I</w:t>
      </w:r>
      <w:r w:rsidR="00000000" w:rsidRPr="00536578">
        <w:rPr>
          <w:rFonts w:ascii="Calibri" w:hAnsi="Calibri"/>
          <w:color w:val="003366"/>
          <w:sz w:val="26"/>
          <w:szCs w:val="26"/>
        </w:rPr>
        <w:t>. Introduction</w:t>
      </w:r>
    </w:p>
    <w:p w14:paraId="2AA91D2F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Problem Statement</w:t>
      </w:r>
    </w:p>
    <w:p w14:paraId="34D15809" w14:textId="77777777" w:rsidR="00C937A4" w:rsidRDefault="00000000">
      <w:pPr>
        <w:spacing w:after="120"/>
      </w:pPr>
      <w:r>
        <w:rPr>
          <w:rFonts w:ascii="Calibri" w:hAnsi="Calibri"/>
          <w:sz w:val="20"/>
        </w:rPr>
        <w:t>Online learning platforms face significant student dropout rates, with Massive Open Online Courses (MOOCs) often experiencing attrition exceeding 90% (Onah et al., 2014). This high dropout represents a critical challenge for educational providers, resulting in lost revenue, wasted resources, and unfulfilled student potential. The ability to predict whether a student will complete a course early in their enrolment would enable platforms to implement targeted interventions — such as personalised reminders, mentor outreach, or adaptive content — to improve retention.</w:t>
      </w:r>
    </w:p>
    <w:p w14:paraId="5E2B2171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Objective</w:t>
      </w:r>
    </w:p>
    <w:p w14:paraId="37AED387" w14:textId="77777777" w:rsidR="00C937A4" w:rsidRDefault="00000000">
      <w:pPr>
        <w:spacing w:after="120"/>
      </w:pPr>
      <w:r>
        <w:rPr>
          <w:rFonts w:ascii="Calibri" w:hAnsi="Calibri"/>
          <w:sz w:val="20"/>
        </w:rPr>
        <w:t>This analysis aims to build a supervised binary classification model that predicts whether a student will complete an online course ("Completed" vs "Not Completed") using a dataset of 100,000 student-course enrolment records with 40 features spanning demographics, course metadata, engagement behaviour, and payment details (Patel, 2024). The expected outcomes are: (1) identify the most predictive features of course completion, (2) achieve an F1-Score of at least 0.70 and ROC-AUC of at least 0.75, and (3) provide actionable insights for early intervention strategies.</w:t>
      </w:r>
    </w:p>
    <w:p w14:paraId="48F5B5F6" w14:textId="77777777" w:rsidR="00C937A4" w:rsidRPr="00536578" w:rsidRDefault="00000000">
      <w:pPr>
        <w:pStyle w:val="Heading1"/>
        <w:rPr>
          <w:sz w:val="26"/>
          <w:szCs w:val="26"/>
        </w:rPr>
      </w:pPr>
      <w:r w:rsidRPr="00536578">
        <w:rPr>
          <w:rFonts w:ascii="Calibri" w:hAnsi="Calibri"/>
          <w:color w:val="003366"/>
          <w:sz w:val="26"/>
          <w:szCs w:val="26"/>
        </w:rPr>
        <w:t>ii. Dataset Overview</w:t>
      </w:r>
    </w:p>
    <w:p w14:paraId="155288FE" w14:textId="77777777" w:rsidR="00C937A4" w:rsidRDefault="00000000">
      <w:pPr>
        <w:spacing w:after="120"/>
      </w:pPr>
      <w:r>
        <w:rPr>
          <w:rFonts w:ascii="Calibri" w:hAnsi="Calibri"/>
          <w:sz w:val="20"/>
        </w:rPr>
        <w:t>This dataset is well-suited for binary classification because it contains a large sample size (100,000 records), a nearly balanced target variable (~49% Completed vs ~51% Not Completed), and 40 features spanning four distinct categories — demographics, course metadata, engagement behaviour, and payment — providing diverse predictive signals without requiring class imbalance handling techniques such as SMOTE or class weighting.</w:t>
      </w:r>
    </w:p>
    <w:p w14:paraId="1A5E3DF6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Dataset Source</w:t>
      </w:r>
    </w:p>
    <w:p w14:paraId="2C7BB6FF" w14:textId="77777777" w:rsidR="00C937A4" w:rsidRDefault="00000000">
      <w:pPr>
        <w:spacing w:after="120"/>
      </w:pPr>
      <w:r>
        <w:rPr>
          <w:rFonts w:ascii="Calibri" w:hAnsi="Calibri"/>
          <w:sz w:val="20"/>
        </w:rPr>
        <w:t>The dataset is the Student Course Completion Prediction Dataset, sourced from Kaggle (Patel, 2024): https://www.kaggle.com/datasets/nisargpatel344/student-course-completion-prediction-dataset. It contains 100,000 student-course enrolment records with 40 features.</w:t>
      </w:r>
    </w:p>
    <w:p w14:paraId="21282A0F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Key Features</w:t>
      </w:r>
    </w:p>
    <w:p w14:paraId="1CE237A0" w14:textId="77777777" w:rsidR="00C937A4" w:rsidRDefault="00000000">
      <w:pPr>
        <w:spacing w:after="60"/>
      </w:pPr>
      <w:r>
        <w:rPr>
          <w:rFonts w:ascii="Calibri" w:hAnsi="Calibri"/>
          <w:sz w:val="20"/>
        </w:rPr>
        <w:t>The 40 features are organised into four categories:</w:t>
      </w:r>
    </w:p>
    <w:p w14:paraId="2D7CB51D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Demographics: </w:t>
      </w:r>
      <w:r>
        <w:rPr>
          <w:rFonts w:ascii="Calibri" w:hAnsi="Calibri"/>
          <w:sz w:val="20"/>
        </w:rPr>
        <w:t>Gender, Age, Education_Level, Employment_Status, City — capturing student background. EDA later confirmed these have limited predictive power for this dataset.</w:t>
      </w:r>
    </w:p>
    <w:p w14:paraId="243CF806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Course Metadata: </w:t>
      </w:r>
      <w:r>
        <w:rPr>
          <w:rFonts w:ascii="Calibri" w:hAnsi="Calibri"/>
          <w:sz w:val="20"/>
        </w:rPr>
        <w:t>Course_ID, Course_Name, Category, Course_Level, Course_Duration_Days, Instructor_Rating — describing course characteristics and structure.</w:t>
      </w:r>
    </w:p>
    <w:p w14:paraId="5203B387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Engagement Behaviour: </w:t>
      </w:r>
      <w:r>
        <w:rPr>
          <w:rFonts w:ascii="Calibri" w:hAnsi="Calibri"/>
          <w:sz w:val="20"/>
        </w:rPr>
        <w:t>Login_Frequency, Video_Completion_Rate, Quiz_Score_Avg, Progress_Percentage, Assignments_Submitted, Assignments_Missed, Discussion_Participation, Time_Spent_Hours — measuring student activity, which proved to be the strongest predictive category.</w:t>
      </w:r>
    </w:p>
    <w:p w14:paraId="730B2878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Payment: </w:t>
      </w:r>
      <w:r>
        <w:rPr>
          <w:rFonts w:ascii="Calibri" w:hAnsi="Calibri"/>
          <w:sz w:val="20"/>
        </w:rPr>
        <w:t>Payment_Mode, Fee_Paid, Payment_Amount, Discount_Used — financial context.</w:t>
      </w:r>
    </w:p>
    <w:p w14:paraId="0E1C690D" w14:textId="77777777" w:rsidR="00C937A4" w:rsidRDefault="00000000">
      <w:pPr>
        <w:spacing w:after="60"/>
      </w:pPr>
      <w:r>
        <w:rPr>
          <w:rFonts w:ascii="Calibri" w:hAnsi="Calibri"/>
          <w:sz w:val="20"/>
        </w:rPr>
        <w:t>The target variable is "Completed" (Completed / Not Completed).</w:t>
      </w:r>
    </w:p>
    <w:p w14:paraId="72F6C919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Challenges</w:t>
      </w:r>
    </w:p>
    <w:p w14:paraId="008DB8D3" w14:textId="77777777" w:rsidR="00C937A4" w:rsidRDefault="00000000">
      <w:pPr>
        <w:spacing w:after="120"/>
      </w:pPr>
      <w:r>
        <w:rPr>
          <w:rFonts w:ascii="Calibri" w:hAnsi="Calibri"/>
          <w:sz w:val="20"/>
        </w:rPr>
        <w:t xml:space="preserve">The raw dataset is pre-cleaned with zero missing values and no duplicates — an unrealistic characteristic for real-world educational data. To practise proper data cleaning, missing values (~2% per column) and duplicates (~500 rows) were introduced artificially. Additional dataset-specific challenges included: high-cardinality identifier columns (Student_ID, Name, City with 15+ unique values) that risk overfitting if retained; right-skewed distributions in </w:t>
      </w:r>
      <w:r>
        <w:rPr>
          <w:rFonts w:ascii="Calibri" w:hAnsi="Calibri"/>
          <w:sz w:val="20"/>
        </w:rPr>
        <w:lastRenderedPageBreak/>
        <w:t>Time_Spent_Hours and Days_Since_Last_Login requiring robust imputation choices; and outliers detected via the IQR method in Time_Spent_Hours (5.1%) and Days_Since_Last_Login (3.7%), which could distort linear models like Logistic Regression.</w:t>
      </w:r>
    </w:p>
    <w:p w14:paraId="57F82A20" w14:textId="77777777" w:rsidR="00C937A4" w:rsidRPr="00536578" w:rsidRDefault="00000000">
      <w:pPr>
        <w:pStyle w:val="Heading1"/>
        <w:rPr>
          <w:sz w:val="26"/>
          <w:szCs w:val="26"/>
        </w:rPr>
      </w:pPr>
      <w:r w:rsidRPr="00536578">
        <w:rPr>
          <w:rFonts w:ascii="Calibri" w:hAnsi="Calibri"/>
          <w:color w:val="003366"/>
          <w:sz w:val="26"/>
          <w:szCs w:val="26"/>
        </w:rPr>
        <w:t>iii. Data Preprocessing and Cleaning</w:t>
      </w:r>
    </w:p>
    <w:p w14:paraId="667505A9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Summary of Steps</w:t>
      </w:r>
    </w:p>
    <w:p w14:paraId="32670940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Handling Missing Values: </w:t>
      </w:r>
      <w:r>
        <w:rPr>
          <w:rFonts w:ascii="Calibri" w:hAnsi="Calibri"/>
          <w:sz w:val="20"/>
        </w:rPr>
        <w:t>Missing values in Age, Video_Completion_Rate, Quiz_Score_Avg, and Satisfaction_Rating were filled using median imputation, chosen specifically because these features exhibit right-skewness in this dataset.</w:t>
      </w:r>
    </w:p>
    <w:p w14:paraId="35DAA275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Duplicate Removal: </w:t>
      </w:r>
      <w:r>
        <w:rPr>
          <w:rFonts w:ascii="Calibri" w:hAnsi="Calibri"/>
          <w:sz w:val="20"/>
        </w:rPr>
        <w:t>500 duplicate rows were identified and removed, restoring the dataset to 100,000 unique records.</w:t>
      </w:r>
    </w:p>
    <w:p w14:paraId="1F9743EA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Dropping Non-Predictive Columns: </w:t>
      </w:r>
      <w:r>
        <w:rPr>
          <w:rFonts w:ascii="Calibri" w:hAnsi="Calibri"/>
          <w:sz w:val="20"/>
        </w:rPr>
        <w:t>Six columns (Student_ID, Name, City, Course_ID, Course_Name, Enrollment_Date) were dropped — identifiers carry no predictive signal, while City's 15+ unique values would inflate dimensionality without adding discriminative power, as confirmed by EDA showing uniform completion rates across demographics.</w:t>
      </w:r>
    </w:p>
    <w:p w14:paraId="09152095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Feature Encoding: </w:t>
      </w:r>
      <w:r>
        <w:rPr>
          <w:rFonts w:ascii="Calibri" w:hAnsi="Calibri"/>
          <w:sz w:val="20"/>
        </w:rPr>
        <w:t>A hybrid strategy was used — ordinal encoding for naturally ordered features (Education_Level: HighSchool→0 to PhD→4; Course_Level: Beginner→0 to Advanced→2; Internet_Connection_Quality: Low→0 to High→2) and one-hot encoding for low-cardinality nominal features (Gender, Employment_Status, Device_Type, Category, Payment_Mode).</w:t>
      </w:r>
    </w:p>
    <w:p w14:paraId="0A8FACEE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Feature Engineering: </w:t>
      </w:r>
      <w:r>
        <w:rPr>
          <w:rFonts w:ascii="Calibri" w:hAnsi="Calibri"/>
          <w:sz w:val="20"/>
        </w:rPr>
        <w:t>Two new features were created: Assignment_Completion_Rate (submitted / total assignments) and Quiz_Performance (Quiz_Score_Avg × Quiz_Attempts), designed to capture engagement quality rather than raw counts.</w:t>
      </w:r>
    </w:p>
    <w:p w14:paraId="44E9CDCC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Feature Scaling: </w:t>
      </w:r>
      <w:r>
        <w:rPr>
          <w:rFonts w:ascii="Calibri" w:hAnsi="Calibri"/>
          <w:sz w:val="20"/>
        </w:rPr>
        <w:t>StandardScaler (mean=0, std=1) was applied only for Logistic Regression, which is sensitive to feature scales; tree-based models used unscaled data as they are scale-invariant.</w:t>
      </w:r>
    </w:p>
    <w:p w14:paraId="5888F2CF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Alternative Method Considered</w:t>
      </w:r>
    </w:p>
    <w:p w14:paraId="18D7D807" w14:textId="77777777" w:rsidR="00C937A4" w:rsidRDefault="00000000">
      <w:pPr>
        <w:spacing w:after="120"/>
      </w:pPr>
      <w:r>
        <w:rPr>
          <w:rFonts w:ascii="Calibri" w:hAnsi="Calibri"/>
          <w:sz w:val="20"/>
        </w:rPr>
        <w:t>Mean imputation was considered as an alternative to median imputation. However, median imputation was selected because features such as Time_Spent_Hours (mean=3.87, median=2.10) and Days_Since_Last_Login (mean=6.19, median=3.00) are right-skewed in this dataset, making the median more robust to outliers and more representative of the typical student. KNN imputation was also considered but rejected due to its O(n²) computational cost on 100,000 rows. For feature encoding, one-hot encoding all categorical features was considered but rejected because City alone (15+ unique values) would substantially inflate the feature matrix, increasing the risk of the curse of dimensionality while adding negligible predictive value — as confirmed by EDA showing near-identical completion rates across demographic categories.</w:t>
      </w:r>
    </w:p>
    <w:p w14:paraId="2B873C71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Key Outcomes</w:t>
      </w:r>
    </w:p>
    <w:p w14:paraId="7E2681DB" w14:textId="77777777" w:rsidR="00C937A4" w:rsidRDefault="00000000">
      <w:pPr>
        <w:spacing w:after="120"/>
      </w:pPr>
      <w:r>
        <w:rPr>
          <w:rFonts w:ascii="Calibri" w:hAnsi="Calibri"/>
          <w:sz w:val="20"/>
        </w:rPr>
        <w:t>After preprocessing, the dataset was reduced from 40 to 34 features (plus 2 engineered features), with all categorical variables encoded numerically. The data was split 80/20 into training (80,000 records) and test (20,000 records) sets with stratified sampling to preserve the ~49/51% class balance. These preprocessing steps ensured the dataset was ready for modelling: no missing values, appropriate encodings preserving ordinal relationships, and standardised scaling where required.</w:t>
      </w:r>
    </w:p>
    <w:p w14:paraId="2650A15A" w14:textId="77777777" w:rsidR="00C937A4" w:rsidRPr="00536578" w:rsidRDefault="00000000">
      <w:pPr>
        <w:pStyle w:val="Heading1"/>
        <w:rPr>
          <w:sz w:val="26"/>
          <w:szCs w:val="26"/>
        </w:rPr>
      </w:pPr>
      <w:r w:rsidRPr="00536578">
        <w:rPr>
          <w:rFonts w:ascii="Calibri" w:hAnsi="Calibri"/>
          <w:color w:val="003366"/>
          <w:sz w:val="26"/>
          <w:szCs w:val="26"/>
        </w:rPr>
        <w:t>iv. Exploratory Data Analysis (EDA)</w:t>
      </w:r>
    </w:p>
    <w:p w14:paraId="7E4AB7A8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Findings</w:t>
      </w:r>
    </w:p>
    <w:p w14:paraId="1374B08E" w14:textId="77777777" w:rsidR="00C937A4" w:rsidRDefault="00000000">
      <w:pPr>
        <w:spacing w:after="60"/>
      </w:pPr>
      <w:r>
        <w:rPr>
          <w:rFonts w:ascii="Calibri" w:hAnsi="Calibri"/>
          <w:sz w:val="20"/>
        </w:rPr>
        <w:t>EDA revealed several key insights specific to this dataset that directly influenced modelling decisions:</w:t>
      </w:r>
    </w:p>
    <w:p w14:paraId="7EA5E943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lastRenderedPageBreak/>
        <w:t xml:space="preserve">Balanced Target: </w:t>
      </w:r>
      <w:r>
        <w:rPr>
          <w:rFonts w:ascii="Calibri" w:hAnsi="Calibri"/>
          <w:sz w:val="20"/>
        </w:rPr>
        <w:t>The target variable is nearly balanced (~49% Completed vs ~51% Not Completed), as shown in Figure 1. This confirmed that accuracy is a valid metric and class imbalance techniques (e.g., SMOTE) are unnecessary — unlike many real-world educational datasets with heavily skewed dropout rates.</w:t>
      </w:r>
    </w:p>
    <w:p w14:paraId="3DF29997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Engagement Features Dominate: </w:t>
      </w:r>
      <w:r>
        <w:rPr>
          <w:rFonts w:ascii="Calibri" w:hAnsi="Calibri"/>
          <w:sz w:val="20"/>
        </w:rPr>
        <w:t>Boxplots (Figure 2) showed that Progress_Percentage, Video_Completion_Rate, and Quiz_Score_Avg have the clearest separation between completers and non-completers, while demographic features (Gender, Employment_Status, Device_Type) showed near-identical distributions across both classes. This guided the decision to prioritise engagement features and confirmed that demographics contribute little discriminative information in this dataset.</w:t>
      </w:r>
    </w:p>
    <w:p w14:paraId="1EFAFF36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Low Inter-Feature Correlation: </w:t>
      </w:r>
      <w:r>
        <w:rPr>
          <w:rFonts w:ascii="Calibri" w:hAnsi="Calibri"/>
          <w:sz w:val="20"/>
        </w:rPr>
        <w:t>The correlation heatmap (Figure 3) revealed that no feature pairs exceed a correlation of 0.8, indicating minimal multicollinearity. This is a favourable condition for Logistic Regression — justifying its selection as a baseline — since high multicollinearity would destabilise coefficient estimates.</w:t>
      </w:r>
    </w:p>
    <w:p w14:paraId="1E1D8DCA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Outliers in Behavioural Features: </w:t>
      </w:r>
      <w:r>
        <w:rPr>
          <w:rFonts w:ascii="Calibri" w:hAnsi="Calibri"/>
          <w:sz w:val="20"/>
        </w:rPr>
        <w:t>The IQR method detected outliers in Time_Spent_Hours (5.1%) and Days_Since_Last_Login (3.7%). These were retained rather than removed, as they represent genuine student behaviour patterns (e.g., students who cram or disengage for extended periods) rather than data errors.</w:t>
      </w:r>
    </w:p>
    <w:p w14:paraId="6ED549AF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Visualisations</w:t>
      </w:r>
    </w:p>
    <w:p w14:paraId="0778AD79" w14:textId="77777777" w:rsidR="00C937A4" w:rsidRDefault="00000000">
      <w:pPr>
        <w:spacing w:after="40"/>
        <w:jc w:val="center"/>
      </w:pPr>
      <w:r>
        <w:rPr>
          <w:rFonts w:ascii="Calibri" w:hAnsi="Calibri"/>
          <w:b/>
          <w:i/>
          <w:sz w:val="18"/>
        </w:rPr>
        <w:t>Figure 1: Distribution of Course Completion Status</w:t>
      </w:r>
    </w:p>
    <w:p w14:paraId="3BA3A7D7" w14:textId="77777777" w:rsidR="00C937A4" w:rsidRDefault="00000000">
      <w:pPr>
        <w:jc w:val="center"/>
      </w:pPr>
      <w:r>
        <w:rPr>
          <w:noProof/>
        </w:rPr>
        <w:drawing>
          <wp:inline distT="0" distB="0" distL="0" distR="0" wp14:anchorId="20B11812" wp14:editId="0855FC2E">
            <wp:extent cx="3200400" cy="223243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target_dis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3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AB561" w14:textId="77777777" w:rsidR="00C937A4" w:rsidRDefault="00000000">
      <w:pPr>
        <w:spacing w:after="120"/>
        <w:jc w:val="center"/>
      </w:pPr>
      <w:r>
        <w:rPr>
          <w:rFonts w:ascii="Calibri" w:hAnsi="Calibri"/>
          <w:i/>
          <w:sz w:val="16"/>
        </w:rPr>
        <w:t>The near-equal class split (49%/51%) confirms that accuracy is valid and class imbalance handling is unnecessary.</w:t>
      </w:r>
    </w:p>
    <w:p w14:paraId="68BD0EA5" w14:textId="77777777" w:rsidR="00C937A4" w:rsidRDefault="00000000">
      <w:pPr>
        <w:spacing w:after="40"/>
        <w:jc w:val="center"/>
      </w:pPr>
      <w:r>
        <w:rPr>
          <w:rFonts w:ascii="Calibri" w:hAnsi="Calibri"/>
          <w:b/>
          <w:i/>
          <w:sz w:val="18"/>
        </w:rPr>
        <w:t>Figure 2: Key Features by Completion Status</w:t>
      </w:r>
    </w:p>
    <w:p w14:paraId="37E7C9ED" w14:textId="77777777" w:rsidR="00C937A4" w:rsidRDefault="00000000">
      <w:pPr>
        <w:jc w:val="center"/>
      </w:pPr>
      <w:r>
        <w:rPr>
          <w:noProof/>
        </w:rPr>
        <w:drawing>
          <wp:inline distT="0" distB="0" distL="0" distR="0" wp14:anchorId="0CA11934" wp14:editId="1B5097CA">
            <wp:extent cx="5029200" cy="18389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boxplot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A57D9" w14:textId="77777777" w:rsidR="00C937A4" w:rsidRDefault="00000000">
      <w:pPr>
        <w:spacing w:after="120"/>
        <w:jc w:val="center"/>
      </w:pPr>
      <w:r>
        <w:rPr>
          <w:rFonts w:ascii="Calibri" w:hAnsi="Calibri"/>
          <w:i/>
          <w:sz w:val="16"/>
        </w:rPr>
        <w:t>Progress_Percentage shows the strongest separation; engagement metrics are more discriminative than demographics for this dataset.</w:t>
      </w:r>
    </w:p>
    <w:p w14:paraId="2348F600" w14:textId="77777777" w:rsidR="00C937A4" w:rsidRDefault="00000000">
      <w:pPr>
        <w:spacing w:after="40"/>
        <w:jc w:val="center"/>
      </w:pPr>
      <w:r>
        <w:rPr>
          <w:rFonts w:ascii="Calibri" w:hAnsi="Calibri"/>
          <w:b/>
          <w:i/>
          <w:sz w:val="18"/>
        </w:rPr>
        <w:t>Figure 3: Correlation Heatmap of Selected Features</w:t>
      </w:r>
    </w:p>
    <w:p w14:paraId="4112337E" w14:textId="77777777" w:rsidR="00C937A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DDBE730" wp14:editId="34F9EBD1">
            <wp:extent cx="3322320" cy="2391677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correl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3715" cy="245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E4C47" w14:textId="77777777" w:rsidR="00C937A4" w:rsidRDefault="00000000">
      <w:pPr>
        <w:spacing w:after="120"/>
        <w:jc w:val="center"/>
      </w:pPr>
      <w:r>
        <w:rPr>
          <w:rFonts w:ascii="Calibri" w:hAnsi="Calibri"/>
          <w:i/>
          <w:sz w:val="16"/>
        </w:rPr>
        <w:t>Low inter-feature correlations (all below 0.8) confirm minimal multicollinearity, supporting the use of Logistic Regression.</w:t>
      </w:r>
    </w:p>
    <w:p w14:paraId="40D12206" w14:textId="77777777" w:rsidR="00C937A4" w:rsidRPr="00536578" w:rsidRDefault="00000000">
      <w:pPr>
        <w:pStyle w:val="Heading1"/>
        <w:rPr>
          <w:sz w:val="26"/>
          <w:szCs w:val="26"/>
        </w:rPr>
      </w:pPr>
      <w:r w:rsidRPr="00536578">
        <w:rPr>
          <w:rFonts w:ascii="Calibri" w:hAnsi="Calibri"/>
          <w:color w:val="003366"/>
          <w:sz w:val="26"/>
          <w:szCs w:val="26"/>
        </w:rPr>
        <w:t>v. Machine Learning Model</w:t>
      </w:r>
    </w:p>
    <w:p w14:paraId="32131F1D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Model Used</w:t>
      </w:r>
    </w:p>
    <w:p w14:paraId="229D7AB2" w14:textId="77777777" w:rsidR="00C937A4" w:rsidRDefault="00000000">
      <w:pPr>
        <w:spacing w:after="60"/>
      </w:pPr>
      <w:r>
        <w:rPr>
          <w:rFonts w:ascii="Calibri" w:hAnsi="Calibri"/>
          <w:sz w:val="20"/>
        </w:rPr>
        <w:t>Three supervised classification algorithms were trained, each selected based on specific characteristics observed in this dataset:</w:t>
      </w:r>
    </w:p>
    <w:p w14:paraId="0E78CC5E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Logistic Regression (baseline): </w:t>
      </w:r>
      <w:r>
        <w:rPr>
          <w:rFonts w:ascii="Calibri" w:hAnsi="Calibri"/>
          <w:sz w:val="20"/>
        </w:rPr>
        <w:t>Selected because EDA revealed low inter-feature correlation (Figure 3), satisfying the assumption of minimal multicollinearity. The near-balanced target distribution (Figure 1) further supports this choice, as Logistic Regression performs well when classes are balanced. It models the log-odds of completion as a linear combination of features, providing interpretable coefficients.</w:t>
      </w:r>
    </w:p>
    <w:p w14:paraId="4B44F37C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Random Forest: </w:t>
      </w:r>
      <w:r>
        <w:rPr>
          <w:rFonts w:ascii="Calibri" w:hAnsi="Calibri"/>
          <w:sz w:val="20"/>
        </w:rPr>
        <w:t>Selected to test whether non-linear feature interactions — such as combinations of engagement metrics (Video_Completion_Rate, Quiz_Score_Avg) that EDA identified as individually predictive — could improve upon the linear baseline. This bagging ensemble reduces variance through averaging across 100 decision trees.</w:t>
      </w:r>
    </w:p>
    <w:p w14:paraId="2F3DC4DF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Gradient Boosting: </w:t>
      </w:r>
      <w:r>
        <w:rPr>
          <w:rFonts w:ascii="Calibri" w:hAnsi="Calibri"/>
          <w:sz w:val="20"/>
        </w:rPr>
        <w:t>Selected for its sequential error-correction approach and extensive tuning options (learning_rate, max_depth, n_estimators), offering the most potential for optimisation on this dataset. Its bounded tree depth (max_depth=5) helps control the overfitting observed in unconstrained Random Forest.</w:t>
      </w:r>
    </w:p>
    <w:p w14:paraId="6FB67D45" w14:textId="77777777" w:rsidR="00C937A4" w:rsidRDefault="00000000">
      <w:pPr>
        <w:spacing w:after="120"/>
      </w:pPr>
      <w:r>
        <w:rPr>
          <w:rFonts w:ascii="Calibri" w:hAnsi="Calibri"/>
          <w:sz w:val="20"/>
        </w:rPr>
        <w:t>An alternative considered was Support Vector Machine (SVM). However, SVM was not used because its O(n²) computational complexity is prohibitive for the 100,000-row dataset, and tree-based ensembles scale linearly while naturally handling the mixed feature types (ordinal, one-hot, continuous) present in this dataset after encoding.</w:t>
      </w:r>
    </w:p>
    <w:p w14:paraId="46F0AD3D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Evaluation</w:t>
      </w:r>
    </w:p>
    <w:tbl>
      <w:tblPr>
        <w:tblStyle w:val="LightShading-Accent1"/>
        <w:tblW w:w="0" w:type="auto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C937A4" w14:paraId="280F4BA0" w14:textId="77777777" w:rsidTr="00C93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6" w:type="dxa"/>
          </w:tcPr>
          <w:p w14:paraId="1A32C9AA" w14:textId="77777777" w:rsidR="00C937A4" w:rsidRDefault="00000000">
            <w:r>
              <w:rPr>
                <w:sz w:val="18"/>
              </w:rPr>
              <w:t>Model</w:t>
            </w:r>
          </w:p>
        </w:tc>
        <w:tc>
          <w:tcPr>
            <w:tcW w:w="1606" w:type="dxa"/>
          </w:tcPr>
          <w:p w14:paraId="296F43B2" w14:textId="77777777" w:rsidR="00C937A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606" w:type="dxa"/>
          </w:tcPr>
          <w:p w14:paraId="2C84BB56" w14:textId="77777777" w:rsidR="00C937A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606" w:type="dxa"/>
          </w:tcPr>
          <w:p w14:paraId="7B13AA81" w14:textId="77777777" w:rsidR="00C937A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606" w:type="dxa"/>
          </w:tcPr>
          <w:p w14:paraId="3C811604" w14:textId="77777777" w:rsidR="00C937A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F1-Score</w:t>
            </w:r>
          </w:p>
        </w:tc>
        <w:tc>
          <w:tcPr>
            <w:tcW w:w="1606" w:type="dxa"/>
          </w:tcPr>
          <w:p w14:paraId="3F367ABC" w14:textId="77777777" w:rsidR="00C937A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</w:tr>
      <w:tr w:rsidR="00C937A4" w14:paraId="21ED15DC" w14:textId="77777777" w:rsidTr="00C93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6" w:type="dxa"/>
          </w:tcPr>
          <w:p w14:paraId="6DD4FDFB" w14:textId="77777777" w:rsidR="00C937A4" w:rsidRDefault="00000000">
            <w:r>
              <w:rPr>
                <w:sz w:val="18"/>
              </w:rPr>
              <w:t>Logistic Regression</w:t>
            </w:r>
          </w:p>
        </w:tc>
        <w:tc>
          <w:tcPr>
            <w:tcW w:w="1606" w:type="dxa"/>
          </w:tcPr>
          <w:p w14:paraId="1F20839E" w14:textId="77777777" w:rsidR="00C937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0.6047</w:t>
            </w:r>
          </w:p>
        </w:tc>
        <w:tc>
          <w:tcPr>
            <w:tcW w:w="1606" w:type="dxa"/>
          </w:tcPr>
          <w:p w14:paraId="3D65FA92" w14:textId="77777777" w:rsidR="00C937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0.5953</w:t>
            </w:r>
          </w:p>
        </w:tc>
        <w:tc>
          <w:tcPr>
            <w:tcW w:w="1606" w:type="dxa"/>
          </w:tcPr>
          <w:p w14:paraId="0C4A9965" w14:textId="77777777" w:rsidR="00C937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0.5896</w:t>
            </w:r>
          </w:p>
        </w:tc>
        <w:tc>
          <w:tcPr>
            <w:tcW w:w="1606" w:type="dxa"/>
          </w:tcPr>
          <w:p w14:paraId="24EB6FD1" w14:textId="77777777" w:rsidR="00C937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0.5924</w:t>
            </w:r>
          </w:p>
        </w:tc>
        <w:tc>
          <w:tcPr>
            <w:tcW w:w="1606" w:type="dxa"/>
          </w:tcPr>
          <w:p w14:paraId="772D5A46" w14:textId="77777777" w:rsidR="00C937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0.6484</w:t>
            </w:r>
          </w:p>
        </w:tc>
      </w:tr>
      <w:tr w:rsidR="00C937A4" w14:paraId="351C764E" w14:textId="77777777" w:rsidTr="00C937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6" w:type="dxa"/>
          </w:tcPr>
          <w:p w14:paraId="1F6C5817" w14:textId="77777777" w:rsidR="00C937A4" w:rsidRDefault="00000000">
            <w:r>
              <w:rPr>
                <w:sz w:val="18"/>
              </w:rPr>
              <w:t>Random Forest</w:t>
            </w:r>
          </w:p>
        </w:tc>
        <w:tc>
          <w:tcPr>
            <w:tcW w:w="1606" w:type="dxa"/>
          </w:tcPr>
          <w:p w14:paraId="1A7C228E" w14:textId="77777777" w:rsidR="00C937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0.5933</w:t>
            </w:r>
          </w:p>
        </w:tc>
        <w:tc>
          <w:tcPr>
            <w:tcW w:w="1606" w:type="dxa"/>
          </w:tcPr>
          <w:p w14:paraId="27465DE8" w14:textId="77777777" w:rsidR="00C937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0.5810</w:t>
            </w:r>
          </w:p>
        </w:tc>
        <w:tc>
          <w:tcPr>
            <w:tcW w:w="1606" w:type="dxa"/>
          </w:tcPr>
          <w:p w14:paraId="518D4939" w14:textId="77777777" w:rsidR="00C937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0.5917</w:t>
            </w:r>
          </w:p>
        </w:tc>
        <w:tc>
          <w:tcPr>
            <w:tcW w:w="1606" w:type="dxa"/>
          </w:tcPr>
          <w:p w14:paraId="343EF589" w14:textId="77777777" w:rsidR="00C937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0.5863</w:t>
            </w:r>
          </w:p>
        </w:tc>
        <w:tc>
          <w:tcPr>
            <w:tcW w:w="1606" w:type="dxa"/>
          </w:tcPr>
          <w:p w14:paraId="6E5E5CD6" w14:textId="77777777" w:rsidR="00C937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0.6339</w:t>
            </w:r>
          </w:p>
        </w:tc>
      </w:tr>
      <w:tr w:rsidR="00C937A4" w14:paraId="4DFA0A41" w14:textId="77777777" w:rsidTr="00C93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6" w:type="dxa"/>
          </w:tcPr>
          <w:p w14:paraId="1FF34BDB" w14:textId="77777777" w:rsidR="00C937A4" w:rsidRDefault="00000000">
            <w:r>
              <w:rPr>
                <w:sz w:val="18"/>
              </w:rPr>
              <w:t>Gradient Boosting</w:t>
            </w:r>
          </w:p>
        </w:tc>
        <w:tc>
          <w:tcPr>
            <w:tcW w:w="1606" w:type="dxa"/>
          </w:tcPr>
          <w:p w14:paraId="53B1C8E7" w14:textId="77777777" w:rsidR="00C937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0.6040</w:t>
            </w:r>
          </w:p>
        </w:tc>
        <w:tc>
          <w:tcPr>
            <w:tcW w:w="1606" w:type="dxa"/>
          </w:tcPr>
          <w:p w14:paraId="66753688" w14:textId="77777777" w:rsidR="00C937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0.5954</w:t>
            </w:r>
          </w:p>
        </w:tc>
        <w:tc>
          <w:tcPr>
            <w:tcW w:w="1606" w:type="dxa"/>
          </w:tcPr>
          <w:p w14:paraId="39B9FFD6" w14:textId="77777777" w:rsidR="00C937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0.5910</w:t>
            </w:r>
          </w:p>
        </w:tc>
        <w:tc>
          <w:tcPr>
            <w:tcW w:w="1606" w:type="dxa"/>
          </w:tcPr>
          <w:p w14:paraId="2F9874F5" w14:textId="77777777" w:rsidR="00C937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0.5932</w:t>
            </w:r>
          </w:p>
        </w:tc>
        <w:tc>
          <w:tcPr>
            <w:tcW w:w="1606" w:type="dxa"/>
          </w:tcPr>
          <w:p w14:paraId="06CBA809" w14:textId="77777777" w:rsidR="00C937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0.6476</w:t>
            </w:r>
          </w:p>
        </w:tc>
      </w:tr>
    </w:tbl>
    <w:p w14:paraId="0C68472B" w14:textId="77777777" w:rsidR="00C937A4" w:rsidRDefault="00C937A4">
      <w:pPr>
        <w:spacing w:after="60"/>
      </w:pPr>
    </w:p>
    <w:p w14:paraId="177EF126" w14:textId="77777777" w:rsidR="00C937A4" w:rsidRDefault="00000000">
      <w:pPr>
        <w:spacing w:after="120"/>
        <w:jc w:val="center"/>
      </w:pPr>
      <w:r>
        <w:rPr>
          <w:rFonts w:ascii="Calibri" w:hAnsi="Calibri"/>
          <w:i/>
          <w:sz w:val="18"/>
        </w:rPr>
        <w:t>Table 1: Performance comparison of the three classification models.</w:t>
      </w:r>
    </w:p>
    <w:p w14:paraId="7BF5FEF1" w14:textId="77777777" w:rsidR="00C937A4" w:rsidRDefault="00000000">
      <w:pPr>
        <w:spacing w:after="120"/>
      </w:pPr>
      <w:r>
        <w:rPr>
          <w:rFonts w:ascii="Calibri" w:hAnsi="Calibri"/>
          <w:sz w:val="20"/>
        </w:rPr>
        <w:t xml:space="preserve">All three models achieve modest performance (F1 ≈ 0.59, AUC ≈ 0.64), falling short of the initial targets (F1 ≥ 0.70, AUC ≥ 0.75). This result is itself informative: it indicates that the 40 features in this dataset provide limited discriminative power for predicting course completion — the engagement features that EDA identified as most separable (Figure 2) are necessary but insufficient for strong predictions. Logistic Regression achieved the best overall performance (F1=0.5924, AUC=0.6484), slightly outperforming both tree-based models. This confirms that the decision boundary in this dataset has a significant linear component, and that capturing non-linear interactions yields negligible additional benefit. Hyperparameter tuning on Gradient Boosting via GridSearchCV selected shallower trees </w:t>
      </w:r>
      <w:r>
        <w:rPr>
          <w:rFonts w:ascii="Calibri" w:hAnsi="Calibri"/>
          <w:sz w:val="20"/>
        </w:rPr>
        <w:lastRenderedPageBreak/>
        <w:t>(max_depth=3) but did not improve test performance. Cross-validation (5-fold stratified) confirmed stable generalisation with all standard deviations below 0.011.</w:t>
      </w:r>
    </w:p>
    <w:p w14:paraId="27424FF9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Improvements</w:t>
      </w:r>
    </w:p>
    <w:p w14:paraId="3602D701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Incorporate richer data sources: </w:t>
      </w:r>
      <w:r>
        <w:rPr>
          <w:rFonts w:ascii="Calibri" w:hAnsi="Calibri"/>
          <w:sz w:val="20"/>
        </w:rPr>
        <w:t>Real-time behavioural logs (e.g., clickstream data, forum participation, video watch patterns) and prior academic history could provide stronger predictive signals beyond the static features available in this dataset.</w:t>
      </w:r>
    </w:p>
    <w:p w14:paraId="25FF0926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Address potential data leakage: </w:t>
      </w:r>
      <w:r>
        <w:rPr>
          <w:rFonts w:ascii="Calibri" w:hAnsi="Calibri"/>
          <w:sz w:val="20"/>
        </w:rPr>
        <w:t>Progress_Percentage may partially encode completion status. In production, this feature should be measured at a fixed point (e.g., course midpoint) rather than at the end, to ensure the model predicts future completion rather than reflecting already-completed progress.</w:t>
      </w:r>
    </w:p>
    <w:p w14:paraId="440EAABB" w14:textId="77777777" w:rsidR="00C937A4" w:rsidRPr="00536578" w:rsidRDefault="00000000">
      <w:pPr>
        <w:pStyle w:val="Heading1"/>
        <w:rPr>
          <w:sz w:val="26"/>
          <w:szCs w:val="26"/>
        </w:rPr>
      </w:pPr>
      <w:r w:rsidRPr="00536578">
        <w:rPr>
          <w:rFonts w:ascii="Calibri" w:hAnsi="Calibri"/>
          <w:color w:val="003366"/>
          <w:sz w:val="26"/>
          <w:szCs w:val="26"/>
        </w:rPr>
        <w:t>vi. Conclusion</w:t>
      </w:r>
    </w:p>
    <w:p w14:paraId="01B89D0E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Business Objectives</w:t>
      </w:r>
    </w:p>
    <w:p w14:paraId="226DE2C0" w14:textId="77777777" w:rsidR="00C937A4" w:rsidRDefault="00000000">
      <w:pPr>
        <w:spacing w:after="120"/>
      </w:pPr>
      <w:r>
        <w:rPr>
          <w:rFonts w:ascii="Calibri" w:hAnsi="Calibri"/>
          <w:sz w:val="20"/>
        </w:rPr>
        <w:t>The primary objective of building a binary classification pipeline to predict course completion was achieved. A complete machine learning workflow — from data preprocessing and EDA through model training, comparison, tuning, and cross-validation — was successfully implemented. However, the initial performance targets (F1 ≥ 0.70, AUC ≥ 0.75) were not met; the best model (Logistic Regression) achieved F1 = 0.5924 and AUC = 0.6484. This shortfall is itself a valuable dataset-specific finding: it reveals that the available features — while spanning demographics, course metadata, engagement, and payment — provide limited discriminative power for course completion in this dataset. The analysis successfully identified that engagement metrics (Progress_Percentage, Video_Completion_Rate, Quiz_Score_Avg) are the strongest predictors, which platforms can use for early-warning systems and targeted student interventions.</w:t>
      </w:r>
    </w:p>
    <w:p w14:paraId="6CA0B039" w14:textId="77777777" w:rsidR="00C937A4" w:rsidRPr="00536578" w:rsidRDefault="00000000">
      <w:pPr>
        <w:pStyle w:val="Heading2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Challenges</w:t>
      </w:r>
    </w:p>
    <w:p w14:paraId="6B956EB2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Pre-cleaned dataset: </w:t>
      </w:r>
      <w:r>
        <w:rPr>
          <w:rFonts w:ascii="Calibri" w:hAnsi="Calibri"/>
          <w:sz w:val="20"/>
        </w:rPr>
        <w:t>The dataset contained no missing values or duplicates, which is unrealistic for real-world educational data. This was overcome by intentionally introducing dirty data (~2% missing values, 500 duplicates) to practise and demonstrate proper preprocessing techniques.</w:t>
      </w:r>
    </w:p>
    <w:p w14:paraId="5EC48365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Limited predictive signal: </w:t>
      </w:r>
      <w:r>
        <w:rPr>
          <w:rFonts w:ascii="Calibri" w:hAnsi="Calibri"/>
          <w:sz w:val="20"/>
        </w:rPr>
        <w:t>Despite 40 features and 100,000 records, all models achieved only ~60% accuracy. This was addressed by thorough feature engineering (Assignment_Completion_Rate, Quiz_Performance) and hyperparameter tuning, though improvements were marginal — highlighting that this dataset's features reach a predictive ceiling that requires richer data sources to overcome.</w:t>
      </w:r>
    </w:p>
    <w:p w14:paraId="33F1A6B7" w14:textId="77777777" w:rsidR="00C937A4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Overfitting in Random Forest: </w:t>
      </w:r>
      <w:r>
        <w:rPr>
          <w:rFonts w:ascii="Calibri" w:hAnsi="Calibri"/>
          <w:sz w:val="20"/>
        </w:rPr>
        <w:t>The default Random Forest model showed 100% training accuracy but only 59.3% test accuracy — a clear overfitting gap. This was identified through systematic train-test performance comparison and could be mitigated by constraining tree depth or increasing minimum samples per leaf.</w:t>
      </w:r>
    </w:p>
    <w:p w14:paraId="589578F8" w14:textId="77777777" w:rsidR="00C937A4" w:rsidRPr="00536578" w:rsidRDefault="00000000">
      <w:pPr>
        <w:pStyle w:val="Heading1"/>
        <w:rPr>
          <w:sz w:val="24"/>
          <w:szCs w:val="24"/>
        </w:rPr>
      </w:pPr>
      <w:r w:rsidRPr="00536578">
        <w:rPr>
          <w:rFonts w:ascii="Calibri" w:hAnsi="Calibri"/>
          <w:color w:val="003366"/>
          <w:sz w:val="24"/>
          <w:szCs w:val="24"/>
        </w:rPr>
        <w:t>vii. References</w:t>
      </w:r>
    </w:p>
    <w:p w14:paraId="089D4917" w14:textId="77777777" w:rsidR="005F3C55" w:rsidRDefault="005F3C55" w:rsidP="005F3C55">
      <w:pPr>
        <w:spacing w:after="120"/>
        <w:ind w:left="720" w:hanging="720"/>
      </w:pPr>
      <w:r>
        <w:rPr>
          <w:rFonts w:ascii="Calibri" w:hAnsi="Calibri"/>
          <w:sz w:val="20"/>
        </w:rPr>
        <w:t>McKinney, W. (2010). Data structures for statistical computing in Python. Proceedings of the 9th Python in Science Conference, 51–56. https://doi.org/10.25080/Majora-92bf1922-00a</w:t>
      </w:r>
    </w:p>
    <w:p w14:paraId="15099B79" w14:textId="77777777" w:rsidR="005F3C55" w:rsidRDefault="005F3C55" w:rsidP="005F3C55">
      <w:pPr>
        <w:spacing w:after="120"/>
        <w:ind w:left="720" w:hanging="720"/>
      </w:pPr>
      <w:r>
        <w:rPr>
          <w:rFonts w:ascii="Calibri" w:hAnsi="Calibri"/>
          <w:sz w:val="20"/>
        </w:rPr>
        <w:t xml:space="preserve">Onah, D. F. O., Sinclair, J., &amp; Boyatt, R. (2014). Dropout rates of massive open online courses: </w:t>
      </w:r>
      <w:proofErr w:type="spellStart"/>
      <w:r>
        <w:rPr>
          <w:rFonts w:ascii="Calibri" w:hAnsi="Calibri"/>
          <w:sz w:val="20"/>
        </w:rPr>
        <w:t>Behavioural</w:t>
      </w:r>
      <w:proofErr w:type="spellEnd"/>
      <w:r>
        <w:rPr>
          <w:rFonts w:ascii="Calibri" w:hAnsi="Calibri"/>
          <w:sz w:val="20"/>
        </w:rPr>
        <w:t xml:space="preserve"> patterns. In L. Gómez Chova, A. López Martínez, &amp; I. Candel Torres (Eds.), EDULEARN14 Proceedings (pp. 5825–5834). IATED Academy. https://doi.org/10.13140/RG.2.1.2402.0009</w:t>
      </w:r>
    </w:p>
    <w:p w14:paraId="2C9E3990" w14:textId="77777777" w:rsidR="005F3C55" w:rsidRDefault="005F3C55" w:rsidP="005F3C55">
      <w:pPr>
        <w:spacing w:after="120"/>
        <w:ind w:left="720" w:hanging="720"/>
      </w:pPr>
      <w:r>
        <w:rPr>
          <w:rFonts w:ascii="Calibri" w:hAnsi="Calibri"/>
          <w:sz w:val="20"/>
        </w:rPr>
        <w:t>Patel, N. (2024). Student course completion prediction dataset [Data set]. Kaggle. https://www.kaggle.com/datasets/nisargpatel344/student-course-completion-prediction-dataset</w:t>
      </w:r>
    </w:p>
    <w:p w14:paraId="110C51F7" w14:textId="7E64D3B8" w:rsidR="00C937A4" w:rsidRDefault="005F3C55" w:rsidP="0085729F">
      <w:pPr>
        <w:spacing w:after="120"/>
        <w:ind w:left="720" w:hanging="720"/>
      </w:pPr>
      <w:r>
        <w:rPr>
          <w:rFonts w:ascii="Calibri" w:hAnsi="Calibri"/>
          <w:sz w:val="20"/>
        </w:rPr>
        <w:t xml:space="preserve">Pedregosa, F., </w:t>
      </w:r>
      <w:proofErr w:type="spellStart"/>
      <w:r>
        <w:rPr>
          <w:rFonts w:ascii="Calibri" w:hAnsi="Calibri"/>
          <w:sz w:val="20"/>
        </w:rPr>
        <w:t>Varoquaux</w:t>
      </w:r>
      <w:proofErr w:type="spellEnd"/>
      <w:r>
        <w:rPr>
          <w:rFonts w:ascii="Calibri" w:hAnsi="Calibri"/>
          <w:sz w:val="20"/>
        </w:rPr>
        <w:t xml:space="preserve">, G., </w:t>
      </w:r>
      <w:proofErr w:type="spellStart"/>
      <w:r>
        <w:rPr>
          <w:rFonts w:ascii="Calibri" w:hAnsi="Calibri"/>
          <w:sz w:val="20"/>
        </w:rPr>
        <w:t>Gramfort</w:t>
      </w:r>
      <w:proofErr w:type="spellEnd"/>
      <w:r>
        <w:rPr>
          <w:rFonts w:ascii="Calibri" w:hAnsi="Calibri"/>
          <w:sz w:val="20"/>
        </w:rPr>
        <w:t xml:space="preserve">, A., Michel, V., Thirion, B., Grisel, O., Blondel, M., </w:t>
      </w:r>
      <w:proofErr w:type="spellStart"/>
      <w:r>
        <w:rPr>
          <w:rFonts w:ascii="Calibri" w:hAnsi="Calibri"/>
          <w:sz w:val="20"/>
        </w:rPr>
        <w:t>Prettenhofer</w:t>
      </w:r>
      <w:proofErr w:type="spellEnd"/>
      <w:r>
        <w:rPr>
          <w:rFonts w:ascii="Calibri" w:hAnsi="Calibri"/>
          <w:sz w:val="20"/>
        </w:rPr>
        <w:t xml:space="preserve">, P., Weiss, R., Dubourg, V., Vanderplas, J., Passos, A., </w:t>
      </w:r>
      <w:proofErr w:type="spellStart"/>
      <w:r>
        <w:rPr>
          <w:rFonts w:ascii="Calibri" w:hAnsi="Calibri"/>
          <w:sz w:val="20"/>
        </w:rPr>
        <w:t>Cournapeau</w:t>
      </w:r>
      <w:proofErr w:type="spellEnd"/>
      <w:r>
        <w:rPr>
          <w:rFonts w:ascii="Calibri" w:hAnsi="Calibri"/>
          <w:sz w:val="20"/>
        </w:rPr>
        <w:t>, D., Brucher, M., Perrot, M., &amp; Duchesnay, É. (2011). Scikit-learn: Machine learning in Python. Journal of Machine Learning Research, 12, 2825–2830. https://jmlr.org/papers/v12/pedregosa11a.html</w:t>
      </w:r>
    </w:p>
    <w:sectPr w:rsidR="00C937A4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5270311">
    <w:abstractNumId w:val="8"/>
  </w:num>
  <w:num w:numId="2" w16cid:durableId="1490554463">
    <w:abstractNumId w:val="6"/>
  </w:num>
  <w:num w:numId="3" w16cid:durableId="550116305">
    <w:abstractNumId w:val="5"/>
  </w:num>
  <w:num w:numId="4" w16cid:durableId="1875968163">
    <w:abstractNumId w:val="4"/>
  </w:num>
  <w:num w:numId="5" w16cid:durableId="403652003">
    <w:abstractNumId w:val="7"/>
  </w:num>
  <w:num w:numId="6" w16cid:durableId="129251729">
    <w:abstractNumId w:val="3"/>
  </w:num>
  <w:num w:numId="7" w16cid:durableId="1767115469">
    <w:abstractNumId w:val="2"/>
  </w:num>
  <w:num w:numId="8" w16cid:durableId="1434282730">
    <w:abstractNumId w:val="1"/>
  </w:num>
  <w:num w:numId="9" w16cid:durableId="1151169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1DAA"/>
    <w:rsid w:val="00536578"/>
    <w:rsid w:val="005F3C55"/>
    <w:rsid w:val="00655F50"/>
    <w:rsid w:val="0085729F"/>
    <w:rsid w:val="00924C99"/>
    <w:rsid w:val="00AA1D8D"/>
    <w:rsid w:val="00B47730"/>
    <w:rsid w:val="00C937A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555F4D"/>
  <w14:defaultImageDpi w14:val="300"/>
  <w15:docId w15:val="{4DF3CCFB-BF46-454E-B4C8-2701B047E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2220</Words>
  <Characters>12655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Clifton Chen</cp:lastModifiedBy>
  <cp:revision>6</cp:revision>
  <dcterms:created xsi:type="dcterms:W3CDTF">2013-12-23T23:15:00Z</dcterms:created>
  <dcterms:modified xsi:type="dcterms:W3CDTF">2026-02-15T11:59:00Z</dcterms:modified>
  <cp:category/>
</cp:coreProperties>
</file>