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A6A" w:rsidRDefault="008F2A6A" w:rsidP="008F2A6A">
      <w:pPr>
        <w:jc w:val="center"/>
        <w:rPr>
          <w:rFonts w:ascii="黑体" w:eastAsia="黑体" w:hAnsi="黑体"/>
          <w:color w:val="000000"/>
          <w:sz w:val="28"/>
        </w:rPr>
      </w:pPr>
      <w:r w:rsidRPr="008F2A6A">
        <w:rPr>
          <w:rFonts w:ascii="黑体" w:eastAsia="黑体" w:hAnsi="黑体" w:hint="eastAsia"/>
          <w:color w:val="000000"/>
          <w:sz w:val="28"/>
        </w:rPr>
        <w:t>新建路面设计</w:t>
      </w:r>
    </w:p>
    <w:p w:rsidR="008F2A6A" w:rsidRDefault="008F2A6A" w:rsidP="008F2A6A">
      <w:pPr>
        <w:jc w:val="center"/>
        <w:rPr>
          <w:rFonts w:ascii="黑体" w:eastAsia="黑体" w:hAnsi="黑体"/>
          <w:color w:val="000000"/>
          <w:sz w:val="28"/>
        </w:rPr>
      </w:pPr>
    </w:p>
    <w:p w:rsidR="008F2A6A" w:rsidRDefault="008F2A6A" w:rsidP="008F2A6A">
      <w:pPr>
        <w:jc w:val="left"/>
        <w:rPr>
          <w:rFonts w:ascii="黑体" w:eastAsia="黑体" w:hAnsi="黑体"/>
          <w:color w:val="000000"/>
          <w:sz w:val="24"/>
        </w:rPr>
      </w:pPr>
      <w:r w:rsidRPr="008F2A6A">
        <w:rPr>
          <w:rFonts w:ascii="黑体" w:eastAsia="黑体" w:hAnsi="黑体"/>
          <w:color w:val="000000"/>
          <w:sz w:val="24"/>
        </w:rPr>
        <w:t>1. 项目概况与交通荷载参数</w:t>
      </w:r>
    </w:p>
    <w:p w:rsidR="008F2A6A" w:rsidRDefault="008F2A6A" w:rsidP="008F2A6A">
      <w:pPr>
        <w:spacing w:line="360" w:lineRule="auto"/>
        <w:rPr>
          <w:rFonts w:ascii="楷体" w:eastAsia="楷体" w:hAnsi="黑体"/>
          <w:color w:val="000000"/>
          <w:sz w:val="24"/>
        </w:rPr>
      </w:pPr>
      <w:r w:rsidRPr="008F2A6A">
        <w:rPr>
          <w:rFonts w:ascii="楷体" w:eastAsia="楷体" w:hAnsi="黑体"/>
          <w:color w:val="000000"/>
          <w:sz w:val="24"/>
        </w:rPr>
        <w:t xml:space="preserve">    该项目位于</w:t>
      </w:r>
      <w:r w:rsidR="005252A1">
        <w:rPr>
          <w:rFonts w:ascii="楷体" w:eastAsia="楷体" w:hAnsi="黑体" w:hint="eastAsia"/>
          <w:color w:val="000000"/>
          <w:sz w:val="24"/>
        </w:rPr>
        <w:t>西南地区</w:t>
      </w:r>
      <w:r w:rsidRPr="008F2A6A">
        <w:rPr>
          <w:rFonts w:ascii="楷体" w:eastAsia="楷体" w:hAnsi="黑体"/>
          <w:color w:val="000000"/>
          <w:sz w:val="24"/>
        </w:rPr>
        <w:t>，属于二级公路，</w:t>
      </w:r>
      <w:r w:rsidR="005252A1">
        <w:rPr>
          <w:rFonts w:ascii="楷体" w:eastAsia="楷体" w:hAnsi="黑体" w:hint="eastAsia"/>
          <w:color w:val="000000"/>
          <w:sz w:val="24"/>
        </w:rPr>
        <w:t>设计时速为40Km/h,</w:t>
      </w:r>
      <w:r w:rsidR="00026ED1">
        <w:rPr>
          <w:rFonts w:ascii="楷体" w:eastAsia="楷体" w:hAnsi="黑体" w:hint="eastAsia"/>
          <w:color w:val="000000"/>
          <w:sz w:val="24"/>
        </w:rPr>
        <w:t>12</w:t>
      </w:r>
      <w:r w:rsidR="005252A1">
        <w:rPr>
          <w:rFonts w:ascii="楷体" w:eastAsia="楷体" w:hAnsi="黑体" w:hint="eastAsia"/>
          <w:color w:val="000000"/>
          <w:sz w:val="24"/>
        </w:rPr>
        <w:t>米双车道公路</w:t>
      </w:r>
      <w:r w:rsidRPr="008F2A6A">
        <w:rPr>
          <w:rFonts w:ascii="楷体" w:eastAsia="楷体" w:hAnsi="黑体"/>
          <w:color w:val="000000"/>
          <w:sz w:val="24"/>
        </w:rPr>
        <w:t xml:space="preserve">，设计使用年限为12.0年，根据交通量OD调查分析，断面大型客车和货车交通量为1849辆/日, 交通量年增长率为8.2%, 方向系数取55.0%, 车道系数取70.0%。 根据交通历史数据，按表A.2.6-1确定该设计公路为TTC4类，根据表A.2.6-2得到车辆类型分布系数如表1所示。 </w:t>
      </w:r>
    </w:p>
    <w:p w:rsidR="008F2A6A" w:rsidRDefault="008F2A6A" w:rsidP="008F2A6A">
      <w:pPr>
        <w:spacing w:line="360" w:lineRule="auto"/>
        <w:jc w:val="center"/>
        <w:rPr>
          <w:rFonts w:ascii="黑体" w:eastAsia="黑体" w:hAnsi="黑体"/>
          <w:color w:val="000000"/>
        </w:rPr>
      </w:pPr>
      <w:r w:rsidRPr="008F2A6A">
        <w:rPr>
          <w:rFonts w:ascii="黑体" w:eastAsia="黑体" w:hAnsi="黑体" w:hint="eastAsia"/>
          <w:color w:val="000000"/>
        </w:rPr>
        <w:t>表</w:t>
      </w:r>
      <w:r w:rsidRPr="008F2A6A">
        <w:rPr>
          <w:rFonts w:ascii="黑体" w:eastAsia="黑体" w:hAnsi="黑体"/>
          <w:color w:val="000000"/>
        </w:rPr>
        <w:t>1. 车辆类型分布系数</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906"/>
        <w:gridCol w:w="683"/>
        <w:gridCol w:w="683"/>
        <w:gridCol w:w="629"/>
        <w:gridCol w:w="629"/>
        <w:gridCol w:w="629"/>
        <w:gridCol w:w="629"/>
        <w:gridCol w:w="629"/>
        <w:gridCol w:w="629"/>
        <w:gridCol w:w="740"/>
        <w:gridCol w:w="736"/>
      </w:tblGrid>
      <w:tr w:rsidR="008F2A6A" w:rsidRPr="008F2A6A" w:rsidTr="002D2991">
        <w:trPr>
          <w:trHeight w:hRule="exact" w:val="380"/>
          <w:jc w:val="center"/>
        </w:trPr>
        <w:tc>
          <w:tcPr>
            <w:tcW w:w="111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车辆类型</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2类</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3类</w:t>
            </w:r>
          </w:p>
        </w:tc>
        <w:tc>
          <w:tcPr>
            <w:tcW w:w="3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4类</w:t>
            </w:r>
          </w:p>
        </w:tc>
        <w:tc>
          <w:tcPr>
            <w:tcW w:w="3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5类</w:t>
            </w:r>
          </w:p>
        </w:tc>
        <w:tc>
          <w:tcPr>
            <w:tcW w:w="3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6类</w:t>
            </w:r>
          </w:p>
        </w:tc>
        <w:tc>
          <w:tcPr>
            <w:tcW w:w="3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7类</w:t>
            </w:r>
          </w:p>
        </w:tc>
        <w:tc>
          <w:tcPr>
            <w:tcW w:w="3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8类</w:t>
            </w:r>
          </w:p>
        </w:tc>
        <w:tc>
          <w:tcPr>
            <w:tcW w:w="3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9类</w:t>
            </w:r>
          </w:p>
        </w:tc>
        <w:tc>
          <w:tcPr>
            <w:tcW w:w="434"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10类</w:t>
            </w:r>
          </w:p>
        </w:tc>
        <w:tc>
          <w:tcPr>
            <w:tcW w:w="434"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11类</w:t>
            </w:r>
          </w:p>
        </w:tc>
      </w:tr>
      <w:tr w:rsidR="008F2A6A" w:rsidRPr="008F2A6A" w:rsidTr="002D2991">
        <w:trPr>
          <w:trHeight w:hRule="exact" w:val="380"/>
          <w:jc w:val="center"/>
        </w:trPr>
        <w:tc>
          <w:tcPr>
            <w:tcW w:w="111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车型分布系数</w:t>
            </w:r>
            <w:r>
              <w:rPr>
                <w:rFonts w:ascii="宋体" w:eastAsia="宋体" w:hAnsi="宋体"/>
                <w:color w:val="000000"/>
                <w:sz w:val="20"/>
              </w:rPr>
              <w:t>(%)</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28.9</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43.9</w:t>
            </w:r>
          </w:p>
        </w:tc>
        <w:tc>
          <w:tcPr>
            <w:tcW w:w="3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5.5</w:t>
            </w:r>
          </w:p>
        </w:tc>
        <w:tc>
          <w:tcPr>
            <w:tcW w:w="3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0.0</w:t>
            </w:r>
          </w:p>
        </w:tc>
        <w:tc>
          <w:tcPr>
            <w:tcW w:w="3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9.4</w:t>
            </w:r>
          </w:p>
        </w:tc>
        <w:tc>
          <w:tcPr>
            <w:tcW w:w="3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2.0</w:t>
            </w:r>
          </w:p>
        </w:tc>
        <w:tc>
          <w:tcPr>
            <w:tcW w:w="3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4.6</w:t>
            </w:r>
          </w:p>
        </w:tc>
        <w:tc>
          <w:tcPr>
            <w:tcW w:w="3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3.4</w:t>
            </w:r>
          </w:p>
        </w:tc>
        <w:tc>
          <w:tcPr>
            <w:tcW w:w="434"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2.3</w:t>
            </w:r>
          </w:p>
        </w:tc>
        <w:tc>
          <w:tcPr>
            <w:tcW w:w="434"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0.1</w:t>
            </w:r>
          </w:p>
        </w:tc>
      </w:tr>
    </w:tbl>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根据路网相邻公路的车辆满载情况及历史数据的调查分析，得到各类车型非满载与满载比例，如表2所示。</w:t>
      </w:r>
    </w:p>
    <w:p w:rsidR="008F2A6A" w:rsidRDefault="008F2A6A" w:rsidP="008F2A6A">
      <w:pPr>
        <w:spacing w:line="360" w:lineRule="auto"/>
        <w:jc w:val="center"/>
        <w:rPr>
          <w:rFonts w:ascii="黑体" w:eastAsia="黑体" w:hAnsi="黑体"/>
          <w:color w:val="000000"/>
        </w:rPr>
      </w:pPr>
      <w:r w:rsidRPr="008F2A6A">
        <w:rPr>
          <w:rFonts w:ascii="黑体" w:eastAsia="黑体" w:hAnsi="黑体" w:hint="eastAsia"/>
          <w:color w:val="000000"/>
        </w:rPr>
        <w:t>表</w:t>
      </w:r>
      <w:r w:rsidRPr="008F2A6A">
        <w:rPr>
          <w:rFonts w:ascii="黑体" w:eastAsia="黑体" w:hAnsi="黑体"/>
          <w:color w:val="000000"/>
        </w:rPr>
        <w:t>2. 非满载车与满载车所占比例(%)</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572"/>
        <w:gridCol w:w="684"/>
        <w:gridCol w:w="684"/>
        <w:gridCol w:w="684"/>
        <w:gridCol w:w="684"/>
        <w:gridCol w:w="684"/>
        <w:gridCol w:w="684"/>
        <w:gridCol w:w="683"/>
        <w:gridCol w:w="683"/>
        <w:gridCol w:w="740"/>
        <w:gridCol w:w="740"/>
      </w:tblGrid>
      <w:tr w:rsidR="008F2A6A" w:rsidRPr="008F2A6A" w:rsidTr="002D2991">
        <w:trPr>
          <w:trHeight w:hRule="exact" w:val="380"/>
          <w:jc w:val="center"/>
        </w:trPr>
        <w:tc>
          <w:tcPr>
            <w:tcW w:w="92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车辆类型</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2类</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3类</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4类</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5类</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6类</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7类</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8类</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9类</w:t>
            </w:r>
          </w:p>
        </w:tc>
        <w:tc>
          <w:tcPr>
            <w:tcW w:w="434"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10类</w:t>
            </w:r>
          </w:p>
        </w:tc>
        <w:tc>
          <w:tcPr>
            <w:tcW w:w="434"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11类</w:t>
            </w:r>
          </w:p>
        </w:tc>
      </w:tr>
      <w:tr w:rsidR="008F2A6A" w:rsidRPr="008F2A6A" w:rsidTr="002D2991">
        <w:trPr>
          <w:trHeight w:hRule="exact" w:val="380"/>
          <w:jc w:val="center"/>
        </w:trPr>
        <w:tc>
          <w:tcPr>
            <w:tcW w:w="92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非满载车比例</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85.0</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90.0</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65.0</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75.0</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55.0</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70.0</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45.0</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60.0</w:t>
            </w:r>
          </w:p>
        </w:tc>
        <w:tc>
          <w:tcPr>
            <w:tcW w:w="434"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55.0</w:t>
            </w:r>
          </w:p>
        </w:tc>
        <w:tc>
          <w:tcPr>
            <w:tcW w:w="434"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65.0</w:t>
            </w:r>
          </w:p>
        </w:tc>
      </w:tr>
      <w:tr w:rsidR="008F2A6A" w:rsidRPr="008F2A6A" w:rsidTr="002D2991">
        <w:trPr>
          <w:trHeight w:hRule="exact" w:val="380"/>
          <w:jc w:val="center"/>
        </w:trPr>
        <w:tc>
          <w:tcPr>
            <w:tcW w:w="92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满载车比例</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15.0</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10.0</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35.0</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25.0</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45.0</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30.0</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55.0</w:t>
            </w:r>
          </w:p>
        </w:tc>
        <w:tc>
          <w:tcPr>
            <w:tcW w:w="40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40.0</w:t>
            </w:r>
          </w:p>
        </w:tc>
        <w:tc>
          <w:tcPr>
            <w:tcW w:w="434"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45.0</w:t>
            </w:r>
          </w:p>
        </w:tc>
        <w:tc>
          <w:tcPr>
            <w:tcW w:w="434"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35.0</w:t>
            </w:r>
          </w:p>
        </w:tc>
      </w:tr>
    </w:tbl>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根据表6.2.1，该设计路面对应的设计指标为沥青混合料层永久变形与无机结合料层疲劳开裂。根据附表A.3.1-3，可得到在不同设计指标下，各车型对应的非满载车和满载车当量设计轴载换算系数，如表3所示。</w:t>
      </w:r>
    </w:p>
    <w:p w:rsidR="008F2A6A" w:rsidRDefault="008F2A6A" w:rsidP="008F2A6A">
      <w:pPr>
        <w:spacing w:line="360" w:lineRule="auto"/>
        <w:jc w:val="center"/>
        <w:rPr>
          <w:rFonts w:ascii="黑体" w:eastAsia="黑体" w:hAnsi="黑体"/>
          <w:color w:val="000000"/>
        </w:rPr>
      </w:pPr>
      <w:r w:rsidRPr="008F2A6A">
        <w:rPr>
          <w:rFonts w:ascii="黑体" w:eastAsia="黑体" w:hAnsi="黑体" w:hint="eastAsia"/>
          <w:color w:val="000000"/>
        </w:rPr>
        <w:t>表</w:t>
      </w:r>
      <w:r w:rsidRPr="008F2A6A">
        <w:rPr>
          <w:rFonts w:ascii="黑体" w:eastAsia="黑体" w:hAnsi="黑体"/>
          <w:color w:val="000000"/>
        </w:rPr>
        <w:t>3. 非满载车与满载车当量设计轴载换算系数</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588"/>
        <w:gridCol w:w="1923"/>
        <w:gridCol w:w="1544"/>
        <w:gridCol w:w="1923"/>
        <w:gridCol w:w="1544"/>
      </w:tblGrid>
      <w:tr w:rsidR="008F2A6A" w:rsidRPr="008F2A6A" w:rsidTr="002D2991">
        <w:trPr>
          <w:trHeight w:hRule="exact" w:val="380"/>
          <w:jc w:val="center"/>
        </w:trPr>
        <w:tc>
          <w:tcPr>
            <w:tcW w:w="93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设计指标</w:t>
            </w:r>
          </w:p>
        </w:tc>
        <w:tc>
          <w:tcPr>
            <w:tcW w:w="2034" w:type="pct"/>
            <w:gridSpan w:val="2"/>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沥青混合料层永久变形</w:t>
            </w:r>
          </w:p>
        </w:tc>
        <w:tc>
          <w:tcPr>
            <w:tcW w:w="2034" w:type="pct"/>
            <w:gridSpan w:val="2"/>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无机结合料层疲劳开裂</w:t>
            </w:r>
          </w:p>
        </w:tc>
      </w:tr>
      <w:tr w:rsidR="008F2A6A" w:rsidRPr="008F2A6A" w:rsidTr="002D2991">
        <w:trPr>
          <w:trHeight w:hRule="exact" w:val="380"/>
          <w:jc w:val="center"/>
        </w:trPr>
        <w:tc>
          <w:tcPr>
            <w:tcW w:w="93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车辆类型</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非满载车</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满载车</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非满载车</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满载车</w:t>
            </w:r>
          </w:p>
        </w:tc>
      </w:tr>
      <w:tr w:rsidR="008F2A6A" w:rsidRPr="008F2A6A" w:rsidTr="002D2991">
        <w:trPr>
          <w:trHeight w:hRule="exact" w:val="380"/>
          <w:jc w:val="center"/>
        </w:trPr>
        <w:tc>
          <w:tcPr>
            <w:tcW w:w="93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2类</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0.8</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2.8</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0.5</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35.5</w:t>
            </w:r>
          </w:p>
        </w:tc>
      </w:tr>
      <w:tr w:rsidR="008F2A6A" w:rsidRPr="008F2A6A" w:rsidTr="002D2991">
        <w:trPr>
          <w:trHeight w:hRule="exact" w:val="380"/>
          <w:jc w:val="center"/>
        </w:trPr>
        <w:tc>
          <w:tcPr>
            <w:tcW w:w="93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3类</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0.4</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4.1</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1.3</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314.2</w:t>
            </w:r>
          </w:p>
        </w:tc>
      </w:tr>
      <w:tr w:rsidR="008F2A6A" w:rsidRPr="008F2A6A" w:rsidTr="002D2991">
        <w:trPr>
          <w:trHeight w:hRule="exact" w:val="380"/>
          <w:jc w:val="center"/>
        </w:trPr>
        <w:tc>
          <w:tcPr>
            <w:tcW w:w="93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4类</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0.7</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4.2</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0.3</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137.6</w:t>
            </w:r>
          </w:p>
        </w:tc>
      </w:tr>
      <w:tr w:rsidR="008F2A6A" w:rsidRPr="008F2A6A" w:rsidTr="002D2991">
        <w:trPr>
          <w:trHeight w:hRule="exact" w:val="380"/>
          <w:jc w:val="center"/>
        </w:trPr>
        <w:tc>
          <w:tcPr>
            <w:tcW w:w="93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5类</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0.6</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6.3</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0.6</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72.9</w:t>
            </w:r>
          </w:p>
        </w:tc>
      </w:tr>
      <w:tr w:rsidR="008F2A6A" w:rsidRPr="008F2A6A" w:rsidTr="002D2991">
        <w:trPr>
          <w:trHeight w:hRule="exact" w:val="380"/>
          <w:jc w:val="center"/>
        </w:trPr>
        <w:tc>
          <w:tcPr>
            <w:tcW w:w="93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6类</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1.3</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7.9</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10.2</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1505.7</w:t>
            </w:r>
          </w:p>
        </w:tc>
      </w:tr>
      <w:tr w:rsidR="008F2A6A" w:rsidRPr="008F2A6A" w:rsidTr="002D2991">
        <w:trPr>
          <w:trHeight w:hRule="exact" w:val="380"/>
          <w:jc w:val="center"/>
        </w:trPr>
        <w:tc>
          <w:tcPr>
            <w:tcW w:w="93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7类</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1.4</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6.0</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7.8</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553.0</w:t>
            </w:r>
          </w:p>
        </w:tc>
      </w:tr>
      <w:tr w:rsidR="008F2A6A" w:rsidRPr="008F2A6A" w:rsidTr="002D2991">
        <w:trPr>
          <w:trHeight w:hRule="exact" w:val="380"/>
          <w:jc w:val="center"/>
        </w:trPr>
        <w:tc>
          <w:tcPr>
            <w:tcW w:w="93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8类</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1.4</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6.7</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16.4</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713.5</w:t>
            </w:r>
          </w:p>
        </w:tc>
      </w:tr>
      <w:tr w:rsidR="008F2A6A" w:rsidRPr="008F2A6A" w:rsidTr="002D2991">
        <w:trPr>
          <w:trHeight w:hRule="exact" w:val="380"/>
          <w:jc w:val="center"/>
        </w:trPr>
        <w:tc>
          <w:tcPr>
            <w:tcW w:w="93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9类</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1.5</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5.1</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0.7</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204.3</w:t>
            </w:r>
          </w:p>
        </w:tc>
      </w:tr>
      <w:tr w:rsidR="008F2A6A" w:rsidRPr="008F2A6A" w:rsidTr="002D2991">
        <w:trPr>
          <w:trHeight w:hRule="exact" w:val="380"/>
          <w:jc w:val="center"/>
        </w:trPr>
        <w:tc>
          <w:tcPr>
            <w:tcW w:w="93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10类</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2.4</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7.0</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37.8</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426.8</w:t>
            </w:r>
          </w:p>
        </w:tc>
      </w:tr>
      <w:tr w:rsidR="008F2A6A" w:rsidRPr="008F2A6A" w:rsidTr="002D2991">
        <w:trPr>
          <w:trHeight w:hRule="exact" w:val="380"/>
          <w:jc w:val="center"/>
        </w:trPr>
        <w:tc>
          <w:tcPr>
            <w:tcW w:w="93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lastRenderedPageBreak/>
              <w:t>11类</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1.5</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12.1</w:t>
            </w:r>
          </w:p>
        </w:tc>
        <w:tc>
          <w:tcPr>
            <w:tcW w:w="112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2.5</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985.4</w:t>
            </w:r>
          </w:p>
        </w:tc>
      </w:tr>
    </w:tbl>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根据公式（A.4.2）计算得到对应于沥青混合料层永久变形的当量设计轴载累计作用次数为8,109,551, 对应于无机结合料层疲劳开裂的当量设计轴载累计作用次数为562,339,245。 本公路设计使用年限内设计车道累计大型客车和货车交通量为4,989,710，交通等级属于中等交通。</w:t>
      </w:r>
    </w:p>
    <w:p w:rsidR="008F2A6A" w:rsidRDefault="008F2A6A" w:rsidP="008F2A6A">
      <w:pPr>
        <w:spacing w:line="360" w:lineRule="auto"/>
        <w:jc w:val="left"/>
        <w:rPr>
          <w:rFonts w:ascii="黑体" w:eastAsia="黑体" w:hAnsi="黑体"/>
          <w:color w:val="000000"/>
          <w:sz w:val="24"/>
        </w:rPr>
      </w:pPr>
      <w:bookmarkStart w:id="0" w:name="_GoBack"/>
      <w:bookmarkEnd w:id="0"/>
      <w:r w:rsidRPr="008F2A6A">
        <w:rPr>
          <w:rFonts w:ascii="黑体" w:eastAsia="黑体" w:hAnsi="黑体"/>
          <w:color w:val="000000"/>
          <w:sz w:val="24"/>
        </w:rPr>
        <w:t>2. 初拟路面结构方案</w:t>
      </w:r>
    </w:p>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初拟路面结构如表4所示。</w:t>
      </w:r>
    </w:p>
    <w:p w:rsidR="008F2A6A" w:rsidRDefault="008F2A6A" w:rsidP="008F2A6A">
      <w:pPr>
        <w:spacing w:line="360" w:lineRule="auto"/>
        <w:jc w:val="center"/>
        <w:rPr>
          <w:rFonts w:ascii="黑体" w:eastAsia="黑体" w:hAnsi="黑体"/>
          <w:color w:val="000000"/>
        </w:rPr>
      </w:pPr>
      <w:r w:rsidRPr="008F2A6A">
        <w:rPr>
          <w:rFonts w:ascii="黑体" w:eastAsia="黑体" w:hAnsi="黑体" w:hint="eastAsia"/>
          <w:color w:val="000000"/>
        </w:rPr>
        <w:t>表</w:t>
      </w:r>
      <w:r w:rsidRPr="008F2A6A">
        <w:rPr>
          <w:rFonts w:ascii="黑体" w:eastAsia="黑体" w:hAnsi="黑体"/>
          <w:color w:val="000000"/>
        </w:rPr>
        <w:t>4. 初拟路面结构</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81"/>
        <w:gridCol w:w="994"/>
        <w:gridCol w:w="2456"/>
        <w:gridCol w:w="1237"/>
        <w:gridCol w:w="1360"/>
        <w:gridCol w:w="994"/>
      </w:tblGrid>
      <w:tr w:rsidR="008F2A6A" w:rsidRPr="008F2A6A" w:rsidTr="002D2991">
        <w:trPr>
          <w:trHeight w:hRule="exact" w:val="380"/>
          <w:jc w:val="center"/>
        </w:trPr>
        <w:tc>
          <w:tcPr>
            <w:tcW w:w="8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结构层编号</w:t>
            </w:r>
          </w:p>
        </w:tc>
        <w:tc>
          <w:tcPr>
            <w:tcW w:w="583"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层位</w:t>
            </w:r>
          </w:p>
        </w:tc>
        <w:tc>
          <w:tcPr>
            <w:tcW w:w="144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材料类型</w:t>
            </w:r>
          </w:p>
        </w:tc>
        <w:tc>
          <w:tcPr>
            <w:tcW w:w="72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厚度</w:t>
            </w:r>
            <w:r>
              <w:rPr>
                <w:rFonts w:ascii="宋体" w:eastAsia="宋体" w:hAnsi="宋体"/>
                <w:color w:val="000000"/>
                <w:sz w:val="20"/>
              </w:rPr>
              <w:t>(mm)</w:t>
            </w:r>
          </w:p>
        </w:tc>
        <w:tc>
          <w:tcPr>
            <w:tcW w:w="79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模量</w:t>
            </w:r>
            <w:r>
              <w:rPr>
                <w:rFonts w:ascii="宋体" w:eastAsia="宋体" w:hAnsi="宋体"/>
                <w:color w:val="000000"/>
                <w:sz w:val="20"/>
              </w:rPr>
              <w:t>(MPa)</w:t>
            </w:r>
          </w:p>
        </w:tc>
        <w:tc>
          <w:tcPr>
            <w:tcW w:w="583"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泊松比</w:t>
            </w:r>
          </w:p>
        </w:tc>
      </w:tr>
      <w:tr w:rsidR="008F2A6A" w:rsidRPr="008F2A6A" w:rsidTr="002D2991">
        <w:trPr>
          <w:trHeight w:hRule="exact" w:val="380"/>
          <w:jc w:val="center"/>
        </w:trPr>
        <w:tc>
          <w:tcPr>
            <w:tcW w:w="8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w:t>
            </w:r>
          </w:p>
        </w:tc>
        <w:tc>
          <w:tcPr>
            <w:tcW w:w="583"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上面层</w:t>
            </w:r>
          </w:p>
        </w:tc>
        <w:tc>
          <w:tcPr>
            <w:tcW w:w="144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沥青混合料</w:t>
            </w:r>
          </w:p>
        </w:tc>
        <w:tc>
          <w:tcPr>
            <w:tcW w:w="72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40.0</w:t>
            </w:r>
          </w:p>
        </w:tc>
        <w:tc>
          <w:tcPr>
            <w:tcW w:w="79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12000</w:t>
            </w:r>
          </w:p>
        </w:tc>
        <w:tc>
          <w:tcPr>
            <w:tcW w:w="583"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0.25</w:t>
            </w:r>
          </w:p>
        </w:tc>
      </w:tr>
      <w:tr w:rsidR="008F2A6A" w:rsidRPr="008F2A6A" w:rsidTr="002D2991">
        <w:trPr>
          <w:trHeight w:hRule="exact" w:val="380"/>
          <w:jc w:val="center"/>
        </w:trPr>
        <w:tc>
          <w:tcPr>
            <w:tcW w:w="8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w:t>
            </w:r>
          </w:p>
        </w:tc>
        <w:tc>
          <w:tcPr>
            <w:tcW w:w="583"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下面层</w:t>
            </w:r>
          </w:p>
        </w:tc>
        <w:tc>
          <w:tcPr>
            <w:tcW w:w="144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沥青混合料</w:t>
            </w:r>
          </w:p>
        </w:tc>
        <w:tc>
          <w:tcPr>
            <w:tcW w:w="72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50.0</w:t>
            </w:r>
          </w:p>
        </w:tc>
        <w:tc>
          <w:tcPr>
            <w:tcW w:w="79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13500</w:t>
            </w:r>
          </w:p>
        </w:tc>
        <w:tc>
          <w:tcPr>
            <w:tcW w:w="583"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0.25</w:t>
            </w:r>
          </w:p>
        </w:tc>
      </w:tr>
      <w:tr w:rsidR="008F2A6A" w:rsidRPr="008F2A6A" w:rsidTr="002D2991">
        <w:trPr>
          <w:trHeight w:hRule="exact" w:val="380"/>
          <w:jc w:val="center"/>
        </w:trPr>
        <w:tc>
          <w:tcPr>
            <w:tcW w:w="8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w:t>
            </w:r>
          </w:p>
        </w:tc>
        <w:tc>
          <w:tcPr>
            <w:tcW w:w="583"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基层</w:t>
            </w:r>
          </w:p>
        </w:tc>
        <w:tc>
          <w:tcPr>
            <w:tcW w:w="144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无机结合料稳定材料</w:t>
            </w:r>
          </w:p>
        </w:tc>
        <w:tc>
          <w:tcPr>
            <w:tcW w:w="72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300.0</w:t>
            </w:r>
          </w:p>
        </w:tc>
        <w:tc>
          <w:tcPr>
            <w:tcW w:w="79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18000</w:t>
            </w:r>
          </w:p>
        </w:tc>
        <w:tc>
          <w:tcPr>
            <w:tcW w:w="583"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0.25</w:t>
            </w:r>
          </w:p>
        </w:tc>
      </w:tr>
      <w:tr w:rsidR="008F2A6A" w:rsidRPr="008F2A6A" w:rsidTr="002D2991">
        <w:trPr>
          <w:trHeight w:hRule="exact" w:val="380"/>
          <w:jc w:val="center"/>
        </w:trPr>
        <w:tc>
          <w:tcPr>
            <w:tcW w:w="8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w:t>
            </w:r>
          </w:p>
        </w:tc>
        <w:tc>
          <w:tcPr>
            <w:tcW w:w="583"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底基层</w:t>
            </w:r>
          </w:p>
        </w:tc>
        <w:tc>
          <w:tcPr>
            <w:tcW w:w="144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粒料材料</w:t>
            </w:r>
          </w:p>
        </w:tc>
        <w:tc>
          <w:tcPr>
            <w:tcW w:w="72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200.0</w:t>
            </w:r>
          </w:p>
        </w:tc>
        <w:tc>
          <w:tcPr>
            <w:tcW w:w="79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400</w:t>
            </w:r>
          </w:p>
        </w:tc>
        <w:tc>
          <w:tcPr>
            <w:tcW w:w="583"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0.35</w:t>
            </w:r>
          </w:p>
        </w:tc>
      </w:tr>
      <w:tr w:rsidR="008F2A6A" w:rsidRPr="008F2A6A" w:rsidTr="002D2991">
        <w:trPr>
          <w:trHeight w:hRule="exact" w:val="380"/>
          <w:jc w:val="center"/>
        </w:trPr>
        <w:tc>
          <w:tcPr>
            <w:tcW w:w="86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w:t>
            </w:r>
          </w:p>
        </w:tc>
        <w:tc>
          <w:tcPr>
            <w:tcW w:w="583" w:type="pct"/>
            <w:shd w:val="clear" w:color="auto" w:fill="auto"/>
          </w:tcPr>
          <w:p w:rsidR="008F2A6A" w:rsidRPr="008F2A6A" w:rsidRDefault="008F2A6A" w:rsidP="008F2A6A">
            <w:pPr>
              <w:spacing w:line="360" w:lineRule="auto"/>
              <w:jc w:val="center"/>
              <w:rPr>
                <w:rFonts w:ascii="宋体" w:eastAsia="宋体" w:hAnsi="宋体"/>
                <w:color w:val="000000"/>
                <w:sz w:val="20"/>
              </w:rPr>
            </w:pPr>
          </w:p>
        </w:tc>
        <w:tc>
          <w:tcPr>
            <w:tcW w:w="144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土基</w:t>
            </w:r>
          </w:p>
        </w:tc>
        <w:tc>
          <w:tcPr>
            <w:tcW w:w="726" w:type="pct"/>
            <w:shd w:val="clear" w:color="auto" w:fill="auto"/>
          </w:tcPr>
          <w:p w:rsidR="008F2A6A" w:rsidRPr="008F2A6A" w:rsidRDefault="008F2A6A" w:rsidP="008F2A6A">
            <w:pPr>
              <w:spacing w:line="360" w:lineRule="auto"/>
              <w:jc w:val="center"/>
              <w:rPr>
                <w:rFonts w:ascii="宋体" w:eastAsia="宋体" w:hAnsi="宋体"/>
                <w:color w:val="000000"/>
                <w:sz w:val="20"/>
              </w:rPr>
            </w:pPr>
          </w:p>
        </w:tc>
        <w:tc>
          <w:tcPr>
            <w:tcW w:w="79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50</w:t>
            </w:r>
          </w:p>
        </w:tc>
        <w:tc>
          <w:tcPr>
            <w:tcW w:w="583"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0.40</w:t>
            </w:r>
          </w:p>
        </w:tc>
      </w:tr>
    </w:tbl>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路基标准状态下回弹模量取50MPa,回弹模量湿度调整系数Ks取1.00,干湿与冻融循环作用折减系数Kη取1.00,则经过湿度调整和干湿与冻融循环作用折减的路基顶面回弹模量为50MPa。</w:t>
      </w:r>
    </w:p>
    <w:p w:rsidR="008F2A6A" w:rsidRDefault="008F2A6A" w:rsidP="008F2A6A">
      <w:pPr>
        <w:spacing w:line="360" w:lineRule="auto"/>
        <w:rPr>
          <w:rFonts w:ascii="楷体" w:eastAsia="楷体" w:hAnsi="楷体"/>
          <w:color w:val="000000"/>
          <w:sz w:val="24"/>
        </w:rPr>
      </w:pPr>
    </w:p>
    <w:p w:rsidR="008F2A6A" w:rsidRDefault="008F2A6A" w:rsidP="008F2A6A">
      <w:pPr>
        <w:spacing w:line="360" w:lineRule="auto"/>
        <w:jc w:val="left"/>
        <w:rPr>
          <w:rFonts w:ascii="黑体" w:eastAsia="黑体" w:hAnsi="黑体"/>
          <w:color w:val="000000"/>
          <w:sz w:val="24"/>
        </w:rPr>
      </w:pPr>
      <w:r w:rsidRPr="008F2A6A">
        <w:rPr>
          <w:rFonts w:ascii="黑体" w:eastAsia="黑体" w:hAnsi="黑体"/>
          <w:color w:val="000000"/>
          <w:sz w:val="24"/>
        </w:rPr>
        <w:t>3. 路面结构验算</w:t>
      </w:r>
    </w:p>
    <w:p w:rsidR="008F2A6A" w:rsidRDefault="008F2A6A" w:rsidP="008F2A6A">
      <w:pPr>
        <w:spacing w:line="360" w:lineRule="auto"/>
        <w:jc w:val="left"/>
        <w:rPr>
          <w:rFonts w:ascii="黑体" w:eastAsia="黑体" w:hAnsi="黑体"/>
          <w:color w:val="000000"/>
          <w:sz w:val="22"/>
        </w:rPr>
      </w:pPr>
      <w:r w:rsidRPr="008F2A6A">
        <w:rPr>
          <w:rFonts w:ascii="黑体" w:eastAsia="黑体" w:hAnsi="黑体"/>
          <w:color w:val="000000"/>
          <w:sz w:val="22"/>
        </w:rPr>
        <w:t>3.1 沥青混合料层永久变形验算</w:t>
      </w:r>
    </w:p>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根据表G.1.2，基准等效温度Tξ为20.1℃，由式（G.2.1）计算得到沥青混合料层永久变形等效温度为21.5℃。可靠度系数为1.04。</w:t>
      </w:r>
    </w:p>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根据B.3.1条规定的分层方法，将沥青混合料层分为6个分层,各分层厚度（hi）如表5所示。利用弹性层状体系理论，分别计算设计荷载作用下各分层顶部的竖向压应力（Pi）。根据式（B.3.2-3）和式（B.3.2-4），计算得到d1=-8.23，d2=0.77。把d1和d2的计算结果带入式（B.3.2-2），可得到各分层的永久变形修正系数(kRi)，并进而利用式（B.3.2-1）计算各分层永久变形量(Rai)。各计算结果汇总于表5中。</w:t>
      </w:r>
    </w:p>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各层永久变形累加得到沥青混合料层总永久变形量Ra=19.2(mm)，根据表3.0.6-1，沥青层容许永久变形为20.0(mm)，拟定的路面结构满足要求。</w:t>
      </w:r>
    </w:p>
    <w:p w:rsidR="008F2A6A" w:rsidRDefault="008F2A6A" w:rsidP="008F2A6A">
      <w:pPr>
        <w:spacing w:line="360" w:lineRule="auto"/>
        <w:jc w:val="center"/>
        <w:rPr>
          <w:rFonts w:ascii="黑体" w:eastAsia="黑体" w:hAnsi="黑体"/>
          <w:color w:val="000000"/>
        </w:rPr>
      </w:pPr>
      <w:r w:rsidRPr="008F2A6A">
        <w:rPr>
          <w:rFonts w:ascii="黑体" w:eastAsia="黑体" w:hAnsi="黑体" w:hint="eastAsia"/>
          <w:color w:val="000000"/>
        </w:rPr>
        <w:t>表</w:t>
      </w:r>
      <w:r w:rsidRPr="008F2A6A">
        <w:rPr>
          <w:rFonts w:ascii="黑体" w:eastAsia="黑体" w:hAnsi="黑体"/>
          <w:color w:val="000000"/>
        </w:rPr>
        <w:t>5. 沥青层永久变形计算结果</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224"/>
        <w:gridCol w:w="1704"/>
        <w:gridCol w:w="1825"/>
        <w:gridCol w:w="2066"/>
        <w:gridCol w:w="1703"/>
      </w:tblGrid>
      <w:tr w:rsidR="008F2A6A" w:rsidRPr="008F2A6A" w:rsidTr="002D2991">
        <w:trPr>
          <w:trHeight w:hRule="exact" w:val="380"/>
          <w:jc w:val="center"/>
        </w:trPr>
        <w:tc>
          <w:tcPr>
            <w:tcW w:w="71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lastRenderedPageBreak/>
              <w:t>分层编号</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分层厚度</w:t>
            </w:r>
            <w:r>
              <w:rPr>
                <w:rFonts w:ascii="宋体" w:eastAsia="宋体" w:hAnsi="宋体"/>
                <w:color w:val="000000"/>
                <w:sz w:val="20"/>
              </w:rPr>
              <w:t>(mm)</w:t>
            </w:r>
          </w:p>
        </w:tc>
        <w:tc>
          <w:tcPr>
            <w:tcW w:w="107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竖向压力</w:t>
            </w:r>
            <w:r>
              <w:rPr>
                <w:rFonts w:ascii="宋体" w:eastAsia="宋体" w:hAnsi="宋体"/>
                <w:color w:val="000000"/>
                <w:sz w:val="20"/>
              </w:rPr>
              <w:t>(MPa)</w:t>
            </w:r>
          </w:p>
        </w:tc>
        <w:tc>
          <w:tcPr>
            <w:tcW w:w="121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修正系数（</w:t>
            </w:r>
            <w:r>
              <w:rPr>
                <w:rFonts w:ascii="宋体" w:eastAsia="宋体" w:hAnsi="宋体"/>
                <w:color w:val="000000"/>
                <w:sz w:val="20"/>
              </w:rPr>
              <w:t>kRi）</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永久变形</w:t>
            </w:r>
            <w:r>
              <w:rPr>
                <w:rFonts w:ascii="宋体" w:eastAsia="宋体" w:hAnsi="宋体"/>
                <w:color w:val="000000"/>
                <w:sz w:val="20"/>
              </w:rPr>
              <w:t>(mm)</w:t>
            </w:r>
          </w:p>
        </w:tc>
      </w:tr>
      <w:tr w:rsidR="008F2A6A" w:rsidRPr="008F2A6A" w:rsidTr="002D2991">
        <w:trPr>
          <w:trHeight w:hRule="exact" w:val="380"/>
          <w:jc w:val="center"/>
        </w:trPr>
        <w:tc>
          <w:tcPr>
            <w:tcW w:w="71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10.0</w:t>
            </w:r>
          </w:p>
        </w:tc>
        <w:tc>
          <w:tcPr>
            <w:tcW w:w="107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0.70</w:t>
            </w:r>
          </w:p>
        </w:tc>
        <w:tc>
          <w:tcPr>
            <w:tcW w:w="121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2.23</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0.9</w:t>
            </w:r>
          </w:p>
        </w:tc>
      </w:tr>
      <w:tr w:rsidR="008F2A6A" w:rsidRPr="008F2A6A" w:rsidTr="002D2991">
        <w:trPr>
          <w:trHeight w:hRule="exact" w:val="380"/>
          <w:jc w:val="center"/>
        </w:trPr>
        <w:tc>
          <w:tcPr>
            <w:tcW w:w="71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15.0</w:t>
            </w:r>
          </w:p>
        </w:tc>
        <w:tc>
          <w:tcPr>
            <w:tcW w:w="107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0.70</w:t>
            </w:r>
          </w:p>
        </w:tc>
        <w:tc>
          <w:tcPr>
            <w:tcW w:w="121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3.28</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2.0</w:t>
            </w:r>
          </w:p>
        </w:tc>
      </w:tr>
      <w:tr w:rsidR="008F2A6A" w:rsidRPr="008F2A6A" w:rsidTr="002D2991">
        <w:trPr>
          <w:trHeight w:hRule="exact" w:val="380"/>
          <w:jc w:val="center"/>
        </w:trPr>
        <w:tc>
          <w:tcPr>
            <w:tcW w:w="71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15.0</w:t>
            </w:r>
          </w:p>
        </w:tc>
        <w:tc>
          <w:tcPr>
            <w:tcW w:w="107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0.70</w:t>
            </w:r>
          </w:p>
        </w:tc>
        <w:tc>
          <w:tcPr>
            <w:tcW w:w="121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6.95</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4.2</w:t>
            </w:r>
          </w:p>
        </w:tc>
      </w:tr>
      <w:tr w:rsidR="008F2A6A" w:rsidRPr="008F2A6A" w:rsidTr="002D2991">
        <w:trPr>
          <w:trHeight w:hRule="exact" w:val="380"/>
          <w:jc w:val="center"/>
        </w:trPr>
        <w:tc>
          <w:tcPr>
            <w:tcW w:w="71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4</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10.0</w:t>
            </w:r>
          </w:p>
        </w:tc>
        <w:tc>
          <w:tcPr>
            <w:tcW w:w="107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0.68</w:t>
            </w:r>
          </w:p>
        </w:tc>
        <w:tc>
          <w:tcPr>
            <w:tcW w:w="121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7.77</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3.0</w:t>
            </w:r>
          </w:p>
        </w:tc>
      </w:tr>
      <w:tr w:rsidR="008F2A6A" w:rsidRPr="008F2A6A" w:rsidTr="002D2991">
        <w:trPr>
          <w:trHeight w:hRule="exact" w:val="380"/>
          <w:jc w:val="center"/>
        </w:trPr>
        <w:tc>
          <w:tcPr>
            <w:tcW w:w="71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20.0</w:t>
            </w:r>
          </w:p>
        </w:tc>
        <w:tc>
          <w:tcPr>
            <w:tcW w:w="107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0.66</w:t>
            </w:r>
          </w:p>
        </w:tc>
        <w:tc>
          <w:tcPr>
            <w:tcW w:w="121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7.42</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5.4</w:t>
            </w:r>
          </w:p>
        </w:tc>
      </w:tr>
      <w:tr w:rsidR="008F2A6A" w:rsidRPr="008F2A6A" w:rsidTr="002D2991">
        <w:trPr>
          <w:trHeight w:hRule="exact" w:val="380"/>
          <w:jc w:val="center"/>
        </w:trPr>
        <w:tc>
          <w:tcPr>
            <w:tcW w:w="71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6</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20.0</w:t>
            </w:r>
          </w:p>
        </w:tc>
        <w:tc>
          <w:tcPr>
            <w:tcW w:w="1071"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0.60</w:t>
            </w:r>
          </w:p>
        </w:tc>
        <w:tc>
          <w:tcPr>
            <w:tcW w:w="1212"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6.04</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3.7</w:t>
            </w:r>
          </w:p>
        </w:tc>
      </w:tr>
      <w:tr w:rsidR="008F2A6A" w:rsidRPr="008F2A6A" w:rsidTr="002D2991">
        <w:trPr>
          <w:trHeight w:hRule="exact" w:val="380"/>
          <w:jc w:val="center"/>
        </w:trPr>
        <w:tc>
          <w:tcPr>
            <w:tcW w:w="718"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总计</w:t>
            </w: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p>
        </w:tc>
        <w:tc>
          <w:tcPr>
            <w:tcW w:w="1071" w:type="pct"/>
            <w:shd w:val="clear" w:color="auto" w:fill="auto"/>
          </w:tcPr>
          <w:p w:rsidR="008F2A6A" w:rsidRPr="008F2A6A" w:rsidRDefault="008F2A6A" w:rsidP="008F2A6A">
            <w:pPr>
              <w:spacing w:line="360" w:lineRule="auto"/>
              <w:jc w:val="center"/>
              <w:rPr>
                <w:rFonts w:ascii="宋体" w:eastAsia="宋体" w:hAnsi="宋体"/>
                <w:color w:val="000000"/>
                <w:sz w:val="20"/>
              </w:rPr>
            </w:pPr>
          </w:p>
        </w:tc>
        <w:tc>
          <w:tcPr>
            <w:tcW w:w="1212" w:type="pct"/>
            <w:shd w:val="clear" w:color="auto" w:fill="auto"/>
          </w:tcPr>
          <w:p w:rsidR="008F2A6A" w:rsidRPr="008F2A6A" w:rsidRDefault="008F2A6A" w:rsidP="008F2A6A">
            <w:pPr>
              <w:spacing w:line="360" w:lineRule="auto"/>
              <w:jc w:val="center"/>
              <w:rPr>
                <w:rFonts w:ascii="宋体" w:eastAsia="宋体" w:hAnsi="宋体"/>
                <w:color w:val="000000"/>
                <w:sz w:val="20"/>
              </w:rPr>
            </w:pPr>
          </w:p>
        </w:tc>
        <w:tc>
          <w:tcPr>
            <w:tcW w:w="1000"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19.2</w:t>
            </w:r>
          </w:p>
        </w:tc>
      </w:tr>
    </w:tbl>
    <w:p w:rsidR="008F2A6A" w:rsidRDefault="008F2A6A" w:rsidP="008F2A6A">
      <w:pPr>
        <w:spacing w:line="360" w:lineRule="auto"/>
        <w:jc w:val="left"/>
        <w:rPr>
          <w:rFonts w:ascii="黑体" w:eastAsia="黑体" w:hAnsi="黑体"/>
          <w:color w:val="000000"/>
          <w:sz w:val="22"/>
        </w:rPr>
      </w:pPr>
      <w:r w:rsidRPr="008F2A6A">
        <w:rPr>
          <w:rFonts w:ascii="黑体" w:eastAsia="黑体" w:hAnsi="黑体"/>
          <w:color w:val="000000"/>
          <w:sz w:val="22"/>
        </w:rPr>
        <w:t>3.2 无机结合料层疲劳开裂验算</w:t>
      </w:r>
    </w:p>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根据弹性层状体系理论，计算得到无机结合料层层底拉应力为0.480MPa。根据气象资料，工程所在地区冻结指数F为50.0℃</w:t>
      </w:r>
      <w:r w:rsidRPr="008F2A6A">
        <w:rPr>
          <w:rFonts w:ascii="宋体" w:eastAsia="宋体" w:hAnsi="宋体" w:cs="宋体" w:hint="eastAsia"/>
          <w:color w:val="000000"/>
          <w:sz w:val="24"/>
        </w:rPr>
        <w:t>•</w:t>
      </w:r>
      <w:r w:rsidRPr="008F2A6A">
        <w:rPr>
          <w:rFonts w:ascii="楷体" w:eastAsia="楷体" w:hAnsi="楷体"/>
          <w:color w:val="000000"/>
          <w:sz w:val="24"/>
        </w:rPr>
        <w:t>日，按照表B.1.1，季节性冻土地区调整系数ka取1.00。根据式（B.2.1-2），现场综合修正系数为-0.747</w:t>
      </w:r>
    </w:p>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根据工程所在地区，查表G.1.2得到基准路面结构温度调整系数为1.31，根据初拟路面结构和路面结构层材料参数，按式（G.1.3-1）计算得到温度调整系数kT2为1.15。由表B.2.1-1，对于无机结合料稳定粒料，疲劳开裂模型参数a=13.24，b=12.52。弯拉强度为2.0MPa。</w:t>
      </w:r>
    </w:p>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根据以上参数，按式（B.2.1-1）计算得到无机结合料层底疲劳寿命为678,769,556。</w:t>
      </w:r>
    </w:p>
    <w:p w:rsidR="008F2A6A" w:rsidRDefault="008F2A6A" w:rsidP="008F2A6A">
      <w:pPr>
        <w:spacing w:line="360" w:lineRule="auto"/>
        <w:rPr>
          <w:rFonts w:ascii="楷体" w:eastAsia="楷体" w:hAnsi="楷体"/>
          <w:color w:val="000000"/>
          <w:sz w:val="24"/>
        </w:rPr>
      </w:pPr>
    </w:p>
    <w:p w:rsidR="008F2A6A" w:rsidRDefault="008F2A6A" w:rsidP="008F2A6A">
      <w:pPr>
        <w:spacing w:line="360" w:lineRule="auto"/>
        <w:jc w:val="left"/>
        <w:rPr>
          <w:rFonts w:ascii="黑体" w:eastAsia="黑体" w:hAnsi="黑体"/>
          <w:color w:val="000000"/>
          <w:sz w:val="22"/>
        </w:rPr>
      </w:pPr>
      <w:r w:rsidRPr="008F2A6A">
        <w:rPr>
          <w:rFonts w:ascii="黑体" w:eastAsia="黑体" w:hAnsi="黑体"/>
          <w:color w:val="000000"/>
          <w:sz w:val="22"/>
        </w:rPr>
        <w:t>3.3 贯入强度验算</w:t>
      </w:r>
    </w:p>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公路所在地区月平均气温大于0℃的月份数为11个月，由此得到对应于贯入强度验算的设计车道累计设计轴载作用次数Ne5为7,433,755。所在地区月平均气温大于0℃的各月份气温平均值为20.0℃。根据公路等级，参照表3.0.6-1，得到沥青混合料层容许永久变形量为20.0mm。路面结构系数根据式（5.5.8-2）计算为0.91，沥青混合料层的综合贯入强度由式（5.5.8-3）确定为0.55MPa，根据式（5.5.8-1）,得到沥青混合料层的贯入强度要求值为0.49，所以，拟定的路面结构和材料满足贯入强</w:t>
      </w:r>
      <w:r w:rsidRPr="008F2A6A">
        <w:rPr>
          <w:rFonts w:ascii="楷体" w:eastAsia="楷体" w:hAnsi="楷体" w:hint="eastAsia"/>
          <w:color w:val="000000"/>
          <w:sz w:val="24"/>
        </w:rPr>
        <w:t>度要求。</w:t>
      </w:r>
    </w:p>
    <w:p w:rsidR="008F2A6A" w:rsidRDefault="008F2A6A" w:rsidP="008F2A6A">
      <w:pPr>
        <w:spacing w:line="360" w:lineRule="auto"/>
        <w:rPr>
          <w:rFonts w:ascii="楷体" w:eastAsia="楷体" w:hAnsi="楷体"/>
          <w:color w:val="000000"/>
          <w:sz w:val="24"/>
        </w:rPr>
      </w:pPr>
    </w:p>
    <w:p w:rsidR="008F2A6A" w:rsidRDefault="008F2A6A" w:rsidP="008F2A6A">
      <w:pPr>
        <w:spacing w:line="360" w:lineRule="auto"/>
        <w:jc w:val="left"/>
        <w:rPr>
          <w:rFonts w:ascii="黑体" w:eastAsia="黑体" w:hAnsi="黑体"/>
          <w:color w:val="000000"/>
          <w:sz w:val="24"/>
        </w:rPr>
      </w:pPr>
      <w:r w:rsidRPr="008F2A6A">
        <w:rPr>
          <w:rFonts w:ascii="黑体" w:eastAsia="黑体" w:hAnsi="黑体"/>
          <w:color w:val="000000"/>
          <w:sz w:val="24"/>
        </w:rPr>
        <w:t>4. 路基顶面和路表验收弯沉值</w:t>
      </w:r>
    </w:p>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根据附录B.7节，确定路基顶面和路表验收弯沉值时，采用落锤式弯沉仪，荷载盘半径为150mm，荷载为50kN。</w:t>
      </w:r>
    </w:p>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lastRenderedPageBreak/>
        <w:t xml:space="preserve">    路基标准状态下回弹模量取50MPa,回弹模量湿度调整系数Ks取1.00,则平衡湿度状态下的回弹模量为50MPa，采用公式（B.7.1）计算得到路基顶面验收弯沉值为373.5（0.01mm）。</w:t>
      </w:r>
    </w:p>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采用拟定的路面结构以及各层结构模量值，路基顶面回弹模量采用平衡湿度状态下的回弹模型乘以模量调整系数kl(kl=0.5)，为25MPa，根据弹性层状体系理论计算得到路表验收弯沉值la为35.2（0.01mm）。</w:t>
      </w:r>
    </w:p>
    <w:p w:rsidR="008F2A6A" w:rsidRDefault="008F2A6A" w:rsidP="008F2A6A">
      <w:pPr>
        <w:spacing w:line="360" w:lineRule="auto"/>
        <w:rPr>
          <w:rFonts w:ascii="楷体" w:eastAsia="楷体" w:hAnsi="楷体"/>
          <w:color w:val="000000"/>
          <w:sz w:val="24"/>
        </w:rPr>
      </w:pPr>
    </w:p>
    <w:p w:rsidR="008F2A6A" w:rsidRDefault="008F2A6A" w:rsidP="008F2A6A">
      <w:pPr>
        <w:spacing w:line="360" w:lineRule="auto"/>
        <w:jc w:val="left"/>
        <w:rPr>
          <w:rFonts w:ascii="黑体" w:eastAsia="黑体" w:hAnsi="黑体"/>
          <w:color w:val="000000"/>
          <w:sz w:val="24"/>
        </w:rPr>
      </w:pPr>
      <w:r w:rsidRPr="008F2A6A">
        <w:rPr>
          <w:rFonts w:ascii="黑体" w:eastAsia="黑体" w:hAnsi="黑体"/>
          <w:color w:val="000000"/>
          <w:sz w:val="24"/>
        </w:rPr>
        <w:t>5. 结果汇总</w:t>
      </w:r>
    </w:p>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各项验算结果汇总如下表所示：</w:t>
      </w:r>
    </w:p>
    <w:p w:rsidR="008F2A6A" w:rsidRDefault="008F2A6A" w:rsidP="008F2A6A">
      <w:pPr>
        <w:spacing w:line="360" w:lineRule="auto"/>
        <w:jc w:val="center"/>
        <w:rPr>
          <w:rFonts w:ascii="黑体" w:eastAsia="黑体" w:hAnsi="黑体"/>
          <w:color w:val="000000"/>
        </w:rPr>
      </w:pPr>
      <w:r w:rsidRPr="008F2A6A">
        <w:rPr>
          <w:rFonts w:ascii="黑体" w:eastAsia="黑体" w:hAnsi="黑体" w:hint="eastAsia"/>
          <w:color w:val="000000"/>
        </w:rPr>
        <w:t>表</w:t>
      </w:r>
      <w:r w:rsidRPr="008F2A6A">
        <w:rPr>
          <w:rFonts w:ascii="黑体" w:eastAsia="黑体" w:hAnsi="黑体"/>
          <w:color w:val="000000"/>
        </w:rPr>
        <w:t>6. 分析结果汇总</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243"/>
        <w:gridCol w:w="1544"/>
        <w:gridCol w:w="1544"/>
        <w:gridCol w:w="1191"/>
      </w:tblGrid>
      <w:tr w:rsidR="008F2A6A" w:rsidRPr="008F2A6A" w:rsidTr="002D2991">
        <w:trPr>
          <w:trHeight w:hRule="exact" w:val="380"/>
          <w:jc w:val="center"/>
        </w:trPr>
        <w:tc>
          <w:tcPr>
            <w:tcW w:w="248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验算内容</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计算值</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对比值</w:t>
            </w:r>
          </w:p>
        </w:tc>
        <w:tc>
          <w:tcPr>
            <w:tcW w:w="69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是否满足</w:t>
            </w:r>
          </w:p>
        </w:tc>
      </w:tr>
      <w:tr w:rsidR="008F2A6A" w:rsidRPr="008F2A6A" w:rsidTr="002D2991">
        <w:trPr>
          <w:trHeight w:hRule="exact" w:val="380"/>
          <w:jc w:val="center"/>
        </w:trPr>
        <w:tc>
          <w:tcPr>
            <w:tcW w:w="248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沥青层车辙</w:t>
            </w:r>
            <w:r>
              <w:rPr>
                <w:rFonts w:ascii="宋体" w:eastAsia="宋体" w:hAnsi="宋体"/>
                <w:color w:val="000000"/>
                <w:sz w:val="20"/>
              </w:rPr>
              <w:t>(mm)</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19.2</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20.0</w:t>
            </w:r>
          </w:p>
        </w:tc>
        <w:tc>
          <w:tcPr>
            <w:tcW w:w="69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是</w:t>
            </w:r>
          </w:p>
        </w:tc>
      </w:tr>
      <w:tr w:rsidR="008F2A6A" w:rsidRPr="008F2A6A" w:rsidTr="002D2991">
        <w:trPr>
          <w:trHeight w:hRule="exact" w:val="380"/>
          <w:jc w:val="center"/>
        </w:trPr>
        <w:tc>
          <w:tcPr>
            <w:tcW w:w="248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半刚性层疲劳开裂对应的累积当量轴次</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678,769,556</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562,339,245</w:t>
            </w:r>
          </w:p>
        </w:tc>
        <w:tc>
          <w:tcPr>
            <w:tcW w:w="69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是</w:t>
            </w:r>
          </w:p>
        </w:tc>
      </w:tr>
      <w:tr w:rsidR="008F2A6A" w:rsidRPr="008F2A6A" w:rsidTr="002D2991">
        <w:trPr>
          <w:trHeight w:hRule="exact" w:val="380"/>
          <w:jc w:val="center"/>
        </w:trPr>
        <w:tc>
          <w:tcPr>
            <w:tcW w:w="248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沥青层贯入强度</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0.55</w:t>
            </w:r>
          </w:p>
        </w:tc>
        <w:tc>
          <w:tcPr>
            <w:tcW w:w="906"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color w:val="000000"/>
                <w:sz w:val="20"/>
              </w:rPr>
              <w:t>0.49</w:t>
            </w:r>
          </w:p>
        </w:tc>
        <w:tc>
          <w:tcPr>
            <w:tcW w:w="699" w:type="pct"/>
            <w:shd w:val="clear" w:color="auto" w:fill="auto"/>
          </w:tcPr>
          <w:p w:rsidR="008F2A6A" w:rsidRPr="008F2A6A" w:rsidRDefault="008F2A6A" w:rsidP="008F2A6A">
            <w:pPr>
              <w:spacing w:line="360" w:lineRule="auto"/>
              <w:jc w:val="center"/>
              <w:rPr>
                <w:rFonts w:ascii="宋体" w:eastAsia="宋体" w:hAnsi="宋体"/>
                <w:color w:val="000000"/>
                <w:sz w:val="20"/>
              </w:rPr>
            </w:pPr>
            <w:r>
              <w:rPr>
                <w:rFonts w:ascii="宋体" w:eastAsia="宋体" w:hAnsi="宋体" w:hint="eastAsia"/>
                <w:color w:val="000000"/>
                <w:sz w:val="20"/>
              </w:rPr>
              <w:t>是</w:t>
            </w:r>
          </w:p>
        </w:tc>
      </w:tr>
    </w:tbl>
    <w:p w:rsidR="008F2A6A" w:rsidRDefault="008F2A6A" w:rsidP="008F2A6A">
      <w:pPr>
        <w:spacing w:line="360" w:lineRule="auto"/>
        <w:rPr>
          <w:rFonts w:ascii="楷体" w:eastAsia="楷体" w:hAnsi="楷体"/>
          <w:color w:val="000000"/>
          <w:sz w:val="24"/>
        </w:rPr>
      </w:pPr>
      <w:r w:rsidRPr="008F2A6A">
        <w:rPr>
          <w:rFonts w:ascii="楷体" w:eastAsia="楷体" w:hAnsi="楷体"/>
          <w:color w:val="000000"/>
          <w:sz w:val="24"/>
        </w:rPr>
        <w:t xml:space="preserve">    由上表可知，所选路面结构和材料能满足各项验算内容的要求。</w:t>
      </w:r>
    </w:p>
    <w:p w:rsidR="008F2A6A" w:rsidRPr="008F2A6A" w:rsidRDefault="008F2A6A" w:rsidP="008F2A6A">
      <w:pPr>
        <w:spacing w:line="360" w:lineRule="auto"/>
        <w:rPr>
          <w:rFonts w:ascii="楷体" w:eastAsia="楷体" w:hAnsi="楷体"/>
          <w:color w:val="000000"/>
          <w:sz w:val="24"/>
        </w:rPr>
      </w:pPr>
    </w:p>
    <w:sectPr w:rsidR="008F2A6A" w:rsidRPr="008F2A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640" w:rsidRDefault="00C95640" w:rsidP="005252A1">
      <w:r>
        <w:separator/>
      </w:r>
    </w:p>
  </w:endnote>
  <w:endnote w:type="continuationSeparator" w:id="0">
    <w:p w:rsidR="00C95640" w:rsidRDefault="00C95640" w:rsidP="00525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640" w:rsidRDefault="00C95640" w:rsidP="005252A1">
      <w:r>
        <w:separator/>
      </w:r>
    </w:p>
  </w:footnote>
  <w:footnote w:type="continuationSeparator" w:id="0">
    <w:p w:rsidR="00C95640" w:rsidRDefault="00C95640" w:rsidP="005252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A6A"/>
    <w:rsid w:val="00026ED1"/>
    <w:rsid w:val="002D2991"/>
    <w:rsid w:val="003A136D"/>
    <w:rsid w:val="005252A1"/>
    <w:rsid w:val="0065516D"/>
    <w:rsid w:val="007B37A4"/>
    <w:rsid w:val="008447A1"/>
    <w:rsid w:val="008F2A6A"/>
    <w:rsid w:val="00C95640"/>
    <w:rsid w:val="00F03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8D2627-CAD8-470B-B7CF-CC355262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52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52A1"/>
    <w:rPr>
      <w:sz w:val="18"/>
      <w:szCs w:val="18"/>
    </w:rPr>
  </w:style>
  <w:style w:type="paragraph" w:styleId="a5">
    <w:name w:val="footer"/>
    <w:basedOn w:val="a"/>
    <w:link w:val="a6"/>
    <w:uiPriority w:val="99"/>
    <w:unhideWhenUsed/>
    <w:rsid w:val="005252A1"/>
    <w:pPr>
      <w:tabs>
        <w:tab w:val="center" w:pos="4153"/>
        <w:tab w:val="right" w:pos="8306"/>
      </w:tabs>
      <w:snapToGrid w:val="0"/>
      <w:jc w:val="left"/>
    </w:pPr>
    <w:rPr>
      <w:sz w:val="18"/>
      <w:szCs w:val="18"/>
    </w:rPr>
  </w:style>
  <w:style w:type="character" w:customStyle="1" w:styleId="a6">
    <w:name w:val="页脚 字符"/>
    <w:basedOn w:val="a0"/>
    <w:link w:val="a5"/>
    <w:uiPriority w:val="99"/>
    <w:rsid w:val="005252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459</Words>
  <Characters>2621</Characters>
  <Application>Microsoft Office Word</Application>
  <DocSecurity>0</DocSecurity>
  <Lines>21</Lines>
  <Paragraphs>6</Paragraphs>
  <ScaleCrop>false</ScaleCrop>
  <Company>Aliyun</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Aliyun</dc:creator>
  <cp:lastModifiedBy>Huang Xiaoming</cp:lastModifiedBy>
  <cp:revision>3</cp:revision>
  <dcterms:created xsi:type="dcterms:W3CDTF">2018-05-31T07:53:00Z</dcterms:created>
  <dcterms:modified xsi:type="dcterms:W3CDTF">2020-02-15T08:42:00Z</dcterms:modified>
</cp:coreProperties>
</file>