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4B8A6" w:sz="24"/>
              <w:left w:val="single" w:color="14B8A6" w:sz="24"/>
              <w:bottom w:val="single" w:color="14B8A6" w:sz="24"/>
              <w:right w:val="single" w:color="14B8A6" w:sz="24"/>
            </w:tcBorders>
            <w:shd w:fill="0B1F3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64"/>
                <w:szCs w:val="64"/>
              </w:rPr>
              <w:t xml:space="preserve">VYVATA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Practitioner Dispensary Commission Program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14B8A6"/>
                <w:sz w:val="18"/>
                <w:szCs w:val="18"/>
              </w:rPr>
              <w:t xml:space="preserve">Revenue Model Rubric  |  Implementation Specification  |  Version 1.0  |  April 2026  |  Confidential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4B8A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1. Program Overview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Vyvata Practitioner Dispensary Commission Program is a structured affiliate revenue layer targeted at licensed healthcare practitioners — MDs, functional medicine doctors, chiropractors, pharmacists, and naturopaths. It monetizes Vyvata's scoring infrastructure by enabling practitioners to earn elevated commissions when they recommend Vyvata-scored products to patients.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Vyvata does not hold or ship inventory. It operates exclusively as the scoring, attribution, and disbursement layer. Brands hold a single commercial agreement with Vyvata; Vyvata manages all downstream practitioner relationships.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91C1C" w:sz="8"/>
              <w:left w:val="single" w:color="B91C1C" w:sz="8"/>
              <w:bottom w:val="single" w:color="B91C1C" w:sz="8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 CRITICAL</w:t>
            </w:r>
          </w:p>
        </w:tc>
        <w:tc>
          <w:tcPr>
            <w:tcW w:type="dxa" w:w="8160"/>
            <w:tcBorders>
              <w:top w:val="single" w:color="B91C1C" w:sz="8"/>
              <w:left w:val="none"/>
              <w:bottom w:val="single" w:color="B91C1C" w:sz="8"/>
              <w:right w:val="single" w:color="B91C1C" w:sz="8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CORE PRINCIPLE: Commission rates never influence recommendation ranking or product scoring. The dispensary program is a monetization layer built on top of the scoring infrastructure — never a factor within it. Ranking and scoring integrity is non-negotiable.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2. Eligibility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2A. Brand Eligibility — Dispensary Program Entry Gate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Not all brands listed on Vyvata qualify for the practitioner dispensary channel. The following conditions must all be satisfied before a product is dispensary-eligible: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Minimum Vyvata Score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75+ (Verified)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Standard-tier products (60–74) are excluded. Practitioners recommending low-scored products creates liability.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Brand Submission Completed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AI Inference scores (Path A) do not qualify. Full Brand Submission (Path B) required to unlock dispensary status.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Active Affiliate Agreement with Vyvata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Brand must have a signed commission agreement stipulating dispensary-tier rates and payout terms.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Channel Opt-In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Brand Elected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Some brands may choose not to participate in the practitioner channel. Opt-in is voluntary.</w:t>
            </w:r>
          </w:p>
        </w:tc>
      </w:tr>
      <w:t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Active Auto-Fail Conditions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Verified Clean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Any active Auto-Fail flag (recall, deceptive claims, etc.) immediately suspends dispensary eligibility.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2B. Practitioner Eligibility — Verification Requirements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Practitioners must complete a one-time verification process before earning dispensary commissions. Verification is gated by license status and agreement to FTC disclosure requirements.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Practitioner Type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Verification Source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MD / DO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NPI Registry lookup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Automated check against CMS NPI database. Active status required.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Functional Medicine Doctor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IFM credential or NPI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IFM Certified Practitioner database or MD/DO NPI fallback.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Chiropractor (DC)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State chiropractic board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Manual or API lookup depending on state board availability.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Pharmacist (RPh / PharmD)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NABP e-Profile ID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National Association of Boards of Pharmacy verification.</w:t>
            </w:r>
          </w:p>
        </w:tc>
      </w:tr>
      <w:t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Naturopath (ND)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State ND board / AANP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Licensed NDs in regulated states. AANP membership as secondary signal.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91C1C" w:sz="8"/>
              <w:left w:val="single" w:color="B91C1C" w:sz="8"/>
              <w:bottom w:val="single" w:color="B91C1C" w:sz="8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 CRITICAL</w:t>
            </w:r>
          </w:p>
        </w:tc>
        <w:tc>
          <w:tcPr>
            <w:tcW w:type="dxa" w:w="8160"/>
            <w:tcBorders>
              <w:top w:val="single" w:color="B91C1C" w:sz="8"/>
              <w:left w:val="none"/>
              <w:bottom w:val="single" w:color="B91C1C" w:sz="8"/>
              <w:right w:val="single" w:color="B91C1C" w:sz="8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FTC DISCLOSURE REQUIREMENT: All practitioner participants must agree, as a condition of enrollment, that any patient-facing communication recommending a product includes a clear statement that the practitioner may earn a commission through Vyvata. This is mandatory and non-waivable. Vyvata's own scoring rubric docks brands for undisclosed affiliate relationships — the program must hold practitioners to the same standard.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3. Attribution Mechanics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Two parallel attribution models operate simultaneously. Model A captures one-off recommendations; Model B captures ongoing patient panel relationships. Both must be implemented.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3A. Model A — Practitioner Referral Link /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Unique Code Format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VYVATA-{CREDENTIAL_TYPE}-{SURNAME}-{ID}  e.g.  VYVATA-DC-JONES-0042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Link Generation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Auto-appended to all product scorecard links shared via the Patient Stack Builder tool.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Attribution Window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30 days from first click. Cookie + server-side token. Last-click attribution.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Tracking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Server-side pixel fires on purchase confirmation. Stored against practitioner_id in commission ledger.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One-off recommendations. Patients who purchase quickly. Link-shared protocols.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3B. Model B — Patient Account Linking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Mechanism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invites patient to create a Vyvata account via a practice-specific invite link. Patient account is permanently linked to practitioner practice_id.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Attribution Window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180 days rolling from last practitioner-generated recommendation for that product category.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Qualifying Purchases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Any purchase of a practitioner-recommended product within the attribution window. Patient must purchase via Vyvata-tracked link.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Stacking Rule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 both Model A and Model B fire for the same purchase, Model B takes precedence (longer relationship, higher trust signal).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Ongoing patient relationships. Repeat purchasers. Practitioners with active patient panels.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4. Commission Rate Structure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Practitioner dispensary rates are set above consumer affiliate rates to reflect the higher conversion quality and endorsement value of a licensed professional recommendation.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 / Tier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Commission Rate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Vyvata Spread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Brand Pays Vyvata</w:t>
            </w:r>
          </w:p>
        </w:tc>
      </w:tr>
      <w:tr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Consumer Affiliate (baseline)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8–12%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Retained by Vyvata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8–12%</w:t>
            </w:r>
          </w:p>
        </w:tc>
      </w:tr>
      <w:tr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Dispensary — Standard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18–20%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~7%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Dispensary — Elite (Practitioner Elite subscribers, high volume)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22–25%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~5%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28–30%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4B8A6" w:sz="8"/>
              <w:left w:val="single" w:color="14B8A6" w:sz="8"/>
              <w:bottom w:val="single" w:color="14B8A6" w:sz="8"/>
              <w:right w:val="none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ℹ  NOTE</w:t>
            </w:r>
          </w:p>
        </w:tc>
        <w:tc>
          <w:tcPr>
            <w:tcW w:type="dxa" w:w="8160"/>
            <w:tcBorders>
              <w:top w:val="single" w:color="14B8A6" w:sz="8"/>
              <w:left w:val="none"/>
              <w:bottom w:val="single" w:color="14B8A6" w:sz="8"/>
              <w:right w:val="single" w:color="14B8A6" w:sz="8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Vyvata collects the full agreed commission from the brand, then remits the practitioner share. The spread (difference) is Vyvata platform margin. Brands that want access to the high-intent practitioner channel pay a premium for it — this is also a strong commercial incentive for brands to complete the Brand Submission process and achieve Verified or Elite status.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5. Payment Mechanics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Vyvata invoices the brand for the full agreed commission % on each confirmed sale. Net-30 payment terms standard.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Vyvata remits the practitioner share monthly via ACH / direct deposit. Minimum payout threshold: $50. Amounts below threshold roll to next month.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Commission Ledger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transactions recorded in commission_ledger table: practitioner_id, product_id, brand_id, sale_amount, commission_earned, commission_status (pending / confirmed / paid), attribution_model (A or B).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Tax Reporting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Practitioners earning above IRS threshold receive a 1099-NEC annually. Practitioners provide W-9 at enrollment. Vyvata retains TIN for reporting.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Dispute Window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Practitioners may dispute commission records within 60 days of the statement date. Disputes reviewed within 14 business days.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Clawback Conditions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Commissions reversed on refunds, chargebacks, or confirmed FTC-violation purchases. 90-day hold before commissions move from pending to confirmed.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6. Practitioner Dashboard — Feature Specification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dispensary dashboard is a sub-module of the Practitioner Portal (available to Practitioner Pro and Elite subscribers). It provides full visibility into recommendation activity and commission earnings.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Commission Summary Widget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Shows: Pending, Confirmed, and Paid commissions for current and trailing 3 months.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Recommended Products List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products currently in patient stacks linked to this practitioner, with attribution model, patient count, and current Vyvata score.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Score Alert Feed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Real-time alerts when a recommended product changes score tier (e.g. Verified drops to Standard). Practitioner must be informed before patient is.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Conversion Rate by Product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Click-throughs vs. confirmed purchases per product. Helps practitioners identify high-converting recommendations.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Patient Stack Builder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Build a custom product stack for a patient. Auto-generates a shareable link with Model A attribution code embedded.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Payout History + Download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 ledger with export to CSV. Required for practitioner tax records.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FTC Disclosure Status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Shows current disclosure agreement status. Blocks commission earning if disclosure agreement has expired or been revoked.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7. Developer Implementation Specification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dispensary program requires six distinct build areas. Each is scoped below with data models, API endpoints, and implementation notes aligned with the existing Vyvata scoring engine architecture.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Step 1 — Database Schema Extensions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 the following tables to the existing Vyvata database. These are net-new tables that do not modify existing scoring engine tables.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practitioners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practitioner_id, npi, license_type, license_state, license_number, verified_at, ftc_agreed_at, tier (standard|elite), status (pending|active|suspended)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Core practitioner identity table. verified_at populated by license verification job. status gated by FTC agreement.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practitioner_codes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code_id, practitioner_id, code_string, created_at, is_active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One-to-many. Each practitioner may have multiple codes (e.g. per product category). Only one active code at a time per practitioner.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patient_practitioner_links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link_id, patient_user_id, practitioner_id, linked_at, status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B relationship table. patient_user_id references existing users table. Status: active|revoked. Patient can revoke link from their account settings.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commission_agreements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agreement_id, brand_id, consumer_rate, practitioner_rate, elite_rate, effective_date, status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Brand-level rate configuration. brand_id references existing brands table. Status: active|paused|terminated.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commission_ledger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ledger_id, practitioner_id, product_id, brand_id, order_id, sale_amount, gross_commission, practitioner_share, vyvata_share, attribution_model (A|B), status (pending|confirmed|paid|reversed), created_at, paid_at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Immutable append-only ledger. Never update — only insert reversals as new rows with negative amounts.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dispensary_eligible_products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product_id, is_eligible, eligibility_checked_at, score_at_check, fail_reason</w:t>
            </w:r>
          </w:p>
        </w:tc>
        <w:tc>
          <w:tcPr>
            <w:tcW w:type="dxa" w:w="4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Materialised eligibility cache. Re-evaluated by cron job on every score change. Saves re-checking eligibility on every page load.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Step 2 — License Verification Service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background verification service that checks practitioner license status against external registries at enrollment and re-checks quarterly.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NPI Lookup (MDs)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to https://npiregistry.cms.hhs.gov/api — free public API. Match on npi field + taxonomy code. Return: enumeration_type, basic.status. Active status required.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Chiropractor Lookup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national API available. Implement manual upload flow: practitioner uploads license PDF. Admin queue for human review. Flag for automation as state APIs become available.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Pharmacist Lookup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NABP e-Profile: https://nabp.pharmacy/programs/e-profile-id — practitioner provides their e-Profile ID. Verify via NABP verification page. Automate with headless browser if NABP does not expose an API.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Naturopath Lookup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national registry. Check state ND licensing boards for regulated states (CT, WA, OR, etc.). Unregulated states: require AANP membership ID as secondary signal. Human review queue fallback.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Re-verification Schedule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Cron job runs quarterly. Any practitioner whose license check fails is moved to status=suspended. Commission earning halted. Email notification sent with 30-day appeal window.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Endpoints to Build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/api/v1/practitioners/apply  |  GET /api/v1/practitioners/{id}/status  |  POST /api/v1/practitioners/{id}/verify  |  GET /api/v1/practitioners/{id}/verification-status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Step 3 — Attribution Tracking System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Implements Model A (referral codes) and Model B (patient account linking). Both must be running in production simultaneously.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A — Code Generation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practitioner approval: auto-generate unique code string. Store in practitioner_codes. Format: VYVATA-{TYPE}-{SURNAME_SLUG}-{ZERO_PADDED_ID}. Append as URL param ?ref={code} to all Patient Stack Builder share links.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A — Click Capture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page load: parse ref param from URL. If valid code found in practitioner_codes, write to server-side session store with 30-day TTL. Set first-party cookie as fallback. Do not rely on third-party cookies.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A — Purchase Attribution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 order confirmation: check session store and cookie for ref. If found and within 30-day window: write ledger entry with attribution_model='A'. Clear session token after attribution.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B — Patient Invite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generates invite link from dashboard: GET /api/v1/practitioners/{id}/patient-invite-link. Returns a JWT-signed URL with practitioner_id embedded. URL expires in 7 days. On patient account creation via invite link: write patient_practitioner_links record.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B — Purchase Attribution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 order confirmation: check patient_practitioner_links for active link. If found AND product is in practitioner's recommended stack for this patient AND within 180-day window: write ledger entry with attribution_model='B'. Model B takes precedence over Model A if both fire.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Model B &gt; Model A. Consumer affiliate &gt; no attribution. A single purchase generates at most one commission ledger entry.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Endpoints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/api/v1/attribution/capture  |  POST /api/v1/attribution/confirm  |  POST /api/v1/practitioners/{id}/patient-invite  |  DELETE /api/v1/patient-links/{link_id} (patient revoke)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Step 4 — Commission Calculation Engine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server-side service that fires on every purchase confirmation event, determines applicable rate, and writes to the commission ledger.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Rate Lookup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purchase event: fetch commission_agreements record for brand_id. Check practitioner tier (standard vs elite). Apply practitioner_rate or elite_rate accordingly.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Split Calculation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gross_commission = sale_amount * brand_rate. practitioner_share = gross_commission * (practitioner_rate / brand_rate). vyvata_share = gross_commission - practitioner_share. All amounts stored as integers in cents (USD) to avoid floating point errors.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Eligibility Check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Before writing ledger entry: confirm product is in dispensary_eligible_products with is_eligible=true at time of purchase. If product became ineligible after recommendation but before purchase, do not write commission. Log the blocked event for audit.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Pending → Confirmed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Commission is written as status=pending. Cron job runs nightly: move pending commissions older than 90 days with no associated refund/chargeback to status=confirmed.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Reversal Logic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refund/chargeback webhook from payment processor: write a new ledger row with negative amounts (do not update original row). Set original row status=reversed. Recalculate pending balance for practitioner.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Endpoints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/api/v1/commissions/calculate (internal, called by order service)  |  GET /api/v1/practitioners/{id}/commissions?status=pending|confirmed|paid  |  POST /api/v1/commissions/reverse (called by refund webhook)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Step 5 — Payout Service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Handles monthly disbursement of confirmed commissions to practitioners via ACH.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Payment Processor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 Stripe Connect (recommended) or Trolley for mass practitioner payouts. Both support 1099-NEC generation. Stripe Connect enables instant ACH with identity verification built in.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Payout Run Schedule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1st of each month. Aggregate all confirmed commissions per practitioner. Apply $50 minimum threshold. Amounts below threshold carry over. Generate payout batch file and submit to processor.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W-9 / Tax Collection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Collect W-9 at enrollment before first payout is permitted. Store TIN (encrypted at rest). Flag practitioners approaching $600 annual threshold for 1099-NEC generation.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Payout Status Webhook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Payment processor sends webhook on payout completion. Update commission_ledger rows to status=paid, paid_at=timestamp on receipt of webhook.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Endpoints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/api/v1/payouts/run (internal, triggered by cron)  |  GET /api/v1/practitioners/{id}/payout-history  |  POST /api/v1/payouts/webhook (processor callback)  |  GET /api/v1/practitioners/{id}/tax-documents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4B8A6"/>
          <w:sz w:val="28"/>
          <w:szCs w:val="28"/>
        </w:rPr>
        <w:t xml:space="preserve">Step 6 — Score Alert System (Practitioner-Specific)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Extends the existing score change detection pipeline to notify practitioners when a product they are actively recommending changes score tier. This must fire before any consumer-facing notification.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 any score recalculation: compare new tier to previous tier (Rejected / Standard / Verified / Elite). If tier changes: trigger practitioner alert job before updating consumer-facing score.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Lookup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Query: find all practitioner_ids who have product_id in an active patient stack. Cross-reference patient_practitioner_links. Send alert to all active linked practitioners.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Alert Channels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In-app notification (dashboard feed). Email (transactional, Sendgrid or equivalent). Future: webhook for practice management system integrations.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Alert Content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Include: product name, old tier, new tier, summary of what changed in scoring (which dimension moved), recommended action (review / remove from stack / no action needed). Link to updated scorecard.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Dispensary Suspension on Downgrade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 product drops below Verified threshold (below 75): immediately mark as is_eligible=false in dispensary_eligible_products. No new commissions can accrue on this product until score recovers.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New Endpoints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POST /api/v1/score-alerts/practitioners (internal, called by scoring engine on tier change)  |  GET /api/v1/practitioners/{id}/alerts  |  PUT /api/v1/practitioners/{id}/alerts/{alert_id}/read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8. Integrity Safeguards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following rules are hardcoded product and system constraints, not configuration options. They protect Vyvata's scoring independence and brand reputation.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Safeguard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Rule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Commission rates NEVER affect ranking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commission rate data is passed to or readable by the scoring engine, recommendation engine, or search ranking system. These services have no awareness of the dispensary program.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Score integrity gate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dispensary_eligible_products is written by the scoring engine, not the dispensary service. The dispensary service reads it as read-only. No dispensary logic can override a score-based eligibility flag.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FTC disclosure enforcement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 ftc_agreed_at is null or the agreement version does not match current version: commission earning is blocked at the ledger write stage. Agreement re-acceptance required before earnings resume.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Patient consent and data privacy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Patient account linking requires explicit patient consent at account creation. Patients can revoke the link at any time via account settings. Revocation takes immediate effect — no trailing attribution window.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Audit log (immutable)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commission events, eligibility changes, and rate changes are written to an append-only audit log. No delete or update operations permitted. Required for FTC compliance and dispute resolution.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Self-dealing prohibition</w:t>
            </w:r>
          </w:p>
        </w:tc>
        <w:tc>
          <w:tcPr>
            <w:tcW w:type="dxa" w:w="5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Practitioners cannot earn commissions on purchases they make for themselves. At checkout: if buyer user_id matches a practitioner_id or patient linked to themselves, commission is suppressed.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B"/>
          <w:sz w:val="36"/>
          <w:szCs w:val="36"/>
        </w:rPr>
        <w:t xml:space="preserve">9. Implementation Roadmap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Area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Dependencies / Notes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Database Schema Extensions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No dependency on existing tables. Safe to build in parallel.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License Verification Service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Depends on Step 1 (practitioners table). NPI API is free; state boards require manual fallback.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Attribution Tracking System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Depends on Steps 1–2. Must integrate with existing user accounts and order pipeline.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Commission Calculation Engine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Depends on Steps 1 and 3. Fires on purchase confirmation event from existing order service.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Payout Service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Depends on Step 4. Stripe Connect recommended. Requires W-9 collection at enrollment.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Score Alert System (Practitioner)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Extends existing score change pipeline. Reads dispensary_eligible_products. No writes to scoring engine.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Practitioner Dashboard UI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Sits within Practitioner Pro/Elite portal. Consumes APIs from Steps 2–6. Can be built incrementally — show commissions first, then add alert feed and stack builder.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4B8A6" w:sz="8"/>
              <w:left w:val="single" w:color="14B8A6" w:sz="8"/>
              <w:bottom w:val="single" w:color="14B8A6" w:sz="8"/>
              <w:right w:val="none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ℹ  NOTE</w:t>
            </w:r>
          </w:p>
        </w:tc>
        <w:tc>
          <w:tcPr>
            <w:tcW w:type="dxa" w:w="8160"/>
            <w:tcBorders>
              <w:top w:val="single" w:color="14B8A6" w:sz="8"/>
              <w:left w:val="none"/>
              <w:bottom w:val="single" w:color="14B8A6" w:sz="8"/>
              <w:right w:val="single" w:color="14B8A6" w:sz="8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RECOMMENDED BUILD ORDER: Steps 1 → 2 → 3 → 4 can be developed in parallel by separate team members once Step 1 schema is defined. Step 5 (payouts) and Step 6 (alerts) depend on the outputs of the earlier steps. The Practitioner Dashboard UI can begin with mock data from Step 1 and be wired up as each API comes online.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4B8A6" w:sz="4" w:space="1"/>
        </w:pBdr>
        <w:spacing w:after="160" w:before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VYVATA CONFIDENTIAL — Do Not Distribute  |  © 2026 Vyvata. All rights reserved.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F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4B8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2026-04-19T21:32:30.147Z</dcterms:created>
  <dcterms:modified xsi:type="dcterms:W3CDTF">2026-04-19T21:32:30.186Z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