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Toaheading"/>
        <w:rPr/>
      </w:pPr>
      <w:r>
        <w:rPr/>
        <w:t>Table of Contents</w:t>
      </w:r>
    </w:p>
    <w:sdt>
      <w:sdtPr>
        <w:docPartObj>
          <w:docPartGallery w:val="Table of Contents"/>
          <w:docPartUnique w:val="true"/>
        </w:docPartObj>
      </w:sdtPr>
      <w:sdtContent>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1065_560194899">
            <w:r>
              <w:rPr>
                <w:rStyle w:val="IndexLink"/>
              </w:rPr>
              <w:t>Findings:</w:t>
              <w:tab/>
              <w:t>2</w:t>
            </w:r>
          </w:hyperlink>
        </w:p>
        <w:p>
          <w:pPr>
            <w:pStyle w:val="Contents3"/>
            <w:tabs>
              <w:tab w:val="right" w:pos="8794" w:leader="dot"/>
              <w:tab w:val="right" w:pos="9360" w:leader="dot"/>
            </w:tabs>
            <w:rPr/>
          </w:pPr>
          <w:hyperlink w:anchor="__RefHeading___Toc1067_560194899">
            <w:r>
              <w:rPr>
                <w:rStyle w:val="IndexLink"/>
              </w:rPr>
              <w:t>Wrong data on the 2 most expensive bottles?</w:t>
              <w:tab/>
              <w:t>2</w:t>
            </w:r>
          </w:hyperlink>
        </w:p>
        <w:p>
          <w:pPr>
            <w:pStyle w:val="Contents2"/>
            <w:tabs>
              <w:tab w:val="right" w:pos="9077" w:leader="dot"/>
              <w:tab w:val="right" w:pos="9360" w:leader="dot"/>
            </w:tabs>
            <w:rPr/>
          </w:pPr>
          <w:hyperlink w:anchor="__RefHeading___Toc1069_560194899">
            <w:r>
              <w:rPr>
                <w:rStyle w:val="IndexLink"/>
              </w:rPr>
              <w:t>Counties</w:t>
              <w:tab/>
              <w:t>2</w:t>
            </w:r>
          </w:hyperlink>
        </w:p>
        <w:p>
          <w:pPr>
            <w:pStyle w:val="Contents3"/>
            <w:tabs>
              <w:tab w:val="right" w:pos="8794" w:leader="dot"/>
              <w:tab w:val="right" w:pos="9360" w:leader="dot"/>
            </w:tabs>
            <w:rPr/>
          </w:pPr>
          <w:hyperlink w:anchor="__RefHeading___Toc1071_560194899">
            <w:r>
              <w:rPr>
                <w:rStyle w:val="IndexLink"/>
              </w:rPr>
              <w:t>Per capita spending – counties with 100k+ population</w:t>
              <w:tab/>
              <w:t>2</w:t>
            </w:r>
          </w:hyperlink>
        </w:p>
        <w:p>
          <w:pPr>
            <w:pStyle w:val="Contents3"/>
            <w:tabs>
              <w:tab w:val="right" w:pos="8794" w:leader="dot"/>
              <w:tab w:val="right" w:pos="9360" w:leader="dot"/>
            </w:tabs>
            <w:rPr/>
          </w:pPr>
          <w:hyperlink w:anchor="__RefHeading___Toc1073_560194899">
            <w:r>
              <w:rPr>
                <w:rStyle w:val="IndexLink"/>
              </w:rPr>
              <w:t>Per store sales over the period – counties with 100k+ population</w:t>
              <w:tab/>
              <w:t>3</w:t>
            </w:r>
          </w:hyperlink>
        </w:p>
        <w:p>
          <w:pPr>
            <w:pStyle w:val="Contents2"/>
            <w:tabs>
              <w:tab w:val="right" w:pos="9077" w:leader="dot"/>
              <w:tab w:val="right" w:pos="9360" w:leader="dot"/>
            </w:tabs>
            <w:rPr/>
          </w:pPr>
          <w:hyperlink w:anchor="__RefHeading___Toc1075_560194899">
            <w:r>
              <w:rPr>
                <w:rStyle w:val="IndexLink"/>
              </w:rPr>
              <w:t>Stores</w:t>
              <w:tab/>
              <w:t>4</w:t>
            </w:r>
          </w:hyperlink>
        </w:p>
        <w:p>
          <w:pPr>
            <w:pStyle w:val="Contents2"/>
            <w:tabs>
              <w:tab w:val="right" w:pos="9077" w:leader="dot"/>
              <w:tab w:val="right" w:pos="9360" w:leader="dot"/>
            </w:tabs>
            <w:rPr/>
          </w:pPr>
          <w:hyperlink w:anchor="__RefHeading___Toc1077_560194899">
            <w:r>
              <w:rPr>
                <w:rStyle w:val="IndexLink"/>
              </w:rPr>
              <w:t>Products</w:t>
              <w:tab/>
              <w:t>5</w:t>
            </w:r>
          </w:hyperlink>
        </w:p>
        <w:p>
          <w:pPr>
            <w:pStyle w:val="Contents3"/>
            <w:tabs>
              <w:tab w:val="right" w:pos="8794" w:leader="dot"/>
              <w:tab w:val="right" w:pos="9360" w:leader="dot"/>
            </w:tabs>
            <w:rPr/>
          </w:pPr>
          <w:hyperlink w:anchor="__RefHeading___Toc1079_560194899">
            <w:r>
              <w:rPr>
                <w:rStyle w:val="IndexLink"/>
              </w:rPr>
              <w:t>10 products make 25% of all sales in $</w:t>
              <w:tab/>
              <w:t>5</w:t>
            </w:r>
          </w:hyperlink>
        </w:p>
        <w:p>
          <w:pPr>
            <w:pStyle w:val="Contents4"/>
            <w:tabs>
              <w:tab w:val="right" w:pos="8511" w:leader="dot"/>
              <w:tab w:val="right" w:pos="9360" w:leader="dot"/>
            </w:tabs>
            <w:rPr/>
          </w:pPr>
          <w:hyperlink w:anchor="__RefHeading___Toc1081_560194899">
            <w:r>
              <w:rPr>
                <w:rStyle w:val="IndexLink"/>
              </w:rPr>
              <w:t>Total sales: $392,293,023</w:t>
              <w:tab/>
              <w:t>5</w:t>
            </w:r>
          </w:hyperlink>
        </w:p>
        <w:p>
          <w:pPr>
            <w:pStyle w:val="Contents2"/>
            <w:tabs>
              <w:tab w:val="right" w:pos="9077" w:leader="dot"/>
              <w:tab w:val="right" w:pos="9360" w:leader="dot"/>
            </w:tabs>
            <w:rPr/>
          </w:pPr>
          <w:hyperlink w:anchor="__RefHeading___Toc1083_560194899">
            <w:r>
              <w:rPr>
                <w:rStyle w:val="IndexLink"/>
              </w:rPr>
              <w:t>Margins</w:t>
              <w:tab/>
              <w:t>7</w:t>
            </w:r>
          </w:hyperlink>
        </w:p>
        <w:p>
          <w:pPr>
            <w:pStyle w:val="Contents2"/>
            <w:tabs>
              <w:tab w:val="right" w:pos="9077" w:leader="dot"/>
              <w:tab w:val="right" w:pos="9360" w:leader="dot"/>
            </w:tabs>
            <w:rPr/>
          </w:pPr>
          <w:hyperlink w:anchor="__RefHeading___Toc1085_560194899">
            <w:r>
              <w:rPr>
                <w:rStyle w:val="IndexLink"/>
              </w:rPr>
              <w:t>Timeframe</w:t>
              <w:tab/>
              <w:t>9</w:t>
            </w:r>
          </w:hyperlink>
        </w:p>
        <w:p>
          <w:pPr>
            <w:pStyle w:val="Contents5"/>
            <w:tabs>
              <w:tab w:val="right" w:pos="8228" w:leader="dot"/>
              <w:tab w:val="right" w:pos="9360" w:leader="dot"/>
            </w:tabs>
            <w:rPr/>
          </w:pPr>
          <w:hyperlink w:anchor="__RefHeading___Toc1087_560194899">
            <w:r>
              <w:rPr>
                <w:rStyle w:val="IndexLink"/>
              </w:rPr>
              <w:t>Daily trend</w:t>
              <w:tab/>
              <w:t>9</w:t>
            </w:r>
          </w:hyperlink>
        </w:p>
        <w:p>
          <w:pPr>
            <w:pStyle w:val="Contents5"/>
            <w:tabs>
              <w:tab w:val="right" w:pos="8228" w:leader="dot"/>
              <w:tab w:val="right" w:pos="9360" w:leader="dot"/>
            </w:tabs>
            <w:rPr/>
          </w:pPr>
          <w:hyperlink w:anchor="__RefHeading___Toc1089_560194899">
            <w:r>
              <w:rPr>
                <w:rStyle w:val="IndexLink"/>
              </w:rPr>
              <w:t>No data on Sundays:</w:t>
              <w:tab/>
              <w:t>9</w:t>
            </w:r>
          </w:hyperlink>
        </w:p>
        <w:p>
          <w:pPr>
            <w:pStyle w:val="Contents1"/>
            <w:rPr/>
          </w:pPr>
          <w:hyperlink w:anchor="__RefHeading___Toc1091_560194899">
            <w:r>
              <w:rPr>
                <w:rStyle w:val="IndexLink"/>
              </w:rPr>
              <w:t>Analysis</w:t>
              <w:tab/>
              <w:t>12</w:t>
            </w:r>
          </w:hyperlink>
        </w:p>
        <w:p>
          <w:pPr>
            <w:pStyle w:val="Contents2"/>
            <w:tabs>
              <w:tab w:val="right" w:pos="9077" w:leader="dot"/>
              <w:tab w:val="right" w:pos="9360" w:leader="dot"/>
            </w:tabs>
            <w:rPr/>
          </w:pPr>
          <w:hyperlink w:anchor="__RefHeading___Toc1093_560194899">
            <w:r>
              <w:rPr>
                <w:rStyle w:val="IndexLink"/>
              </w:rPr>
              <w:t>Counties:</w:t>
              <w:tab/>
              <w:t>12</w:t>
            </w:r>
          </w:hyperlink>
        </w:p>
        <w:p>
          <w:pPr>
            <w:pStyle w:val="Contents2"/>
            <w:tabs>
              <w:tab w:val="right" w:pos="9077" w:leader="dot"/>
              <w:tab w:val="right" w:pos="9360" w:leader="dot"/>
            </w:tabs>
            <w:rPr/>
          </w:pPr>
          <w:hyperlink w:anchor="__RefHeading___Toc1095_560194899">
            <w:r>
              <w:rPr>
                <w:rStyle w:val="IndexLink"/>
              </w:rPr>
              <w:t>Stores:</w:t>
              <w:tab/>
              <w:t>12</w:t>
            </w:r>
          </w:hyperlink>
        </w:p>
        <w:p>
          <w:pPr>
            <w:pStyle w:val="Contents2"/>
            <w:tabs>
              <w:tab w:val="right" w:pos="9077" w:leader="dot"/>
              <w:tab w:val="right" w:pos="9360" w:leader="dot"/>
            </w:tabs>
            <w:rPr/>
          </w:pPr>
          <w:hyperlink w:anchor="__RefHeading___Toc1097_560194899">
            <w:r>
              <w:rPr>
                <w:rStyle w:val="IndexLink"/>
              </w:rPr>
              <w:t>Products:</w:t>
              <w:tab/>
              <w:t>12</w:t>
            </w:r>
          </w:hyperlink>
        </w:p>
        <w:p>
          <w:pPr>
            <w:pStyle w:val="Contents2"/>
            <w:tabs>
              <w:tab w:val="right" w:pos="9077" w:leader="dot"/>
              <w:tab w:val="right" w:pos="9360" w:leader="dot"/>
            </w:tabs>
            <w:rPr/>
          </w:pPr>
          <w:hyperlink w:anchor="__RefHeading___Toc1099_560194899">
            <w:r>
              <w:rPr>
                <w:rStyle w:val="IndexLink"/>
              </w:rPr>
              <w:t>Yearly changes:</w:t>
              <w:tab/>
              <w:t>12</w:t>
            </w:r>
          </w:hyperlink>
        </w:p>
        <w:p>
          <w:pPr>
            <w:pStyle w:val="Heading1"/>
            <w:numPr>
              <w:ilvl w:val="0"/>
              <w:numId w:val="0"/>
            </w:numPr>
            <w:rPr>
              <w:rFonts w:ascii="Arial" w:hAnsi="Arial"/>
            </w:rPr>
          </w:pPr>
          <w:r>
            <w:rPr>
              <w:rFonts w:ascii="Arial" w:hAnsi="Arial"/>
            </w:rPr>
          </w:r>
          <w:r>
            <w:rPr>
              <w:rFonts w:ascii="Arial" w:hAnsi="Arial"/>
            </w:rPr>
            <w:fldChar w:fldCharType="end"/>
          </w:r>
        </w:p>
      </w:sdtContent>
    </w:sdt>
    <w:p>
      <w:pPr>
        <w:pStyle w:val="Heading1"/>
        <w:numPr>
          <w:ilvl w:val="0"/>
          <w:numId w:val="6"/>
        </w:numPr>
        <w:rPr/>
      </w:pPr>
      <w:r>
        <w:br w:type="page"/>
      </w:r>
      <w:bookmarkStart w:id="0" w:name="__RefHeading___Toc1065_560194899"/>
      <w:bookmarkEnd w:id="0"/>
      <w:r>
        <w:rPr>
          <w:rFonts w:ascii="Arial" w:hAnsi="Arial"/>
        </w:rPr>
        <w:t>Findings:</w:t>
      </w:r>
    </w:p>
    <w:p>
      <w:pPr>
        <w:pStyle w:val="Normal"/>
        <w:rPr>
          <w:rStyle w:val="StrongEmphasis"/>
          <w:rFonts w:ascii="Arial" w:hAnsi="Arial"/>
        </w:rPr>
      </w:pPr>
      <w:r>
        <w:rPr>
          <w:rFonts w:ascii="Arial" w:hAnsi="Arial"/>
        </w:rPr>
      </w:r>
    </w:p>
    <w:p>
      <w:pPr>
        <w:pStyle w:val="Heading3"/>
        <w:numPr>
          <w:ilvl w:val="2"/>
          <w:numId w:val="4"/>
        </w:numPr>
        <w:rPr/>
      </w:pPr>
      <w:bookmarkStart w:id="1" w:name="__RefHeading___Toc1067_560194899"/>
      <w:bookmarkEnd w:id="1"/>
      <w:r>
        <w:rPr>
          <w:rStyle w:val="StrongEmphasis"/>
          <w:rFonts w:ascii="Arial" w:hAnsi="Arial"/>
        </w:rPr>
        <w:t>Wrong data on the 2 most expensive bottles?</w:t>
      </w:r>
    </w:p>
    <w:p>
      <w:pPr>
        <w:pStyle w:val="Normal"/>
        <w:rPr>
          <w:rStyle w:val="StrongEmphasis"/>
          <w:rFonts w:ascii="Arial" w:hAnsi="Arial"/>
        </w:rPr>
      </w:pPr>
      <w:r>
        <w:rPr>
          <w:rFonts w:ascii="Arial" w:hAnsi="Arial"/>
        </w:rPr>
      </w:r>
    </w:p>
    <w:p>
      <w:pPr>
        <w:pStyle w:val="Normal"/>
        <w:rPr/>
      </w:pPr>
      <w:r>
        <w:rPr>
          <w:rStyle w:val="StrongEmphasis"/>
          <w:rFonts w:ascii="Arial" w:hAnsi="Arial"/>
          <w:b w:val="false"/>
          <w:bCs w:val="false"/>
          <w:i/>
          <w:iCs/>
        </w:rPr>
        <w:t>Absolut w/ Zing Zang Bloody Mary Mix:</w:t>
      </w:r>
      <w:r>
        <w:rPr>
          <w:rStyle w:val="StrongEmphasis"/>
          <w:rFonts w:ascii="Arial" w:hAnsi="Arial"/>
          <w:b w:val="false"/>
          <w:bCs w:val="false"/>
        </w:rPr>
        <w:t xml:space="preserve"> is $1599 state cost / $2398 per bottle</w:t>
      </w:r>
    </w:p>
    <w:p>
      <w:pPr>
        <w:pStyle w:val="Normal"/>
        <w:rPr/>
      </w:pPr>
      <w:r>
        <w:rPr>
          <w:rStyle w:val="StrongEmphasis"/>
          <w:rFonts w:ascii="Arial" w:hAnsi="Arial"/>
          <w:b w:val="false"/>
          <w:bCs w:val="false"/>
          <w:i/>
          <w:iCs/>
        </w:rPr>
        <w:t>Absolut Zing Zang Bloody Mary Mix:</w:t>
      </w:r>
      <w:r>
        <w:rPr>
          <w:rStyle w:val="StrongEmphasis"/>
          <w:rFonts w:ascii="Arial" w:hAnsi="Arial"/>
          <w:b w:val="false"/>
          <w:bCs w:val="false"/>
        </w:rPr>
        <w:t xml:space="preserve"> $11.49/ $17.24 per bottle</w:t>
      </w:r>
    </w:p>
    <w:p>
      <w:pPr>
        <w:pStyle w:val="Normal"/>
        <w:rPr>
          <w:rStyle w:val="StrongEmphasis"/>
          <w:rFonts w:ascii="Arial" w:hAnsi="Arial"/>
        </w:rPr>
      </w:pPr>
      <w:r>
        <w:rPr>
          <w:rFonts w:ascii="Arial" w:hAnsi="Arial"/>
        </w:rPr>
      </w:r>
    </w:p>
    <w:p>
      <w:pPr>
        <w:pStyle w:val="Normal"/>
        <w:rPr/>
      </w:pPr>
      <w:r>
        <w:rPr>
          <w:rStyle w:val="StrongEmphasis"/>
          <w:rFonts w:ascii="Arial" w:hAnsi="Arial"/>
          <w:b w:val="false"/>
          <w:bCs w:val="false"/>
          <w:i/>
          <w:iCs/>
        </w:rPr>
        <w:t xml:space="preserve">Cedar Ridge Barrel Proof Bourbon: </w:t>
      </w:r>
      <w:r>
        <w:rPr>
          <w:rStyle w:val="StrongEmphasis"/>
          <w:rFonts w:ascii="Arial" w:hAnsi="Arial"/>
          <w:b w:val="false"/>
          <w:bCs w:val="false"/>
        </w:rPr>
        <w:t>only 2 sales of 1 bottle each at convenience stores.</w:t>
      </w:r>
      <w:r>
        <w:rPr>
          <w:rStyle w:val="StrongEmphasis"/>
          <w:rFonts w:ascii="Arial" w:hAnsi="Arial"/>
        </w:rPr>
        <w:t xml:space="preserve"> </w:t>
      </w:r>
    </w:p>
    <w:p>
      <w:pPr>
        <w:pStyle w:val="Normal"/>
        <w:rPr/>
      </w:pPr>
      <w:r>
        <w:rPr>
          <w:rStyle w:val="StrongEmphasis"/>
          <w:rFonts w:ascii="Arial" w:hAnsi="Arial"/>
          <w:b w:val="false"/>
          <w:bCs w:val="false"/>
        </w:rPr>
        <w:t xml:space="preserve">Real cost should be around $40/bottle </w:t>
      </w:r>
    </w:p>
    <w:p>
      <w:pPr>
        <w:pStyle w:val="Normal"/>
        <w:rPr>
          <w:lang w:val="fr-FR"/>
        </w:rPr>
      </w:pPr>
      <w:r>
        <w:rPr>
          <w:rStyle w:val="StrongEmphasis"/>
          <w:rFonts w:ascii="Arial" w:hAnsi="Arial"/>
          <w:b w:val="false"/>
          <w:bCs w:val="false"/>
          <w:lang w:val="fr-FR"/>
        </w:rPr>
        <w:t xml:space="preserve">Sources: </w:t>
      </w:r>
      <w:hyperlink r:id="rId2">
        <w:r>
          <w:rPr>
            <w:rStyle w:val="StrongEmphasis"/>
            <w:rFonts w:ascii="Arial" w:hAnsi="Arial"/>
            <w:b w:val="false"/>
            <w:bCs w:val="false"/>
            <w:lang w:val="fr-FR"/>
          </w:rPr>
          <w:t>http://whiskeyreviewer.com/2017/09/cedar-ridge-bourbon-review-092217/</w:t>
        </w:r>
      </w:hyperlink>
      <w:r>
        <w:rPr>
          <w:rStyle w:val="StrongEmphasis"/>
          <w:rFonts w:ascii="Arial" w:hAnsi="Arial"/>
          <w:b w:val="false"/>
          <w:bCs w:val="false"/>
          <w:lang w:val="fr-FR"/>
        </w:rPr>
        <w:t xml:space="preserve">   </w:t>
      </w:r>
      <w:r>
        <w:fldChar w:fldCharType="begin"/>
      </w:r>
      <w:r>
        <w:rPr>
          <w:rStyle w:val="StrongEmphasis"/>
          <w:b w:val="false"/>
          <w:bCs w:val="false"/>
          <w:rFonts w:ascii="Arial" w:hAnsi="Arial"/>
        </w:rPr>
        <w:instrText> HYPERLINK "https://www.wine-searcher.com/find/cedar ridge distil bourbon whisky iowa usa" \l "t1"</w:instrText>
      </w:r>
      <w:r>
        <w:rPr>
          <w:rStyle w:val="StrongEmphasis"/>
          <w:b w:val="false"/>
          <w:bCs w:val="false"/>
          <w:rFonts w:ascii="Arial" w:hAnsi="Arial"/>
        </w:rPr>
        <w:fldChar w:fldCharType="separate"/>
      </w:r>
      <w:r>
        <w:rPr>
          <w:rStyle w:val="StrongEmphasis"/>
          <w:rFonts w:ascii="Arial" w:hAnsi="Arial"/>
          <w:b w:val="false"/>
          <w:bCs w:val="false"/>
          <w:lang w:val="fr-FR"/>
        </w:rPr>
        <w:t>https://www.wine-searcher.com/find/cedar%20ridge%20distil%20bourbon%20whisky%20iowa%20usa#t</w:t>
      </w:r>
      <w:r>
        <w:rPr>
          <w:rStyle w:val="StrongEmphasis"/>
          <w:b w:val="false"/>
          <w:bCs w:val="false"/>
          <w:rFonts w:ascii="Arial" w:hAnsi="Arial"/>
        </w:rPr>
        <w:fldChar w:fldCharType="end"/>
      </w:r>
      <w:r>
        <w:rPr>
          <w:rStyle w:val="StrongEmphasis"/>
          <w:rFonts w:ascii="Arial" w:hAnsi="Arial"/>
          <w:b w:val="false"/>
          <w:bCs w:val="false"/>
          <w:lang w:val="fr-FR"/>
        </w:rPr>
        <w:t xml:space="preserve">1 </w:t>
      </w:r>
    </w:p>
    <w:p>
      <w:pPr>
        <w:pStyle w:val="Normal"/>
        <w:rPr>
          <w:rStyle w:val="StrongEmphasis"/>
          <w:rFonts w:ascii="Arial" w:hAnsi="Arial"/>
          <w:lang w:val="fr-FR"/>
        </w:rPr>
      </w:pPr>
      <w:r>
        <w:rPr>
          <w:rFonts w:ascii="Arial" w:hAnsi="Arial"/>
          <w:lang w:val="fr-FR"/>
        </w:rPr>
      </w:r>
    </w:p>
    <w:p>
      <w:pPr>
        <w:pStyle w:val="Heading2"/>
        <w:numPr>
          <w:ilvl w:val="1"/>
          <w:numId w:val="2"/>
        </w:numPr>
        <w:rPr/>
      </w:pPr>
      <w:bookmarkStart w:id="2" w:name="__RefHeading___Toc1069_560194899"/>
      <w:bookmarkEnd w:id="2"/>
      <w:r>
        <w:rPr>
          <w:rStyle w:val="StrongEmphasis"/>
        </w:rPr>
        <w:t>Counties</w:t>
      </w:r>
    </w:p>
    <w:p>
      <w:pPr>
        <w:pStyle w:val="Heading3"/>
        <w:numPr>
          <w:ilvl w:val="2"/>
          <w:numId w:val="4"/>
        </w:numPr>
        <w:rPr/>
      </w:pPr>
      <w:bookmarkStart w:id="3" w:name="__RefHeading___Toc1071_560194899"/>
      <w:bookmarkEnd w:id="3"/>
      <w:r>
        <w:rPr>
          <w:rStyle w:val="StrongEmphasis"/>
          <w:rFonts w:ascii="Arial" w:hAnsi="Arial"/>
        </w:rPr>
        <w:t>Per capita spending – counties with 100k+ population</w:t>
      </w:r>
    </w:p>
    <w:p>
      <w:pPr>
        <w:pStyle w:val="Normal"/>
        <w:rPr>
          <w:rFonts w:ascii="Arial" w:hAnsi="Arial"/>
        </w:rPr>
      </w:pPr>
      <w:r>
        <w:rPr>
          <w:rFonts w:ascii="Arial" w:hAnsi="Arial"/>
        </w:rPr>
      </w:r>
    </w:p>
    <w:tbl>
      <w:tblPr>
        <w:tblW w:w="9360" w:type="dxa"/>
        <w:jc w:val="left"/>
        <w:tblInd w:w="0" w:type="dxa"/>
        <w:tblCellMar>
          <w:top w:w="55" w:type="dxa"/>
          <w:left w:w="47" w:type="dxa"/>
          <w:bottom w:w="55" w:type="dxa"/>
          <w:right w:w="55" w:type="dxa"/>
        </w:tblCellMar>
        <w:tblLook w:val="0000" w:noVBand="0" w:noHBand="0" w:lastColumn="0" w:firstColumn="0" w:lastRow="0" w:firstRow="0"/>
      </w:tblPr>
      <w:tblGrid>
        <w:gridCol w:w="1798"/>
        <w:gridCol w:w="1818"/>
        <w:gridCol w:w="1840"/>
        <w:gridCol w:w="1863"/>
        <w:gridCol w:w="2041"/>
      </w:tblGrid>
      <w:tr>
        <w:trPr/>
        <w:tc>
          <w:tcPr>
            <w:tcW w:w="179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rPr>
              <w:t>County</w:t>
            </w:r>
          </w:p>
        </w:tc>
        <w:tc>
          <w:tcPr>
            <w:tcW w:w="181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rPr>
              <w:t>Population</w:t>
            </w:r>
          </w:p>
        </w:tc>
        <w:tc>
          <w:tcPr>
            <w:tcW w:w="184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rPr>
              <w:t>nr_of_stores</w:t>
            </w:r>
          </w:p>
        </w:tc>
        <w:tc>
          <w:tcPr>
            <w:tcW w:w="18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rPr>
              <w:t>total_sales</w:t>
            </w:r>
          </w:p>
        </w:tc>
        <w:tc>
          <w:tcPr>
            <w:tcW w:w="2041"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rPr>
              <w:t>sales_per_capita</w:t>
            </w:r>
          </w:p>
        </w:tc>
      </w:tr>
      <w:tr>
        <w:trPr/>
        <w:tc>
          <w:tcPr>
            <w:tcW w:w="179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Polk</w:t>
            </w:r>
          </w:p>
        </w:tc>
        <w:tc>
          <w:tcPr>
            <w:tcW w:w="181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430640</w:t>
            </w:r>
          </w:p>
        </w:tc>
        <w:tc>
          <w:tcPr>
            <w:tcW w:w="184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197</w:t>
            </w:r>
          </w:p>
        </w:tc>
        <w:tc>
          <w:tcPr>
            <w:tcW w:w="18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$86,397,461.79</w:t>
            </w:r>
          </w:p>
        </w:tc>
        <w:tc>
          <w:tcPr>
            <w:tcW w:w="2041"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$200.63</w:t>
            </w:r>
          </w:p>
        </w:tc>
      </w:tr>
      <w:tr>
        <w:trPr/>
        <w:tc>
          <w:tcPr>
            <w:tcW w:w="179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Linn</w:t>
            </w:r>
          </w:p>
        </w:tc>
        <w:tc>
          <w:tcPr>
            <w:tcW w:w="181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211226</w:t>
            </w:r>
          </w:p>
        </w:tc>
        <w:tc>
          <w:tcPr>
            <w:tcW w:w="184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102</w:t>
            </w:r>
          </w:p>
        </w:tc>
        <w:tc>
          <w:tcPr>
            <w:tcW w:w="18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$34,460,047.49</w:t>
            </w:r>
          </w:p>
        </w:tc>
        <w:tc>
          <w:tcPr>
            <w:tcW w:w="2041"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$163.14</w:t>
            </w:r>
          </w:p>
        </w:tc>
      </w:tr>
      <w:tr>
        <w:trPr/>
        <w:tc>
          <w:tcPr>
            <w:tcW w:w="179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Scott</w:t>
            </w:r>
          </w:p>
        </w:tc>
        <w:tc>
          <w:tcPr>
            <w:tcW w:w="181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165224</w:t>
            </w:r>
          </w:p>
        </w:tc>
        <w:tc>
          <w:tcPr>
            <w:tcW w:w="184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64</w:t>
            </w:r>
          </w:p>
        </w:tc>
        <w:tc>
          <w:tcPr>
            <w:tcW w:w="18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$27,902,848.67</w:t>
            </w:r>
          </w:p>
        </w:tc>
        <w:tc>
          <w:tcPr>
            <w:tcW w:w="2041"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$168.88</w:t>
            </w:r>
          </w:p>
        </w:tc>
      </w:tr>
      <w:tr>
        <w:trPr/>
        <w:tc>
          <w:tcPr>
            <w:tcW w:w="179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Black Hawk</w:t>
            </w:r>
          </w:p>
        </w:tc>
        <w:tc>
          <w:tcPr>
            <w:tcW w:w="181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131090</w:t>
            </w:r>
          </w:p>
        </w:tc>
        <w:tc>
          <w:tcPr>
            <w:tcW w:w="184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78</w:t>
            </w:r>
          </w:p>
        </w:tc>
        <w:tc>
          <w:tcPr>
            <w:tcW w:w="18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$22,967,283.29</w:t>
            </w:r>
          </w:p>
        </w:tc>
        <w:tc>
          <w:tcPr>
            <w:tcW w:w="2041"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$175.20</w:t>
            </w:r>
          </w:p>
        </w:tc>
      </w:tr>
      <w:tr>
        <w:trPr/>
        <w:tc>
          <w:tcPr>
            <w:tcW w:w="179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Johnson</w:t>
            </w:r>
          </w:p>
        </w:tc>
        <w:tc>
          <w:tcPr>
            <w:tcW w:w="181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130882</w:t>
            </w:r>
          </w:p>
        </w:tc>
        <w:tc>
          <w:tcPr>
            <w:tcW w:w="184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49</w:t>
            </w:r>
          </w:p>
        </w:tc>
        <w:tc>
          <w:tcPr>
            <w:tcW w:w="18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$24,200,402.25</w:t>
            </w:r>
          </w:p>
        </w:tc>
        <w:tc>
          <w:tcPr>
            <w:tcW w:w="2041"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$184.90</w:t>
            </w:r>
          </w:p>
        </w:tc>
      </w:tr>
      <w:tr>
        <w:trPr/>
        <w:tc>
          <w:tcPr>
            <w:tcW w:w="179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Woodbury</w:t>
            </w:r>
          </w:p>
        </w:tc>
        <w:tc>
          <w:tcPr>
            <w:tcW w:w="181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102172</w:t>
            </w:r>
          </w:p>
        </w:tc>
        <w:tc>
          <w:tcPr>
            <w:tcW w:w="184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40</w:t>
            </w:r>
          </w:p>
        </w:tc>
        <w:tc>
          <w:tcPr>
            <w:tcW w:w="18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$13,242,016.16</w:t>
            </w:r>
          </w:p>
        </w:tc>
        <w:tc>
          <w:tcPr>
            <w:tcW w:w="2041"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b w:val="false"/>
                <w:bCs w:val="false"/>
              </w:rPr>
              <w:t>$129.61</w:t>
            </w:r>
          </w:p>
        </w:tc>
      </w:tr>
    </w:tbl>
    <w:p>
      <w:pPr>
        <w:pStyle w:val="Normal"/>
        <w:rPr>
          <w:rFonts w:ascii="Arial" w:hAnsi="Arial"/>
        </w:rPr>
      </w:pPr>
      <w:r>
        <w:rPr>
          <w:rFonts w:ascii="Arial" w:hAnsi="Arial"/>
        </w:rPr>
      </w:r>
    </w:p>
    <w:p>
      <w:pPr>
        <w:pStyle w:val="Normal"/>
        <w:rPr>
          <w:rFonts w:ascii="Arial" w:hAnsi="Arial"/>
        </w:rPr>
      </w:pPr>
      <w:r>
        <w:rPr>
          <w:rFonts w:ascii="Arial" w:hAnsi="Arial"/>
          <w:b/>
          <w:bCs/>
          <w:sz w:val="28"/>
          <w:szCs w:val="28"/>
        </w:rPr>
        <w:t>Linn, while being the second most populated county, has similar sales results as smaller counties will fewer stores.</w:t>
      </w:r>
      <w:r>
        <w:rPr>
          <w:rFonts w:ascii="Arial" w:hAnsi="Arial"/>
          <w:b/>
          <w:bCs/>
          <w:sz w:val="26"/>
          <w:szCs w:val="26"/>
        </w:rPr>
        <w:t xml:space="preserve"> </w:t>
      </w:r>
    </w:p>
    <w:p>
      <w:pPr>
        <w:pStyle w:val="Normal"/>
        <w:rPr>
          <w:rFonts w:ascii="Arial" w:hAnsi="Arial"/>
        </w:rPr>
      </w:pPr>
      <w:r>
        <w:rPr>
          <w:rFonts w:ascii="Arial" w:hAnsi="Arial"/>
        </w:rPr>
      </w:r>
      <w:r>
        <w:br w:type="page"/>
      </w:r>
    </w:p>
    <w:p>
      <w:pPr>
        <w:pStyle w:val="Normal"/>
        <w:rPr>
          <w:rFonts w:ascii="Arial" w:hAnsi="Arial"/>
        </w:rPr>
      </w:pPr>
      <w:r>
        <w:rPr>
          <w:rFonts w:ascii="Arial" w:hAnsi="Arial"/>
        </w:rPr>
      </w:r>
    </w:p>
    <w:p>
      <w:pPr>
        <w:pStyle w:val="Heading3"/>
        <w:numPr>
          <w:ilvl w:val="2"/>
          <w:numId w:val="5"/>
        </w:numPr>
        <w:rPr/>
      </w:pPr>
      <w:bookmarkStart w:id="4" w:name="__RefHeading___Toc1073_560194899"/>
      <w:bookmarkEnd w:id="4"/>
      <w:r>
        <w:rPr>
          <w:rStyle w:val="StrongEmphasis"/>
          <w:rFonts w:ascii="Arial" w:hAnsi="Arial"/>
        </w:rPr>
        <w:t>Per store sales over the period – counties with 100k+ population</w:t>
      </w:r>
    </w:p>
    <w:p>
      <w:pPr>
        <w:pStyle w:val="Normal"/>
        <w:rPr>
          <w:rFonts w:ascii="Arial" w:hAnsi="Arial"/>
        </w:rPr>
      </w:pPr>
      <w:r>
        <w:rPr>
          <w:rFonts w:ascii="Arial" w:hAnsi="Arial"/>
        </w:rPr>
      </w:r>
    </w:p>
    <w:tbl>
      <w:tblPr>
        <w:tblW w:w="9360" w:type="dxa"/>
        <w:jc w:val="left"/>
        <w:tblInd w:w="0" w:type="dxa"/>
        <w:tblCellMar>
          <w:top w:w="55" w:type="dxa"/>
          <w:left w:w="47" w:type="dxa"/>
          <w:bottom w:w="55" w:type="dxa"/>
          <w:right w:w="55" w:type="dxa"/>
        </w:tblCellMar>
        <w:tblLook w:val="0000" w:noVBand="0" w:noHBand="0" w:lastColumn="0" w:firstColumn="0" w:lastRow="0" w:firstRow="0"/>
      </w:tblPr>
      <w:tblGrid>
        <w:gridCol w:w="1845"/>
        <w:gridCol w:w="1854"/>
        <w:gridCol w:w="1858"/>
        <w:gridCol w:w="1869"/>
        <w:gridCol w:w="1934"/>
      </w:tblGrid>
      <w:tr>
        <w:trPr/>
        <w:tc>
          <w:tcPr>
            <w:tcW w:w="1845"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rPr>
              <w:t>County</w:t>
            </w:r>
          </w:p>
        </w:tc>
        <w:tc>
          <w:tcPr>
            <w:tcW w:w="1854"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rPr>
              <w:t>Population</w:t>
            </w:r>
          </w:p>
        </w:tc>
        <w:tc>
          <w:tcPr>
            <w:tcW w:w="1858"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rPr>
              <w:t>nr_of_stores</w:t>
            </w:r>
          </w:p>
        </w:tc>
        <w:tc>
          <w:tcPr>
            <w:tcW w:w="1869"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rPr>
              <w:t>total_sales</w:t>
            </w:r>
          </w:p>
        </w:tc>
        <w:tc>
          <w:tcPr>
            <w:tcW w:w="1934"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pPr>
            <w:r>
              <w:rPr>
                <w:rStyle w:val="StrongEmphasis"/>
                <w:rFonts w:ascii="Arial" w:hAnsi="Arial"/>
              </w:rPr>
              <w:t>sales_per_store</w:t>
            </w:r>
          </w:p>
        </w:tc>
      </w:tr>
      <w:tr>
        <w:trPr/>
        <w:tc>
          <w:tcPr>
            <w:tcW w:w="1845"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Polk</w:t>
            </w:r>
          </w:p>
        </w:tc>
        <w:tc>
          <w:tcPr>
            <w:tcW w:w="1854"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430640</w:t>
            </w:r>
          </w:p>
        </w:tc>
        <w:tc>
          <w:tcPr>
            <w:tcW w:w="1858"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197</w:t>
            </w:r>
          </w:p>
        </w:tc>
        <w:tc>
          <w:tcPr>
            <w:tcW w:w="1869"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$86,397,461.79</w:t>
            </w:r>
          </w:p>
        </w:tc>
        <w:tc>
          <w:tcPr>
            <w:tcW w:w="1934"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b/>
                <w:b/>
                <w:bCs/>
              </w:rPr>
            </w:pPr>
            <w:r>
              <w:rPr>
                <w:rStyle w:val="StrongEmphasis"/>
                <w:rFonts w:ascii="Arial" w:hAnsi="Arial"/>
                <w:b w:val="false"/>
                <w:bCs w:val="false"/>
              </w:rPr>
              <w:t>$438,565.80</w:t>
            </w:r>
          </w:p>
        </w:tc>
      </w:tr>
      <w:tr>
        <w:trPr/>
        <w:tc>
          <w:tcPr>
            <w:tcW w:w="1845"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Linn</w:t>
            </w:r>
          </w:p>
        </w:tc>
        <w:tc>
          <w:tcPr>
            <w:tcW w:w="1854"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211226</w:t>
            </w:r>
          </w:p>
        </w:tc>
        <w:tc>
          <w:tcPr>
            <w:tcW w:w="1858"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102</w:t>
            </w:r>
          </w:p>
        </w:tc>
        <w:tc>
          <w:tcPr>
            <w:tcW w:w="1869"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$34,460,047.49</w:t>
            </w:r>
          </w:p>
        </w:tc>
        <w:tc>
          <w:tcPr>
            <w:tcW w:w="1934"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b/>
                <w:b/>
                <w:bCs/>
              </w:rPr>
            </w:pPr>
            <w:r>
              <w:rPr>
                <w:rStyle w:val="StrongEmphasis"/>
                <w:rFonts w:ascii="Arial" w:hAnsi="Arial"/>
                <w:b w:val="false"/>
                <w:bCs w:val="false"/>
              </w:rPr>
              <w:t>$337,843.60</w:t>
            </w:r>
          </w:p>
        </w:tc>
      </w:tr>
      <w:tr>
        <w:trPr/>
        <w:tc>
          <w:tcPr>
            <w:tcW w:w="1845"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Scott</w:t>
            </w:r>
          </w:p>
        </w:tc>
        <w:tc>
          <w:tcPr>
            <w:tcW w:w="1854"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165224</w:t>
            </w:r>
          </w:p>
        </w:tc>
        <w:tc>
          <w:tcPr>
            <w:tcW w:w="1858"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64</w:t>
            </w:r>
          </w:p>
        </w:tc>
        <w:tc>
          <w:tcPr>
            <w:tcW w:w="1869"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$27,902,848.67</w:t>
            </w:r>
          </w:p>
        </w:tc>
        <w:tc>
          <w:tcPr>
            <w:tcW w:w="1934"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b/>
                <w:b/>
                <w:bCs/>
              </w:rPr>
            </w:pPr>
            <w:r>
              <w:rPr>
                <w:rStyle w:val="StrongEmphasis"/>
                <w:rFonts w:ascii="Arial" w:hAnsi="Arial"/>
                <w:b w:val="false"/>
                <w:bCs w:val="false"/>
              </w:rPr>
              <w:t>$435,982.01</w:t>
            </w:r>
          </w:p>
        </w:tc>
      </w:tr>
      <w:tr>
        <w:trPr/>
        <w:tc>
          <w:tcPr>
            <w:tcW w:w="1845"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Black Hawk</w:t>
            </w:r>
          </w:p>
        </w:tc>
        <w:tc>
          <w:tcPr>
            <w:tcW w:w="1854"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131090</w:t>
            </w:r>
          </w:p>
        </w:tc>
        <w:tc>
          <w:tcPr>
            <w:tcW w:w="1858"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78</w:t>
            </w:r>
          </w:p>
        </w:tc>
        <w:tc>
          <w:tcPr>
            <w:tcW w:w="1869"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$22,967,283.29</w:t>
            </w:r>
          </w:p>
        </w:tc>
        <w:tc>
          <w:tcPr>
            <w:tcW w:w="1934"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b/>
                <w:b/>
                <w:bCs/>
              </w:rPr>
            </w:pPr>
            <w:r>
              <w:rPr>
                <w:rStyle w:val="StrongEmphasis"/>
                <w:rFonts w:ascii="Arial" w:hAnsi="Arial"/>
                <w:b w:val="false"/>
                <w:bCs w:val="false"/>
              </w:rPr>
              <w:t>$294,452.35</w:t>
            </w:r>
          </w:p>
        </w:tc>
      </w:tr>
      <w:tr>
        <w:trPr/>
        <w:tc>
          <w:tcPr>
            <w:tcW w:w="1845"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Johnson</w:t>
            </w:r>
          </w:p>
        </w:tc>
        <w:tc>
          <w:tcPr>
            <w:tcW w:w="1854"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130882</w:t>
            </w:r>
          </w:p>
        </w:tc>
        <w:tc>
          <w:tcPr>
            <w:tcW w:w="1858"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49</w:t>
            </w:r>
          </w:p>
        </w:tc>
        <w:tc>
          <w:tcPr>
            <w:tcW w:w="1869"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$24,200,402.25</w:t>
            </w:r>
          </w:p>
        </w:tc>
        <w:tc>
          <w:tcPr>
            <w:tcW w:w="1934"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b/>
                <w:b/>
                <w:bCs/>
              </w:rPr>
            </w:pPr>
            <w:r>
              <w:rPr>
                <w:rStyle w:val="StrongEmphasis"/>
                <w:rFonts w:ascii="Arial" w:hAnsi="Arial"/>
                <w:b w:val="false"/>
                <w:bCs w:val="false"/>
              </w:rPr>
              <w:t>$493,885.76</w:t>
            </w:r>
          </w:p>
        </w:tc>
      </w:tr>
      <w:tr>
        <w:trPr/>
        <w:tc>
          <w:tcPr>
            <w:tcW w:w="1845"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Woodbury</w:t>
            </w:r>
          </w:p>
        </w:tc>
        <w:tc>
          <w:tcPr>
            <w:tcW w:w="1854"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102172</w:t>
            </w:r>
          </w:p>
        </w:tc>
        <w:tc>
          <w:tcPr>
            <w:tcW w:w="1858"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40</w:t>
            </w:r>
          </w:p>
        </w:tc>
        <w:tc>
          <w:tcPr>
            <w:tcW w:w="1869" w:type="dxa"/>
            <w:tcBorders>
              <w:top w:val="single" w:sz="2" w:space="0" w:color="000000"/>
              <w:left w:val="single" w:sz="2" w:space="0" w:color="000000"/>
              <w:bottom w:val="single" w:sz="2" w:space="0" w:color="000000"/>
            </w:tcBorders>
            <w:shd w:color="auto" w:fill="auto" w:val="clear"/>
          </w:tcPr>
          <w:p>
            <w:pPr>
              <w:pStyle w:val="Normal"/>
              <w:jc w:val="center"/>
              <w:rPr>
                <w:b/>
                <w:b/>
                <w:bCs/>
              </w:rPr>
            </w:pPr>
            <w:r>
              <w:rPr>
                <w:rStyle w:val="StrongEmphasis"/>
                <w:rFonts w:ascii="Arial" w:hAnsi="Arial"/>
                <w:b w:val="false"/>
                <w:bCs w:val="false"/>
              </w:rPr>
              <w:t>$13,242,016.16</w:t>
            </w:r>
          </w:p>
        </w:tc>
        <w:tc>
          <w:tcPr>
            <w:tcW w:w="1934"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b/>
                <w:b/>
                <w:bCs/>
              </w:rPr>
            </w:pPr>
            <w:r>
              <w:rPr>
                <w:rStyle w:val="StrongEmphasis"/>
                <w:rFonts w:ascii="Arial" w:hAnsi="Arial"/>
                <w:b w:val="false"/>
                <w:bCs w:val="false"/>
              </w:rPr>
              <w:t>$331,050.40</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b/>
          <w:bCs/>
          <w:sz w:val="28"/>
          <w:szCs w:val="28"/>
        </w:rPr>
        <w:t>Linn, Black Haw and Woodbury have smaller sales per store compared to the other counties.</w:t>
      </w:r>
      <w:r>
        <w:rPr>
          <w:rFonts w:ascii="Arial" w:hAnsi="Arial"/>
        </w:rPr>
        <w:t xml:space="preserve"> </w:t>
      </w:r>
    </w:p>
    <w:p>
      <w:pPr>
        <w:pStyle w:val="Normal"/>
        <w:rPr>
          <w:rFonts w:ascii="Arial" w:hAnsi="Arial"/>
        </w:rPr>
      </w:pPr>
      <w:r>
        <w:rPr>
          <w:rFonts w:ascii="Arial" w:hAnsi="Arial"/>
        </w:rPr>
      </w:r>
      <w:r>
        <w:br w:type="page"/>
      </w:r>
    </w:p>
    <w:p>
      <w:pPr>
        <w:pStyle w:val="Normal"/>
        <w:rPr>
          <w:rFonts w:ascii="Arial" w:hAnsi="Arial"/>
        </w:rPr>
      </w:pPr>
      <w:r>
        <w:rPr>
          <w:rFonts w:ascii="Arial" w:hAnsi="Arial"/>
        </w:rPr>
      </w:r>
    </w:p>
    <w:p>
      <w:pPr>
        <w:pStyle w:val="Heading2"/>
        <w:numPr>
          <w:ilvl w:val="1"/>
          <w:numId w:val="2"/>
        </w:numPr>
        <w:rPr/>
      </w:pPr>
      <w:bookmarkStart w:id="5" w:name="__RefHeading___Toc1075_560194899"/>
      <w:bookmarkEnd w:id="5"/>
      <w:r>
        <w:rPr/>
        <w:t>Stores</w:t>
      </w:r>
    </w:p>
    <w:tbl>
      <w:tblPr>
        <w:tblW w:w="9517" w:type="dxa"/>
        <w:jc w:val="left"/>
        <w:tblInd w:w="55" w:type="dxa"/>
        <w:tblCellMar>
          <w:top w:w="55" w:type="dxa"/>
          <w:left w:w="54" w:type="dxa"/>
          <w:bottom w:w="55" w:type="dxa"/>
          <w:right w:w="55" w:type="dxa"/>
        </w:tblCellMar>
        <w:tblLook w:val="04a0" w:noVBand="1" w:noHBand="0" w:lastColumn="0" w:firstColumn="1" w:lastRow="0" w:firstRow="1"/>
      </w:tblPr>
      <w:tblGrid>
        <w:gridCol w:w="2772"/>
        <w:gridCol w:w="1017"/>
        <w:gridCol w:w="1235"/>
        <w:gridCol w:w="1778"/>
        <w:gridCol w:w="1312"/>
        <w:gridCol w:w="1402"/>
      </w:tblGrid>
      <w:tr>
        <w:trPr/>
        <w:tc>
          <w:tcPr>
            <w:tcW w:w="277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b/>
                <w:b/>
                <w:bCs/>
              </w:rPr>
            </w:pPr>
            <w:r>
              <w:rPr>
                <w:rFonts w:ascii="Arial" w:hAnsi="Arial"/>
                <w:b/>
                <w:bCs/>
              </w:rPr>
              <w:t>Name</w:t>
            </w:r>
          </w:p>
        </w:tc>
        <w:tc>
          <w:tcPr>
            <w:tcW w:w="1017"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b/>
                <w:b/>
                <w:bCs/>
              </w:rPr>
            </w:pPr>
            <w:r>
              <w:rPr>
                <w:rFonts w:ascii="Arial" w:hAnsi="Arial"/>
                <w:b/>
                <w:bCs/>
              </w:rPr>
              <w:t>County</w:t>
            </w:r>
          </w:p>
        </w:tc>
        <w:tc>
          <w:tcPr>
            <w:tcW w:w="123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b/>
                <w:b/>
                <w:bCs/>
              </w:rPr>
            </w:pPr>
            <w:r>
              <w:rPr>
                <w:rFonts w:ascii="Arial" w:hAnsi="Arial"/>
                <w:b/>
                <w:bCs/>
              </w:rPr>
              <w:t>Nr of sales</w:t>
            </w:r>
          </w:p>
        </w:tc>
        <w:tc>
          <w:tcPr>
            <w:tcW w:w="177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b/>
                <w:b/>
                <w:bCs/>
              </w:rPr>
            </w:pPr>
            <w:r>
              <w:rPr>
                <w:rFonts w:ascii="Arial" w:hAnsi="Arial"/>
                <w:b/>
                <w:bCs/>
              </w:rPr>
              <w:t>Total sales</w:t>
            </w:r>
          </w:p>
        </w:tc>
        <w:tc>
          <w:tcPr>
            <w:tcW w:w="131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b/>
                <w:b/>
                <w:bCs/>
              </w:rPr>
            </w:pPr>
            <w:r>
              <w:rPr>
                <w:rFonts w:ascii="Arial" w:hAnsi="Arial"/>
                <w:b/>
                <w:bCs/>
              </w:rPr>
              <w:t>Avg sales</w:t>
            </w:r>
          </w:p>
        </w:tc>
        <w:tc>
          <w:tcPr>
            <w:tcW w:w="1402"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b/>
                <w:b/>
                <w:bCs/>
              </w:rPr>
            </w:pPr>
            <w:r>
              <w:rPr>
                <w:rFonts w:ascii="Arial" w:hAnsi="Arial"/>
                <w:b/>
                <w:bCs/>
              </w:rPr>
              <w:t>% of sales 100+ btl</w:t>
            </w:r>
          </w:p>
        </w:tc>
      </w:tr>
      <w:tr>
        <w:trPr/>
        <w:tc>
          <w:tcPr>
            <w:tcW w:w="277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lang w:val="fr-FR"/>
              </w:rPr>
            </w:pPr>
            <w:r>
              <w:rPr>
                <w:rFonts w:ascii="Arial" w:hAnsi="Arial"/>
                <w:lang w:val="fr-FR"/>
              </w:rPr>
              <w:t>Hy-vee #3 / Bdi / Des Moines</w:t>
            </w:r>
          </w:p>
        </w:tc>
        <w:tc>
          <w:tcPr>
            <w:tcW w:w="1017"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Polk</w:t>
            </w:r>
          </w:p>
        </w:tc>
        <w:tc>
          <w:tcPr>
            <w:tcW w:w="123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2046</w:t>
            </w:r>
          </w:p>
        </w:tc>
        <w:tc>
          <w:tcPr>
            <w:tcW w:w="177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$13,920,087.22</w:t>
            </w:r>
          </w:p>
        </w:tc>
        <w:tc>
          <w:tcPr>
            <w:tcW w:w="131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$472.43</w:t>
            </w:r>
          </w:p>
        </w:tc>
        <w:tc>
          <w:tcPr>
            <w:tcW w:w="1402"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Fonts w:ascii="Arial" w:hAnsi="Arial"/>
              </w:rPr>
              <w:t>9%</w:t>
            </w:r>
          </w:p>
        </w:tc>
      </w:tr>
      <w:tr>
        <w:trPr/>
        <w:tc>
          <w:tcPr>
            <w:tcW w:w="277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Central City 2</w:t>
            </w:r>
          </w:p>
        </w:tc>
        <w:tc>
          <w:tcPr>
            <w:tcW w:w="1017"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Polk</w:t>
            </w:r>
          </w:p>
        </w:tc>
        <w:tc>
          <w:tcPr>
            <w:tcW w:w="123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2143</w:t>
            </w:r>
          </w:p>
        </w:tc>
        <w:tc>
          <w:tcPr>
            <w:tcW w:w="177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$11,942,399.97</w:t>
            </w:r>
          </w:p>
        </w:tc>
        <w:tc>
          <w:tcPr>
            <w:tcW w:w="131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$462.40</w:t>
            </w:r>
          </w:p>
        </w:tc>
        <w:tc>
          <w:tcPr>
            <w:tcW w:w="1402"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Fonts w:ascii="Arial" w:hAnsi="Arial"/>
              </w:rPr>
              <w:t>10%</w:t>
            </w:r>
          </w:p>
        </w:tc>
      </w:tr>
      <w:tr>
        <w:trPr/>
        <w:tc>
          <w:tcPr>
            <w:tcW w:w="277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Sam's Club 6344 / Windsor Heights</w:t>
            </w:r>
          </w:p>
        </w:tc>
        <w:tc>
          <w:tcPr>
            <w:tcW w:w="1017"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Polk</w:t>
            </w:r>
          </w:p>
        </w:tc>
        <w:tc>
          <w:tcPr>
            <w:tcW w:w="123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1310</w:t>
            </w:r>
          </w:p>
        </w:tc>
        <w:tc>
          <w:tcPr>
            <w:tcW w:w="177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$6,159,480.06</w:t>
            </w:r>
          </w:p>
        </w:tc>
        <w:tc>
          <w:tcPr>
            <w:tcW w:w="131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$1,106.23</w:t>
            </w:r>
          </w:p>
        </w:tc>
        <w:tc>
          <w:tcPr>
            <w:tcW w:w="1402"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Fonts w:ascii="Arial" w:hAnsi="Arial"/>
              </w:rPr>
              <w:t>35%</w:t>
            </w:r>
          </w:p>
        </w:tc>
      </w:tr>
      <w:tr>
        <w:trPr/>
        <w:tc>
          <w:tcPr>
            <w:tcW w:w="277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Sam's Club 8162 / Cedar Rapids</w:t>
            </w:r>
          </w:p>
        </w:tc>
        <w:tc>
          <w:tcPr>
            <w:tcW w:w="1017"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Linn</w:t>
            </w:r>
          </w:p>
        </w:tc>
        <w:tc>
          <w:tcPr>
            <w:tcW w:w="123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1477</w:t>
            </w:r>
          </w:p>
        </w:tc>
        <w:tc>
          <w:tcPr>
            <w:tcW w:w="177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$5,734,721.57</w:t>
            </w:r>
          </w:p>
        </w:tc>
        <w:tc>
          <w:tcPr>
            <w:tcW w:w="131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$803.75</w:t>
            </w:r>
          </w:p>
        </w:tc>
        <w:tc>
          <w:tcPr>
            <w:tcW w:w="1402"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Fonts w:ascii="Arial" w:hAnsi="Arial"/>
              </w:rPr>
              <w:t>30%</w:t>
            </w:r>
          </w:p>
        </w:tc>
      </w:tr>
      <w:tr>
        <w:trPr/>
        <w:tc>
          <w:tcPr>
            <w:tcW w:w="277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Hy-vee Wine and Spirits / Iowa City</w:t>
            </w:r>
          </w:p>
        </w:tc>
        <w:tc>
          <w:tcPr>
            <w:tcW w:w="1017"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Johnson</w:t>
            </w:r>
          </w:p>
        </w:tc>
        <w:tc>
          <w:tcPr>
            <w:tcW w:w="123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2401</w:t>
            </w:r>
          </w:p>
        </w:tc>
        <w:tc>
          <w:tcPr>
            <w:tcW w:w="177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$5,665,143.70</w:t>
            </w:r>
          </w:p>
        </w:tc>
        <w:tc>
          <w:tcPr>
            <w:tcW w:w="131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$235.67</w:t>
            </w:r>
          </w:p>
        </w:tc>
        <w:tc>
          <w:tcPr>
            <w:tcW w:w="1402"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Fonts w:ascii="Arial" w:hAnsi="Arial"/>
              </w:rPr>
              <w:t>6%</w:t>
            </w:r>
          </w:p>
        </w:tc>
      </w:tr>
      <w:tr>
        <w:trPr/>
        <w:tc>
          <w:tcPr>
            <w:tcW w:w="277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Costco Wholesale #788</w:t>
            </w:r>
          </w:p>
        </w:tc>
        <w:tc>
          <w:tcPr>
            <w:tcW w:w="1017"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Dallas</w:t>
            </w:r>
          </w:p>
        </w:tc>
        <w:tc>
          <w:tcPr>
            <w:tcW w:w="123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877</w:t>
            </w:r>
          </w:p>
        </w:tc>
        <w:tc>
          <w:tcPr>
            <w:tcW w:w="177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$4,907,465.88</w:t>
            </w:r>
          </w:p>
        </w:tc>
        <w:tc>
          <w:tcPr>
            <w:tcW w:w="131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$1,825.69</w:t>
            </w:r>
          </w:p>
        </w:tc>
        <w:tc>
          <w:tcPr>
            <w:tcW w:w="1402"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Fonts w:ascii="Arial" w:hAnsi="Arial"/>
              </w:rPr>
              <w:t>32%</w:t>
            </w:r>
          </w:p>
        </w:tc>
      </w:tr>
      <w:tr>
        <w:trPr/>
        <w:tc>
          <w:tcPr>
            <w:tcW w:w="277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Lot-a-spirits</w:t>
            </w:r>
          </w:p>
        </w:tc>
        <w:tc>
          <w:tcPr>
            <w:tcW w:w="1017"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Scott</w:t>
            </w:r>
          </w:p>
        </w:tc>
        <w:tc>
          <w:tcPr>
            <w:tcW w:w="123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1302</w:t>
            </w:r>
          </w:p>
        </w:tc>
        <w:tc>
          <w:tcPr>
            <w:tcW w:w="177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$4,289,169.59</w:t>
            </w:r>
          </w:p>
        </w:tc>
        <w:tc>
          <w:tcPr>
            <w:tcW w:w="131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$319.73</w:t>
            </w:r>
          </w:p>
        </w:tc>
        <w:tc>
          <w:tcPr>
            <w:tcW w:w="1402"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Fonts w:ascii="Arial" w:hAnsi="Arial"/>
              </w:rPr>
              <w:t>3%</w:t>
            </w:r>
          </w:p>
        </w:tc>
      </w:tr>
      <w:tr>
        <w:trPr/>
        <w:tc>
          <w:tcPr>
            <w:tcW w:w="277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Sam's Club 8238 / Davenport</w:t>
            </w:r>
          </w:p>
        </w:tc>
        <w:tc>
          <w:tcPr>
            <w:tcW w:w="1017"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Scott</w:t>
            </w:r>
          </w:p>
        </w:tc>
        <w:tc>
          <w:tcPr>
            <w:tcW w:w="123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1021</w:t>
            </w:r>
          </w:p>
        </w:tc>
        <w:tc>
          <w:tcPr>
            <w:tcW w:w="177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$3,308,625.56</w:t>
            </w:r>
          </w:p>
        </w:tc>
        <w:tc>
          <w:tcPr>
            <w:tcW w:w="131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Fonts w:ascii="Arial" w:hAnsi="Arial"/>
              </w:rPr>
              <w:t>$623.56</w:t>
            </w:r>
          </w:p>
        </w:tc>
        <w:tc>
          <w:tcPr>
            <w:tcW w:w="1402"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Fonts w:ascii="Arial" w:hAnsi="Arial"/>
              </w:rPr>
              <w:t>24%</w:t>
            </w:r>
          </w:p>
        </w:tc>
      </w:tr>
      <w:tr>
        <w:trPr/>
        <w:tc>
          <w:tcPr>
            <w:tcW w:w="3789" w:type="dxa"/>
            <w:gridSpan w:val="2"/>
            <w:tcBorders>
              <w:top w:val="single" w:sz="2" w:space="0" w:color="000000"/>
              <w:left w:val="single" w:sz="2" w:space="0" w:color="000000"/>
              <w:bottom w:val="single" w:sz="2" w:space="0" w:color="000000"/>
            </w:tcBorders>
            <w:shd w:color="auto" w:fill="auto" w:val="clear"/>
          </w:tcPr>
          <w:p>
            <w:pPr>
              <w:pStyle w:val="Normal"/>
              <w:jc w:val="center"/>
              <w:rPr>
                <w:rFonts w:ascii="Arial" w:hAnsi="Arial"/>
                <w:b/>
                <w:b/>
                <w:bCs/>
              </w:rPr>
            </w:pPr>
            <w:r>
              <w:rPr>
                <w:rFonts w:ascii="Arial" w:hAnsi="Arial"/>
                <w:b/>
                <w:bCs/>
              </w:rPr>
              <w:t>Average</w:t>
            </w:r>
          </w:p>
        </w:tc>
        <w:tc>
          <w:tcPr>
            <w:tcW w:w="123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b/>
                <w:b/>
                <w:bCs/>
              </w:rPr>
            </w:pPr>
            <w:r>
              <w:rPr>
                <w:rFonts w:ascii="Arial" w:hAnsi="Arial"/>
                <w:b/>
                <w:bCs/>
              </w:rPr>
              <w:t>1572</w:t>
            </w:r>
          </w:p>
        </w:tc>
        <w:tc>
          <w:tcPr>
            <w:tcW w:w="1778"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b/>
                <w:b/>
                <w:bCs/>
              </w:rPr>
            </w:pPr>
            <w:r>
              <w:rPr>
                <w:rFonts w:ascii="Arial" w:hAnsi="Arial"/>
                <w:b/>
                <w:bCs/>
              </w:rPr>
              <w:t>$6,990,886</w:t>
            </w:r>
          </w:p>
        </w:tc>
        <w:tc>
          <w:tcPr>
            <w:tcW w:w="1312"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b/>
                <w:b/>
                <w:bCs/>
              </w:rPr>
            </w:pPr>
            <w:r>
              <w:rPr>
                <w:rFonts w:ascii="Arial" w:hAnsi="Arial"/>
                <w:b/>
                <w:bCs/>
              </w:rPr>
              <w:t>$731.18</w:t>
            </w:r>
          </w:p>
        </w:tc>
        <w:tc>
          <w:tcPr>
            <w:tcW w:w="1402"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b/>
                <w:b/>
                <w:bCs/>
              </w:rPr>
            </w:pPr>
            <w:r>
              <w:rPr>
                <w:rFonts w:ascii="Arial" w:hAnsi="Arial"/>
                <w:b/>
                <w:bCs/>
              </w:rPr>
              <w:t>18.45%</w:t>
            </w:r>
          </w:p>
        </w:tc>
      </w:tr>
    </w:tbl>
    <w:p>
      <w:pPr>
        <w:pStyle w:val="Normal"/>
        <w:rPr>
          <w:rFonts w:ascii="Arial" w:hAnsi="Arial"/>
        </w:rPr>
      </w:pPr>
      <w:r>
        <w:rPr>
          <w:rFonts w:ascii="Arial" w:hAnsi="Arial"/>
        </w:rPr>
      </w:r>
    </w:p>
    <w:p>
      <w:pPr>
        <w:pStyle w:val="Normal"/>
        <w:rPr>
          <w:rFonts w:ascii="Arial" w:hAnsi="Arial"/>
          <w:b/>
          <w:b/>
          <w:bCs/>
          <w:sz w:val="28"/>
          <w:szCs w:val="28"/>
        </w:rPr>
      </w:pPr>
      <w:r>
        <w:rPr>
          <w:rFonts w:ascii="Arial" w:hAnsi="Arial"/>
          <w:b/>
          <w:bCs/>
          <w:sz w:val="28"/>
          <w:szCs w:val="28"/>
        </w:rPr>
        <w:t>The top 10 stores in total sales on average have 18.45% transaction involving 100+ bottles. This indicates that sales are more consumer oriented than wholesale.</w:t>
      </w:r>
    </w:p>
    <w:p>
      <w:pPr>
        <w:pStyle w:val="Normal"/>
        <w:rPr>
          <w:rFonts w:ascii="Arial" w:hAnsi="Arial"/>
          <w:b/>
          <w:b/>
          <w:bCs/>
          <w:sz w:val="28"/>
          <w:szCs w:val="28"/>
        </w:rPr>
      </w:pPr>
      <w:r>
        <w:rPr>
          <w:rFonts w:ascii="Arial" w:hAnsi="Arial"/>
          <w:b/>
          <w:bCs/>
          <w:sz w:val="28"/>
          <w:szCs w:val="28"/>
        </w:rPr>
      </w:r>
      <w:r>
        <w:br w:type="page"/>
      </w:r>
    </w:p>
    <w:p>
      <w:pPr>
        <w:pStyle w:val="Normal"/>
        <w:rPr>
          <w:rFonts w:ascii="Arial" w:hAnsi="Arial"/>
          <w:b/>
          <w:b/>
          <w:bCs/>
          <w:sz w:val="28"/>
          <w:szCs w:val="28"/>
        </w:rPr>
      </w:pPr>
      <w:r>
        <w:rPr>
          <w:rFonts w:ascii="Arial" w:hAnsi="Arial"/>
          <w:b/>
          <w:bCs/>
          <w:sz w:val="28"/>
          <w:szCs w:val="28"/>
        </w:rPr>
      </w:r>
    </w:p>
    <w:p>
      <w:pPr>
        <w:pStyle w:val="Heading2"/>
        <w:numPr>
          <w:ilvl w:val="1"/>
          <w:numId w:val="2"/>
        </w:numPr>
        <w:rPr/>
      </w:pPr>
      <w:bookmarkStart w:id="6" w:name="__RefHeading___Toc1077_560194899"/>
      <w:bookmarkEnd w:id="6"/>
      <w:r>
        <w:rPr/>
        <w:t>Products</w:t>
      </w:r>
    </w:p>
    <w:p>
      <w:pPr>
        <w:pStyle w:val="Heading3"/>
        <w:numPr>
          <w:ilvl w:val="2"/>
          <w:numId w:val="5"/>
        </w:numPr>
        <w:rPr/>
      </w:pPr>
      <w:bookmarkStart w:id="7" w:name="__RefHeading___Toc1079_560194899"/>
      <w:bookmarkEnd w:id="7"/>
      <w:r>
        <w:rPr>
          <w:rStyle w:val="StrongEmphasis"/>
          <w:rFonts w:ascii="Arial" w:hAnsi="Arial"/>
        </w:rPr>
        <w:t>10 products make 25% of all sales in $</w:t>
      </w:r>
    </w:p>
    <w:p>
      <w:pPr>
        <w:pStyle w:val="Heading4"/>
        <w:numPr>
          <w:ilvl w:val="3"/>
          <w:numId w:val="4"/>
        </w:numPr>
        <w:rPr>
          <w:rFonts w:ascii="Arial" w:hAnsi="Arial"/>
        </w:rPr>
      </w:pPr>
      <w:bookmarkStart w:id="8" w:name="__RefHeading___Toc1081_560194899"/>
      <w:bookmarkEnd w:id="8"/>
      <w:r>
        <w:rPr>
          <w:rFonts w:ascii="Arial" w:hAnsi="Arial"/>
          <w:sz w:val="26"/>
          <w:szCs w:val="26"/>
        </w:rPr>
        <w:t>Total sales: $392,293,023</w:t>
      </w:r>
    </w:p>
    <w:p>
      <w:pPr>
        <w:pStyle w:val="Normal"/>
        <w:rPr>
          <w:rFonts w:ascii="Arial" w:hAnsi="Arial"/>
        </w:rPr>
      </w:pPr>
      <w:r>
        <w:rPr>
          <w:rFonts w:ascii="Arial" w:hAnsi="Arial"/>
        </w:rPr>
      </w:r>
    </w:p>
    <w:tbl>
      <w:tblPr>
        <w:tblW w:w="9360" w:type="dxa"/>
        <w:jc w:val="left"/>
        <w:tblInd w:w="0" w:type="dxa"/>
        <w:tblCellMar>
          <w:top w:w="55" w:type="dxa"/>
          <w:left w:w="47" w:type="dxa"/>
          <w:bottom w:w="55" w:type="dxa"/>
          <w:right w:w="55" w:type="dxa"/>
        </w:tblCellMar>
        <w:tblLook w:val="0000" w:noVBand="0" w:noHBand="0" w:lastColumn="0" w:firstColumn="0" w:lastRow="0" w:firstRow="0"/>
      </w:tblPr>
      <w:tblGrid>
        <w:gridCol w:w="2716"/>
        <w:gridCol w:w="2609"/>
        <w:gridCol w:w="1936"/>
        <w:gridCol w:w="2098"/>
      </w:tblGrid>
      <w:tr>
        <w:trPr/>
        <w:tc>
          <w:tcPr>
            <w:tcW w:w="2716" w:type="dxa"/>
            <w:tcBorders>
              <w:top w:val="single" w:sz="2" w:space="0" w:color="000000"/>
              <w:left w:val="single" w:sz="2" w:space="0" w:color="000000"/>
              <w:bottom w:val="single" w:sz="2" w:space="0" w:color="000000"/>
            </w:tcBorders>
            <w:shd w:color="auto" w:fill="auto" w:val="clear"/>
          </w:tcPr>
          <w:p>
            <w:pPr>
              <w:pStyle w:val="Normal"/>
              <w:jc w:val="center"/>
              <w:rPr>
                <w:b/>
                <w:b/>
                <w:bCs/>
                <w:sz w:val="22"/>
                <w:szCs w:val="22"/>
              </w:rPr>
            </w:pPr>
            <w:r>
              <w:rPr>
                <w:rStyle w:val="StrongEmphasis"/>
                <w:rFonts w:ascii="Arial" w:hAnsi="Arial"/>
              </w:rPr>
              <w:t>Description</w:t>
            </w:r>
          </w:p>
        </w:tc>
        <w:tc>
          <w:tcPr>
            <w:tcW w:w="2609" w:type="dxa"/>
            <w:tcBorders>
              <w:top w:val="single" w:sz="2" w:space="0" w:color="000000"/>
              <w:left w:val="single" w:sz="2" w:space="0" w:color="000000"/>
              <w:bottom w:val="single" w:sz="2" w:space="0" w:color="000000"/>
            </w:tcBorders>
            <w:shd w:color="auto" w:fill="auto" w:val="clear"/>
          </w:tcPr>
          <w:p>
            <w:pPr>
              <w:pStyle w:val="Normal"/>
              <w:jc w:val="center"/>
              <w:rPr>
                <w:b/>
                <w:b/>
                <w:bCs/>
                <w:sz w:val="22"/>
                <w:szCs w:val="22"/>
              </w:rPr>
            </w:pPr>
            <w:r>
              <w:rPr>
                <w:rStyle w:val="StrongEmphasis"/>
                <w:rFonts w:ascii="Arial" w:hAnsi="Arial"/>
              </w:rPr>
              <w:t>Category</w:t>
            </w:r>
          </w:p>
        </w:tc>
        <w:tc>
          <w:tcPr>
            <w:tcW w:w="1936" w:type="dxa"/>
            <w:tcBorders>
              <w:top w:val="single" w:sz="2" w:space="0" w:color="000000"/>
              <w:left w:val="single" w:sz="2" w:space="0" w:color="000000"/>
              <w:bottom w:val="single" w:sz="2" w:space="0" w:color="000000"/>
            </w:tcBorders>
            <w:shd w:color="auto" w:fill="auto" w:val="clear"/>
          </w:tcPr>
          <w:p>
            <w:pPr>
              <w:pStyle w:val="Normal"/>
              <w:jc w:val="center"/>
              <w:rPr>
                <w:b/>
                <w:b/>
                <w:bCs/>
                <w:sz w:val="22"/>
                <w:szCs w:val="22"/>
              </w:rPr>
            </w:pPr>
            <w:r>
              <w:rPr>
                <w:rStyle w:val="StrongEmphasis"/>
                <w:rFonts w:ascii="Arial" w:hAnsi="Arial"/>
              </w:rPr>
              <w:t>Sales</w:t>
            </w:r>
          </w:p>
        </w:tc>
        <w:tc>
          <w:tcPr>
            <w:tcW w:w="2098"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b/>
                <w:b/>
                <w:bCs/>
                <w:sz w:val="22"/>
                <w:szCs w:val="22"/>
              </w:rPr>
            </w:pPr>
            <w:r>
              <w:rPr>
                <w:rStyle w:val="StrongEmphasis"/>
                <w:rFonts w:ascii="Arial" w:hAnsi="Arial"/>
              </w:rPr>
              <w:t>% of total sales</w:t>
            </w:r>
          </w:p>
        </w:tc>
      </w:tr>
      <w:tr>
        <w:trPr/>
        <w:tc>
          <w:tcPr>
            <w:tcW w:w="271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Black Velvet</w:t>
            </w:r>
          </w:p>
        </w:tc>
        <w:tc>
          <w:tcPr>
            <w:tcW w:w="2609" w:type="dxa"/>
            <w:tcBorders>
              <w:top w:val="single" w:sz="2" w:space="0" w:color="000000"/>
              <w:left w:val="single" w:sz="2" w:space="0" w:color="000000"/>
              <w:bottom w:val="single" w:sz="2" w:space="0" w:color="000000"/>
            </w:tcBorders>
            <w:shd w:color="auto" w:fill="auto" w:val="clear"/>
          </w:tcPr>
          <w:p>
            <w:pPr>
              <w:pStyle w:val="Normal"/>
              <w:jc w:val="center"/>
              <w:rPr>
                <w:sz w:val="20"/>
                <w:szCs w:val="20"/>
              </w:rPr>
            </w:pPr>
            <w:r>
              <w:rPr>
                <w:rStyle w:val="StrongEmphasis"/>
                <w:rFonts w:ascii="Arial" w:hAnsi="Arial"/>
                <w:b w:val="false"/>
                <w:bCs w:val="false"/>
                <w:sz w:val="20"/>
                <w:szCs w:val="20"/>
              </w:rPr>
              <w:t>CANADIAN WHISKIES</w:t>
            </w:r>
          </w:p>
        </w:tc>
        <w:tc>
          <w:tcPr>
            <w:tcW w:w="193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$18,315,550.64</w:t>
            </w:r>
          </w:p>
        </w:tc>
        <w:tc>
          <w:tcPr>
            <w:tcW w:w="2098"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sz w:val="22"/>
                <w:szCs w:val="22"/>
              </w:rPr>
            </w:pPr>
            <w:r>
              <w:rPr>
                <w:rStyle w:val="StrongEmphasis"/>
                <w:rFonts w:ascii="Arial" w:hAnsi="Arial"/>
                <w:b w:val="false"/>
                <w:bCs w:val="false"/>
              </w:rPr>
              <w:t>4.67%</w:t>
            </w:r>
          </w:p>
        </w:tc>
      </w:tr>
      <w:tr>
        <w:trPr/>
        <w:tc>
          <w:tcPr>
            <w:tcW w:w="271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Captain Morgan Spiced Rum</w:t>
            </w:r>
          </w:p>
        </w:tc>
        <w:tc>
          <w:tcPr>
            <w:tcW w:w="2609" w:type="dxa"/>
            <w:tcBorders>
              <w:top w:val="single" w:sz="2" w:space="0" w:color="000000"/>
              <w:left w:val="single" w:sz="2" w:space="0" w:color="000000"/>
              <w:bottom w:val="single" w:sz="2" w:space="0" w:color="000000"/>
            </w:tcBorders>
            <w:shd w:color="auto" w:fill="auto" w:val="clear"/>
          </w:tcPr>
          <w:p>
            <w:pPr>
              <w:pStyle w:val="Normal"/>
              <w:jc w:val="center"/>
              <w:rPr>
                <w:sz w:val="20"/>
                <w:szCs w:val="20"/>
              </w:rPr>
            </w:pPr>
            <w:r>
              <w:rPr>
                <w:rStyle w:val="StrongEmphasis"/>
                <w:rFonts w:ascii="Arial" w:hAnsi="Arial"/>
                <w:b w:val="false"/>
                <w:bCs w:val="false"/>
                <w:sz w:val="20"/>
                <w:szCs w:val="20"/>
              </w:rPr>
              <w:t>SPICED RUM</w:t>
            </w:r>
          </w:p>
        </w:tc>
        <w:tc>
          <w:tcPr>
            <w:tcW w:w="193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$13,772,752.25</w:t>
            </w:r>
          </w:p>
        </w:tc>
        <w:tc>
          <w:tcPr>
            <w:tcW w:w="2098"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sz w:val="22"/>
                <w:szCs w:val="22"/>
              </w:rPr>
            </w:pPr>
            <w:r>
              <w:rPr>
                <w:rStyle w:val="StrongEmphasis"/>
                <w:rFonts w:ascii="Arial" w:hAnsi="Arial"/>
                <w:b w:val="false"/>
                <w:bCs w:val="false"/>
              </w:rPr>
              <w:t>3.51%</w:t>
            </w:r>
          </w:p>
        </w:tc>
      </w:tr>
      <w:tr>
        <w:trPr/>
        <w:tc>
          <w:tcPr>
            <w:tcW w:w="271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Jack Daniels Old #7 Black Lbl</w:t>
            </w:r>
          </w:p>
        </w:tc>
        <w:tc>
          <w:tcPr>
            <w:tcW w:w="2609" w:type="dxa"/>
            <w:tcBorders>
              <w:top w:val="single" w:sz="2" w:space="0" w:color="000000"/>
              <w:left w:val="single" w:sz="2" w:space="0" w:color="000000"/>
              <w:bottom w:val="single" w:sz="2" w:space="0" w:color="000000"/>
            </w:tcBorders>
            <w:shd w:color="auto" w:fill="auto" w:val="clear"/>
          </w:tcPr>
          <w:p>
            <w:pPr>
              <w:pStyle w:val="Normal"/>
              <w:jc w:val="center"/>
              <w:rPr>
                <w:sz w:val="20"/>
                <w:szCs w:val="20"/>
              </w:rPr>
            </w:pPr>
            <w:r>
              <w:rPr>
                <w:rStyle w:val="StrongEmphasis"/>
                <w:rFonts w:ascii="Arial" w:hAnsi="Arial"/>
                <w:b w:val="false"/>
                <w:bCs w:val="false"/>
                <w:sz w:val="20"/>
                <w:szCs w:val="20"/>
              </w:rPr>
              <w:t>TENNESSEE WHISKIES</w:t>
            </w:r>
          </w:p>
        </w:tc>
        <w:tc>
          <w:tcPr>
            <w:tcW w:w="193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$13,701,656.82</w:t>
            </w:r>
          </w:p>
        </w:tc>
        <w:tc>
          <w:tcPr>
            <w:tcW w:w="2098"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sz w:val="22"/>
                <w:szCs w:val="22"/>
              </w:rPr>
            </w:pPr>
            <w:r>
              <w:rPr>
                <w:rStyle w:val="StrongEmphasis"/>
                <w:rFonts w:ascii="Arial" w:hAnsi="Arial"/>
                <w:b w:val="false"/>
                <w:bCs w:val="false"/>
              </w:rPr>
              <w:t>3.49%</w:t>
            </w:r>
          </w:p>
        </w:tc>
      </w:tr>
      <w:tr>
        <w:trPr/>
        <w:tc>
          <w:tcPr>
            <w:tcW w:w="271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Fireball Cinnamon Whiskey</w:t>
            </w:r>
          </w:p>
        </w:tc>
        <w:tc>
          <w:tcPr>
            <w:tcW w:w="2609" w:type="dxa"/>
            <w:tcBorders>
              <w:top w:val="single" w:sz="2" w:space="0" w:color="000000"/>
              <w:left w:val="single" w:sz="2" w:space="0" w:color="000000"/>
              <w:bottom w:val="single" w:sz="2" w:space="0" w:color="000000"/>
            </w:tcBorders>
            <w:shd w:color="auto" w:fill="auto" w:val="clear"/>
          </w:tcPr>
          <w:p>
            <w:pPr>
              <w:pStyle w:val="Normal"/>
              <w:jc w:val="center"/>
              <w:rPr>
                <w:sz w:val="20"/>
                <w:szCs w:val="20"/>
              </w:rPr>
            </w:pPr>
            <w:r>
              <w:rPr>
                <w:rStyle w:val="StrongEmphasis"/>
                <w:rFonts w:ascii="Arial" w:hAnsi="Arial"/>
                <w:b w:val="false"/>
                <w:bCs w:val="false"/>
                <w:sz w:val="20"/>
                <w:szCs w:val="20"/>
              </w:rPr>
              <w:t>WHISKEY LIQUEUR</w:t>
            </w:r>
          </w:p>
        </w:tc>
        <w:tc>
          <w:tcPr>
            <w:tcW w:w="193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$10,622,967.34</w:t>
            </w:r>
          </w:p>
        </w:tc>
        <w:tc>
          <w:tcPr>
            <w:tcW w:w="2098"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sz w:val="22"/>
                <w:szCs w:val="22"/>
              </w:rPr>
            </w:pPr>
            <w:r>
              <w:rPr>
                <w:rStyle w:val="StrongEmphasis"/>
                <w:rFonts w:ascii="Arial" w:hAnsi="Arial"/>
                <w:b w:val="false"/>
                <w:bCs w:val="false"/>
              </w:rPr>
              <w:t>2.71%</w:t>
            </w:r>
          </w:p>
        </w:tc>
      </w:tr>
      <w:tr>
        <w:trPr/>
        <w:tc>
          <w:tcPr>
            <w:tcW w:w="271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Crown Royal Canadian Whisky</w:t>
            </w:r>
          </w:p>
        </w:tc>
        <w:tc>
          <w:tcPr>
            <w:tcW w:w="2609" w:type="dxa"/>
            <w:tcBorders>
              <w:top w:val="single" w:sz="2" w:space="0" w:color="000000"/>
              <w:left w:val="single" w:sz="2" w:space="0" w:color="000000"/>
              <w:bottom w:val="single" w:sz="2" w:space="0" w:color="000000"/>
            </w:tcBorders>
            <w:shd w:color="auto" w:fill="auto" w:val="clear"/>
          </w:tcPr>
          <w:p>
            <w:pPr>
              <w:pStyle w:val="Normal"/>
              <w:jc w:val="center"/>
              <w:rPr>
                <w:sz w:val="20"/>
                <w:szCs w:val="20"/>
              </w:rPr>
            </w:pPr>
            <w:r>
              <w:rPr>
                <w:rStyle w:val="StrongEmphasis"/>
                <w:rFonts w:ascii="Arial" w:hAnsi="Arial"/>
                <w:b w:val="false"/>
                <w:bCs w:val="false"/>
                <w:sz w:val="20"/>
                <w:szCs w:val="20"/>
              </w:rPr>
              <w:t>CANADIAN WHISKIES</w:t>
            </w:r>
          </w:p>
        </w:tc>
        <w:tc>
          <w:tcPr>
            <w:tcW w:w="193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$9,714,022.78</w:t>
            </w:r>
          </w:p>
        </w:tc>
        <w:tc>
          <w:tcPr>
            <w:tcW w:w="2098"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sz w:val="22"/>
                <w:szCs w:val="22"/>
              </w:rPr>
            </w:pPr>
            <w:r>
              <w:rPr>
                <w:rStyle w:val="StrongEmphasis"/>
                <w:rFonts w:ascii="Arial" w:hAnsi="Arial"/>
                <w:b w:val="false"/>
                <w:bCs w:val="false"/>
              </w:rPr>
              <w:t>2.48%</w:t>
            </w:r>
          </w:p>
        </w:tc>
      </w:tr>
      <w:tr>
        <w:trPr/>
        <w:tc>
          <w:tcPr>
            <w:tcW w:w="271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Hawkeye Vodka</w:t>
            </w:r>
          </w:p>
        </w:tc>
        <w:tc>
          <w:tcPr>
            <w:tcW w:w="2609" w:type="dxa"/>
            <w:tcBorders>
              <w:top w:val="single" w:sz="2" w:space="0" w:color="000000"/>
              <w:left w:val="single" w:sz="2" w:space="0" w:color="000000"/>
              <w:bottom w:val="single" w:sz="2" w:space="0" w:color="000000"/>
            </w:tcBorders>
            <w:shd w:color="auto" w:fill="auto" w:val="clear"/>
          </w:tcPr>
          <w:p>
            <w:pPr>
              <w:pStyle w:val="Normal"/>
              <w:jc w:val="center"/>
              <w:rPr>
                <w:sz w:val="20"/>
                <w:szCs w:val="20"/>
              </w:rPr>
            </w:pPr>
            <w:r>
              <w:rPr>
                <w:rStyle w:val="StrongEmphasis"/>
                <w:rFonts w:ascii="Arial" w:hAnsi="Arial"/>
                <w:b w:val="false"/>
                <w:bCs w:val="false"/>
                <w:sz w:val="20"/>
                <w:szCs w:val="20"/>
              </w:rPr>
              <w:t>80 PROOF VODKA</w:t>
            </w:r>
          </w:p>
        </w:tc>
        <w:tc>
          <w:tcPr>
            <w:tcW w:w="193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$8,730,823.84</w:t>
            </w:r>
          </w:p>
        </w:tc>
        <w:tc>
          <w:tcPr>
            <w:tcW w:w="2098"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sz w:val="22"/>
                <w:szCs w:val="22"/>
              </w:rPr>
            </w:pPr>
            <w:r>
              <w:rPr>
                <w:rStyle w:val="StrongEmphasis"/>
                <w:rFonts w:ascii="Arial" w:hAnsi="Arial"/>
                <w:b w:val="false"/>
                <w:bCs w:val="false"/>
              </w:rPr>
              <w:t>2.23%</w:t>
            </w:r>
          </w:p>
        </w:tc>
      </w:tr>
      <w:tr>
        <w:trPr/>
        <w:tc>
          <w:tcPr>
            <w:tcW w:w="271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Absolut Swedish Vodka 80 Prf</w:t>
            </w:r>
          </w:p>
        </w:tc>
        <w:tc>
          <w:tcPr>
            <w:tcW w:w="2609" w:type="dxa"/>
            <w:tcBorders>
              <w:top w:val="single" w:sz="2" w:space="0" w:color="000000"/>
              <w:left w:val="single" w:sz="2" w:space="0" w:color="000000"/>
              <w:bottom w:val="single" w:sz="2" w:space="0" w:color="000000"/>
            </w:tcBorders>
            <w:shd w:color="auto" w:fill="auto" w:val="clear"/>
          </w:tcPr>
          <w:p>
            <w:pPr>
              <w:pStyle w:val="Normal"/>
              <w:jc w:val="center"/>
              <w:rPr>
                <w:sz w:val="20"/>
                <w:szCs w:val="20"/>
              </w:rPr>
            </w:pPr>
            <w:r>
              <w:rPr>
                <w:rStyle w:val="StrongEmphasis"/>
                <w:rFonts w:ascii="Arial" w:hAnsi="Arial"/>
                <w:b w:val="false"/>
                <w:bCs w:val="false"/>
                <w:sz w:val="20"/>
                <w:szCs w:val="20"/>
              </w:rPr>
              <w:t>IMPORTED VODKA</w:t>
            </w:r>
          </w:p>
        </w:tc>
        <w:tc>
          <w:tcPr>
            <w:tcW w:w="193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$7,431,864.05</w:t>
            </w:r>
          </w:p>
        </w:tc>
        <w:tc>
          <w:tcPr>
            <w:tcW w:w="2098"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sz w:val="22"/>
                <w:szCs w:val="22"/>
              </w:rPr>
            </w:pPr>
            <w:r>
              <w:rPr>
                <w:rStyle w:val="StrongEmphasis"/>
                <w:rFonts w:ascii="Arial" w:hAnsi="Arial"/>
                <w:b w:val="false"/>
                <w:bCs w:val="false"/>
              </w:rPr>
              <w:t>1.89%</w:t>
            </w:r>
          </w:p>
        </w:tc>
      </w:tr>
      <w:tr>
        <w:trPr/>
        <w:tc>
          <w:tcPr>
            <w:tcW w:w="271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Grey Goose Vodka</w:t>
            </w:r>
          </w:p>
        </w:tc>
        <w:tc>
          <w:tcPr>
            <w:tcW w:w="2609" w:type="dxa"/>
            <w:tcBorders>
              <w:top w:val="single" w:sz="2" w:space="0" w:color="000000"/>
              <w:left w:val="single" w:sz="2" w:space="0" w:color="000000"/>
              <w:bottom w:val="single" w:sz="2" w:space="0" w:color="000000"/>
            </w:tcBorders>
            <w:shd w:color="auto" w:fill="auto" w:val="clear"/>
          </w:tcPr>
          <w:p>
            <w:pPr>
              <w:pStyle w:val="Normal"/>
              <w:jc w:val="center"/>
              <w:rPr>
                <w:sz w:val="20"/>
                <w:szCs w:val="20"/>
              </w:rPr>
            </w:pPr>
            <w:r>
              <w:rPr>
                <w:rStyle w:val="StrongEmphasis"/>
                <w:rFonts w:ascii="Arial" w:hAnsi="Arial"/>
                <w:b w:val="false"/>
                <w:bCs w:val="false"/>
                <w:sz w:val="20"/>
                <w:szCs w:val="20"/>
              </w:rPr>
              <w:t>IMPORTED VODKA</w:t>
            </w:r>
          </w:p>
        </w:tc>
        <w:tc>
          <w:tcPr>
            <w:tcW w:w="193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$6,444,939.38</w:t>
            </w:r>
          </w:p>
        </w:tc>
        <w:tc>
          <w:tcPr>
            <w:tcW w:w="2098"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sz w:val="22"/>
                <w:szCs w:val="22"/>
              </w:rPr>
            </w:pPr>
            <w:r>
              <w:rPr>
                <w:rStyle w:val="StrongEmphasis"/>
                <w:rFonts w:ascii="Arial" w:hAnsi="Arial"/>
                <w:b w:val="false"/>
                <w:bCs w:val="false"/>
              </w:rPr>
              <w:t>1.64%</w:t>
            </w:r>
          </w:p>
        </w:tc>
      </w:tr>
      <w:tr>
        <w:trPr/>
        <w:tc>
          <w:tcPr>
            <w:tcW w:w="271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Jagermeister Liqueur</w:t>
            </w:r>
          </w:p>
        </w:tc>
        <w:tc>
          <w:tcPr>
            <w:tcW w:w="2609" w:type="dxa"/>
            <w:tcBorders>
              <w:top w:val="single" w:sz="2" w:space="0" w:color="000000"/>
              <w:left w:val="single" w:sz="2" w:space="0" w:color="000000"/>
              <w:bottom w:val="single" w:sz="2" w:space="0" w:color="000000"/>
            </w:tcBorders>
            <w:shd w:color="auto" w:fill="auto" w:val="clear"/>
          </w:tcPr>
          <w:p>
            <w:pPr>
              <w:pStyle w:val="Normal"/>
              <w:jc w:val="center"/>
              <w:rPr>
                <w:sz w:val="20"/>
                <w:szCs w:val="20"/>
              </w:rPr>
            </w:pPr>
            <w:r>
              <w:rPr>
                <w:rStyle w:val="StrongEmphasis"/>
                <w:rFonts w:ascii="Arial" w:hAnsi="Arial"/>
                <w:b w:val="false"/>
                <w:bCs w:val="false"/>
                <w:sz w:val="20"/>
                <w:szCs w:val="20"/>
              </w:rPr>
              <w:t>MISC. IMPORTED CORDIALS &amp; LIQUEURS</w:t>
            </w:r>
          </w:p>
        </w:tc>
        <w:tc>
          <w:tcPr>
            <w:tcW w:w="193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$6,298,430.40</w:t>
            </w:r>
          </w:p>
        </w:tc>
        <w:tc>
          <w:tcPr>
            <w:tcW w:w="2098"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sz w:val="22"/>
                <w:szCs w:val="22"/>
              </w:rPr>
            </w:pPr>
            <w:r>
              <w:rPr>
                <w:rStyle w:val="StrongEmphasis"/>
                <w:rFonts w:ascii="Arial" w:hAnsi="Arial"/>
                <w:b w:val="false"/>
                <w:bCs w:val="false"/>
              </w:rPr>
              <w:t>1.61%</w:t>
            </w:r>
          </w:p>
        </w:tc>
      </w:tr>
      <w:tr>
        <w:trPr/>
        <w:tc>
          <w:tcPr>
            <w:tcW w:w="271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Jim Beam</w:t>
            </w:r>
          </w:p>
        </w:tc>
        <w:tc>
          <w:tcPr>
            <w:tcW w:w="2609" w:type="dxa"/>
            <w:tcBorders>
              <w:top w:val="single" w:sz="2" w:space="0" w:color="000000"/>
              <w:left w:val="single" w:sz="2" w:space="0" w:color="000000"/>
              <w:bottom w:val="single" w:sz="2" w:space="0" w:color="000000"/>
            </w:tcBorders>
            <w:shd w:color="auto" w:fill="auto" w:val="clear"/>
          </w:tcPr>
          <w:p>
            <w:pPr>
              <w:pStyle w:val="Normal"/>
              <w:jc w:val="center"/>
              <w:rPr>
                <w:sz w:val="20"/>
                <w:szCs w:val="20"/>
              </w:rPr>
            </w:pPr>
            <w:r>
              <w:rPr>
                <w:rStyle w:val="StrongEmphasis"/>
                <w:rFonts w:ascii="Arial" w:hAnsi="Arial"/>
                <w:b w:val="false"/>
                <w:bCs w:val="false"/>
                <w:sz w:val="20"/>
                <w:szCs w:val="20"/>
              </w:rPr>
              <w:t>STRAIGHT BOURBON WHISKIES</w:t>
            </w:r>
          </w:p>
        </w:tc>
        <w:tc>
          <w:tcPr>
            <w:tcW w:w="1936" w:type="dxa"/>
            <w:tcBorders>
              <w:top w:val="single" w:sz="2" w:space="0" w:color="000000"/>
              <w:left w:val="single" w:sz="2" w:space="0" w:color="000000"/>
              <w:bottom w:val="single" w:sz="2" w:space="0" w:color="000000"/>
            </w:tcBorders>
            <w:shd w:color="auto" w:fill="auto" w:val="clear"/>
          </w:tcPr>
          <w:p>
            <w:pPr>
              <w:pStyle w:val="Normal"/>
              <w:jc w:val="center"/>
              <w:rPr>
                <w:sz w:val="22"/>
                <w:szCs w:val="22"/>
              </w:rPr>
            </w:pPr>
            <w:r>
              <w:rPr>
                <w:rStyle w:val="StrongEmphasis"/>
                <w:rFonts w:ascii="Arial" w:hAnsi="Arial"/>
                <w:b w:val="false"/>
                <w:bCs w:val="false"/>
                <w:sz w:val="22"/>
                <w:szCs w:val="22"/>
              </w:rPr>
              <w:t>$5,163,920.19</w:t>
            </w:r>
          </w:p>
        </w:tc>
        <w:tc>
          <w:tcPr>
            <w:tcW w:w="2098"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sz w:val="22"/>
                <w:szCs w:val="22"/>
              </w:rPr>
            </w:pPr>
            <w:r>
              <w:rPr>
                <w:rStyle w:val="StrongEmphasis"/>
                <w:rFonts w:ascii="Arial" w:hAnsi="Arial"/>
                <w:b w:val="false"/>
                <w:bCs w:val="false"/>
              </w:rPr>
              <w:t>1.32%</w:t>
            </w:r>
          </w:p>
        </w:tc>
      </w:tr>
      <w:tr>
        <w:trPr/>
        <w:tc>
          <w:tcPr>
            <w:tcW w:w="5325" w:type="dxa"/>
            <w:gridSpan w:val="2"/>
            <w:tcBorders>
              <w:top w:val="single" w:sz="2" w:space="0" w:color="000000"/>
              <w:left w:val="single" w:sz="2" w:space="0" w:color="000000"/>
              <w:bottom w:val="single" w:sz="2" w:space="0" w:color="000000"/>
            </w:tcBorders>
            <w:shd w:color="auto" w:fill="auto" w:val="clear"/>
          </w:tcPr>
          <w:p>
            <w:pPr>
              <w:pStyle w:val="Normal"/>
              <w:jc w:val="center"/>
              <w:rPr>
                <w:b/>
                <w:b/>
                <w:bCs/>
                <w:sz w:val="22"/>
                <w:szCs w:val="22"/>
              </w:rPr>
            </w:pPr>
            <w:r>
              <w:rPr>
                <w:rStyle w:val="StrongEmphasis"/>
                <w:rFonts w:ascii="Arial" w:hAnsi="Arial"/>
              </w:rPr>
              <w:t>Total</w:t>
            </w:r>
          </w:p>
        </w:tc>
        <w:tc>
          <w:tcPr>
            <w:tcW w:w="1936" w:type="dxa"/>
            <w:tcBorders>
              <w:top w:val="single" w:sz="2" w:space="0" w:color="000000"/>
              <w:left w:val="single" w:sz="2" w:space="0" w:color="000000"/>
              <w:bottom w:val="single" w:sz="2" w:space="0" w:color="000000"/>
            </w:tcBorders>
            <w:shd w:color="auto" w:fill="auto" w:val="clear"/>
          </w:tcPr>
          <w:p>
            <w:pPr>
              <w:pStyle w:val="Normal"/>
              <w:jc w:val="center"/>
              <w:rPr>
                <w:b/>
                <w:b/>
                <w:bCs/>
                <w:sz w:val="22"/>
                <w:szCs w:val="22"/>
              </w:rPr>
            </w:pPr>
            <w:r>
              <w:rPr>
                <w:rStyle w:val="StrongEmphasis"/>
                <w:rFonts w:ascii="Arial" w:hAnsi="Arial"/>
                <w:b w:val="false"/>
                <w:bCs w:val="false"/>
                <w:sz w:val="22"/>
                <w:szCs w:val="22"/>
              </w:rPr>
              <w:t>$100,196,927.69</w:t>
            </w:r>
          </w:p>
        </w:tc>
        <w:tc>
          <w:tcPr>
            <w:tcW w:w="2098"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b/>
                <w:b/>
                <w:bCs/>
                <w:sz w:val="22"/>
                <w:szCs w:val="22"/>
              </w:rPr>
            </w:pPr>
            <w:r>
              <w:rPr>
                <w:rStyle w:val="StrongEmphasis"/>
                <w:rFonts w:ascii="Arial" w:hAnsi="Arial"/>
                <w:b w:val="false"/>
                <w:bCs w:val="false"/>
              </w:rPr>
              <w:t>25.54%</w:t>
            </w:r>
          </w:p>
        </w:tc>
      </w:tr>
    </w:tbl>
    <w:p>
      <w:pPr>
        <w:pStyle w:val="Normal"/>
        <w:rPr>
          <w:rStyle w:val="StrongEmphasis"/>
          <w:rFonts w:ascii="Arial" w:hAnsi="Arial"/>
        </w:rPr>
      </w:pPr>
      <w:r>
        <w:rPr>
          <w:rFonts w:ascii="Arial" w:hAnsi="Arial"/>
        </w:rPr>
      </w:r>
      <w:r>
        <w:br w:type="page"/>
      </w:r>
    </w:p>
    <w:p>
      <w:pPr>
        <w:pStyle w:val="Normal"/>
        <w:rPr>
          <w:rStyle w:val="StrongEmphasis"/>
          <w:rFonts w:ascii="Arial" w:hAnsi="Arial"/>
        </w:rPr>
      </w:pPr>
      <w:r>
        <w:rPr>
          <w:rFonts w:ascii="Arial" w:hAnsi="Arial"/>
        </w:rPr>
      </w:r>
    </w:p>
    <w:tbl>
      <w:tblPr>
        <w:tblW w:w="9360" w:type="dxa"/>
        <w:jc w:val="left"/>
        <w:tblInd w:w="0" w:type="dxa"/>
        <w:tblCellMar>
          <w:top w:w="55" w:type="dxa"/>
          <w:left w:w="52" w:type="dxa"/>
          <w:bottom w:w="55" w:type="dxa"/>
          <w:right w:w="55" w:type="dxa"/>
        </w:tblCellMar>
        <w:tblLook w:val="0000" w:noVBand="0" w:noHBand="0" w:lastColumn="0" w:firstColumn="0" w:lastRow="0" w:firstRow="0"/>
      </w:tblPr>
      <w:tblGrid>
        <w:gridCol w:w="2915"/>
        <w:gridCol w:w="1763"/>
        <w:gridCol w:w="1560"/>
        <w:gridCol w:w="1559"/>
        <w:gridCol w:w="1563"/>
      </w:tblGrid>
      <w:tr>
        <w:trPr/>
        <w:tc>
          <w:tcPr>
            <w:tcW w:w="291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b/>
                <w:b/>
                <w:bCs/>
              </w:rPr>
            </w:pPr>
            <w:r>
              <w:rPr>
                <w:rFonts w:ascii="Arial" w:hAnsi="Arial"/>
                <w:b/>
                <w:bCs/>
              </w:rPr>
              <w:t>Item</w:t>
            </w:r>
          </w:p>
        </w:tc>
        <w:tc>
          <w:tcPr>
            <w:tcW w:w="17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b/>
                <w:b/>
                <w:bCs/>
              </w:rPr>
            </w:pPr>
            <w:r>
              <w:rPr>
                <w:rFonts w:ascii="Arial" w:hAnsi="Arial"/>
                <w:b/>
                <w:bCs/>
              </w:rPr>
              <w:t>avg btl price</w:t>
            </w:r>
          </w:p>
        </w:tc>
        <w:tc>
          <w:tcPr>
            <w:tcW w:w="156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b/>
                <w:b/>
                <w:bCs/>
              </w:rPr>
            </w:pPr>
            <w:r>
              <w:rPr>
                <w:rFonts w:ascii="Arial" w:hAnsi="Arial"/>
                <w:b/>
                <w:bCs/>
              </w:rPr>
              <w:t>avg sale</w:t>
            </w:r>
          </w:p>
        </w:tc>
        <w:tc>
          <w:tcPr>
            <w:tcW w:w="155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b/>
                <w:b/>
                <w:bCs/>
              </w:rPr>
            </w:pPr>
            <w:r>
              <w:rPr>
                <w:rFonts w:ascii="Arial" w:hAnsi="Arial"/>
                <w:b/>
                <w:bCs/>
              </w:rPr>
              <w:t>avg btl qty</w:t>
            </w:r>
          </w:p>
        </w:tc>
        <w:tc>
          <w:tcPr>
            <w:tcW w:w="1563"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b/>
                <w:b/>
                <w:bCs/>
              </w:rPr>
            </w:pPr>
            <w:r>
              <w:rPr>
                <w:rFonts w:ascii="Arial" w:hAnsi="Arial"/>
                <w:b/>
                <w:bCs/>
              </w:rPr>
              <w:t>count</w:t>
            </w:r>
          </w:p>
        </w:tc>
      </w:tr>
      <w:tr>
        <w:trPr/>
        <w:tc>
          <w:tcPr>
            <w:tcW w:w="291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Black Velvet</w:t>
            </w:r>
          </w:p>
        </w:tc>
        <w:tc>
          <w:tcPr>
            <w:tcW w:w="17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$10.17</w:t>
            </w:r>
          </w:p>
        </w:tc>
        <w:tc>
          <w:tcPr>
            <w:tcW w:w="156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$225.85</w:t>
            </w:r>
          </w:p>
        </w:tc>
        <w:tc>
          <w:tcPr>
            <w:tcW w:w="155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20.62</w:t>
            </w:r>
          </w:p>
        </w:tc>
        <w:tc>
          <w:tcPr>
            <w:tcW w:w="1563"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sz w:val="22"/>
                <w:szCs w:val="22"/>
              </w:rPr>
            </w:pPr>
            <w:r>
              <w:rPr>
                <w:rFonts w:ascii="Arial" w:hAnsi="Arial"/>
                <w:sz w:val="22"/>
                <w:szCs w:val="22"/>
              </w:rPr>
              <w:t>81,095</w:t>
            </w:r>
          </w:p>
        </w:tc>
      </w:tr>
      <w:tr>
        <w:trPr/>
        <w:tc>
          <w:tcPr>
            <w:tcW w:w="291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Hawkeye Vodka</w:t>
            </w:r>
          </w:p>
        </w:tc>
        <w:tc>
          <w:tcPr>
            <w:tcW w:w="17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$7.31</w:t>
            </w:r>
          </w:p>
        </w:tc>
        <w:tc>
          <w:tcPr>
            <w:tcW w:w="156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$117.56</w:t>
            </w:r>
          </w:p>
        </w:tc>
        <w:tc>
          <w:tcPr>
            <w:tcW w:w="155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16.06</w:t>
            </w:r>
          </w:p>
        </w:tc>
        <w:tc>
          <w:tcPr>
            <w:tcW w:w="1563"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sz w:val="22"/>
                <w:szCs w:val="22"/>
              </w:rPr>
            </w:pPr>
            <w:r>
              <w:rPr>
                <w:rFonts w:ascii="Arial" w:hAnsi="Arial"/>
                <w:sz w:val="22"/>
                <w:szCs w:val="22"/>
              </w:rPr>
              <w:t>74,264</w:t>
            </w:r>
          </w:p>
        </w:tc>
      </w:tr>
      <w:tr>
        <w:trPr/>
        <w:tc>
          <w:tcPr>
            <w:tcW w:w="291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Seagrams 7 Crown Bl Whiskey</w:t>
            </w:r>
          </w:p>
        </w:tc>
        <w:tc>
          <w:tcPr>
            <w:tcW w:w="17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$12.40</w:t>
            </w:r>
          </w:p>
        </w:tc>
        <w:tc>
          <w:tcPr>
            <w:tcW w:w="156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$109.43</w:t>
            </w:r>
          </w:p>
        </w:tc>
        <w:tc>
          <w:tcPr>
            <w:tcW w:w="155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8.95</w:t>
            </w:r>
          </w:p>
        </w:tc>
        <w:tc>
          <w:tcPr>
            <w:tcW w:w="1563"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sz w:val="22"/>
                <w:szCs w:val="22"/>
              </w:rPr>
            </w:pPr>
            <w:r>
              <w:rPr>
                <w:rFonts w:ascii="Arial" w:hAnsi="Arial"/>
                <w:sz w:val="22"/>
                <w:szCs w:val="22"/>
              </w:rPr>
              <w:t>39,577</w:t>
            </w:r>
          </w:p>
        </w:tc>
      </w:tr>
      <w:tr>
        <w:trPr/>
        <w:tc>
          <w:tcPr>
            <w:tcW w:w="291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Captain Morgan Spiced Rum</w:t>
            </w:r>
          </w:p>
        </w:tc>
        <w:tc>
          <w:tcPr>
            <w:tcW w:w="17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$17.65</w:t>
            </w:r>
          </w:p>
        </w:tc>
        <w:tc>
          <w:tcPr>
            <w:tcW w:w="156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$367.78</w:t>
            </w:r>
          </w:p>
        </w:tc>
        <w:tc>
          <w:tcPr>
            <w:tcW w:w="155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20.48</w:t>
            </w:r>
          </w:p>
        </w:tc>
        <w:tc>
          <w:tcPr>
            <w:tcW w:w="1563"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sz w:val="22"/>
                <w:szCs w:val="22"/>
              </w:rPr>
            </w:pPr>
            <w:r>
              <w:rPr>
                <w:rFonts w:ascii="Arial" w:hAnsi="Arial"/>
                <w:sz w:val="22"/>
                <w:szCs w:val="22"/>
              </w:rPr>
              <w:t>37,448</w:t>
            </w:r>
          </w:p>
        </w:tc>
      </w:tr>
      <w:tr>
        <w:trPr/>
        <w:tc>
          <w:tcPr>
            <w:tcW w:w="291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Smirnoff Vodka 80 Prf</w:t>
            </w:r>
          </w:p>
        </w:tc>
        <w:tc>
          <w:tcPr>
            <w:tcW w:w="17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$11.82</w:t>
            </w:r>
          </w:p>
        </w:tc>
        <w:tc>
          <w:tcPr>
            <w:tcW w:w="156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$134.95</w:t>
            </w:r>
          </w:p>
        </w:tc>
        <w:tc>
          <w:tcPr>
            <w:tcW w:w="155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11.77</w:t>
            </w:r>
          </w:p>
        </w:tc>
        <w:tc>
          <w:tcPr>
            <w:tcW w:w="1563"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sz w:val="22"/>
                <w:szCs w:val="22"/>
              </w:rPr>
            </w:pPr>
            <w:r>
              <w:rPr>
                <w:rFonts w:ascii="Arial" w:hAnsi="Arial"/>
                <w:sz w:val="22"/>
                <w:szCs w:val="22"/>
              </w:rPr>
              <w:t>36,136</w:t>
            </w:r>
          </w:p>
        </w:tc>
      </w:tr>
      <w:tr>
        <w:trPr/>
        <w:tc>
          <w:tcPr>
            <w:tcW w:w="291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Fireball Cinnamon Whiskey</w:t>
            </w:r>
          </w:p>
        </w:tc>
        <w:tc>
          <w:tcPr>
            <w:tcW w:w="17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$15.58</w:t>
            </w:r>
          </w:p>
        </w:tc>
        <w:tc>
          <w:tcPr>
            <w:tcW w:w="156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$294.55</w:t>
            </w:r>
          </w:p>
        </w:tc>
        <w:tc>
          <w:tcPr>
            <w:tcW w:w="155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18.47</w:t>
            </w:r>
          </w:p>
        </w:tc>
        <w:tc>
          <w:tcPr>
            <w:tcW w:w="1563"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sz w:val="22"/>
                <w:szCs w:val="22"/>
              </w:rPr>
            </w:pPr>
            <w:r>
              <w:rPr>
                <w:rFonts w:ascii="Arial" w:hAnsi="Arial"/>
                <w:sz w:val="22"/>
                <w:szCs w:val="22"/>
              </w:rPr>
              <w:t>36,065</w:t>
            </w:r>
          </w:p>
        </w:tc>
      </w:tr>
      <w:tr>
        <w:trPr/>
        <w:tc>
          <w:tcPr>
            <w:tcW w:w="291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Jack Daniels Old #7 Black Lbl</w:t>
            </w:r>
          </w:p>
        </w:tc>
        <w:tc>
          <w:tcPr>
            <w:tcW w:w="17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$25.33</w:t>
            </w:r>
          </w:p>
        </w:tc>
        <w:tc>
          <w:tcPr>
            <w:tcW w:w="156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$385.22</w:t>
            </w:r>
          </w:p>
        </w:tc>
        <w:tc>
          <w:tcPr>
            <w:tcW w:w="155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15.36</w:t>
            </w:r>
          </w:p>
        </w:tc>
        <w:tc>
          <w:tcPr>
            <w:tcW w:w="1563"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sz w:val="22"/>
                <w:szCs w:val="22"/>
              </w:rPr>
            </w:pPr>
            <w:r>
              <w:rPr>
                <w:rFonts w:ascii="Arial" w:hAnsi="Arial"/>
                <w:sz w:val="22"/>
                <w:szCs w:val="22"/>
              </w:rPr>
              <w:t>35,568</w:t>
            </w:r>
          </w:p>
        </w:tc>
      </w:tr>
      <w:tr>
        <w:trPr/>
        <w:tc>
          <w:tcPr>
            <w:tcW w:w="291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Absolut Swedish Vodka 80 Prf</w:t>
            </w:r>
          </w:p>
        </w:tc>
        <w:tc>
          <w:tcPr>
            <w:tcW w:w="17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$19.28</w:t>
            </w:r>
          </w:p>
        </w:tc>
        <w:tc>
          <w:tcPr>
            <w:tcW w:w="156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$224.27</w:t>
            </w:r>
          </w:p>
        </w:tc>
        <w:tc>
          <w:tcPr>
            <w:tcW w:w="155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11.02</w:t>
            </w:r>
          </w:p>
        </w:tc>
        <w:tc>
          <w:tcPr>
            <w:tcW w:w="1563"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sz w:val="22"/>
                <w:szCs w:val="22"/>
              </w:rPr>
            </w:pPr>
            <w:r>
              <w:rPr>
                <w:rFonts w:ascii="Arial" w:hAnsi="Arial"/>
                <w:sz w:val="22"/>
                <w:szCs w:val="22"/>
              </w:rPr>
              <w:t>33,138</w:t>
            </w:r>
          </w:p>
        </w:tc>
      </w:tr>
      <w:tr>
        <w:trPr/>
        <w:tc>
          <w:tcPr>
            <w:tcW w:w="291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Bacardi Superior Rum</w:t>
            </w:r>
          </w:p>
        </w:tc>
        <w:tc>
          <w:tcPr>
            <w:tcW w:w="17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$13.40</w:t>
            </w:r>
          </w:p>
        </w:tc>
        <w:tc>
          <w:tcPr>
            <w:tcW w:w="156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$150.40</w:t>
            </w:r>
          </w:p>
        </w:tc>
        <w:tc>
          <w:tcPr>
            <w:tcW w:w="155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10.8</w:t>
            </w:r>
          </w:p>
        </w:tc>
        <w:tc>
          <w:tcPr>
            <w:tcW w:w="1563"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sz w:val="22"/>
                <w:szCs w:val="22"/>
              </w:rPr>
            </w:pPr>
            <w:r>
              <w:rPr>
                <w:rFonts w:ascii="Arial" w:hAnsi="Arial"/>
                <w:sz w:val="22"/>
                <w:szCs w:val="22"/>
              </w:rPr>
              <w:t>32,552</w:t>
            </w:r>
          </w:p>
        </w:tc>
      </w:tr>
      <w:tr>
        <w:trPr/>
        <w:tc>
          <w:tcPr>
            <w:tcW w:w="291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Jim Beam</w:t>
            </w:r>
          </w:p>
        </w:tc>
        <w:tc>
          <w:tcPr>
            <w:tcW w:w="17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$16.16</w:t>
            </w:r>
          </w:p>
        </w:tc>
        <w:tc>
          <w:tcPr>
            <w:tcW w:w="156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$161.85</w:t>
            </w:r>
          </w:p>
        </w:tc>
        <w:tc>
          <w:tcPr>
            <w:tcW w:w="155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sz w:val="22"/>
                <w:szCs w:val="22"/>
              </w:rPr>
            </w:pPr>
            <w:r>
              <w:rPr>
                <w:rFonts w:ascii="Arial" w:hAnsi="Arial"/>
                <w:sz w:val="22"/>
                <w:szCs w:val="22"/>
              </w:rPr>
              <w:t>9.88</w:t>
            </w:r>
          </w:p>
        </w:tc>
        <w:tc>
          <w:tcPr>
            <w:tcW w:w="1563"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sz w:val="22"/>
                <w:szCs w:val="22"/>
              </w:rPr>
            </w:pPr>
            <w:r>
              <w:rPr>
                <w:rFonts w:ascii="Arial" w:hAnsi="Arial"/>
                <w:sz w:val="22"/>
                <w:szCs w:val="22"/>
              </w:rPr>
              <w:t>31,906</w:t>
            </w:r>
          </w:p>
        </w:tc>
      </w:tr>
      <w:tr>
        <w:trPr/>
        <w:tc>
          <w:tcPr>
            <w:tcW w:w="291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i/>
                <w:i/>
                <w:iCs/>
                <w:sz w:val="22"/>
                <w:szCs w:val="22"/>
              </w:rPr>
            </w:pPr>
            <w:r>
              <w:rPr>
                <w:rFonts w:ascii="Arial" w:hAnsi="Arial"/>
                <w:i/>
                <w:iCs/>
                <w:sz w:val="22"/>
                <w:szCs w:val="22"/>
              </w:rPr>
              <w:t>Top 10 average</w:t>
            </w:r>
          </w:p>
        </w:tc>
        <w:tc>
          <w:tcPr>
            <w:tcW w:w="17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i/>
                <w:i/>
                <w:iCs/>
                <w:sz w:val="22"/>
                <w:szCs w:val="22"/>
              </w:rPr>
            </w:pPr>
            <w:r>
              <w:rPr>
                <w:rFonts w:ascii="Arial" w:hAnsi="Arial"/>
                <w:i/>
                <w:iCs/>
                <w:sz w:val="22"/>
                <w:szCs w:val="22"/>
              </w:rPr>
              <w:t>$14.77</w:t>
            </w:r>
          </w:p>
        </w:tc>
        <w:tc>
          <w:tcPr>
            <w:tcW w:w="156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i/>
                <w:i/>
                <w:iCs/>
                <w:sz w:val="22"/>
                <w:szCs w:val="22"/>
              </w:rPr>
            </w:pPr>
            <w:r>
              <w:rPr>
                <w:rFonts w:ascii="Arial" w:hAnsi="Arial"/>
                <w:i/>
                <w:iCs/>
                <w:sz w:val="22"/>
                <w:szCs w:val="22"/>
              </w:rPr>
              <w:t>$223.33</w:t>
            </w:r>
          </w:p>
        </w:tc>
        <w:tc>
          <w:tcPr>
            <w:tcW w:w="155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i/>
                <w:i/>
                <w:iCs/>
                <w:sz w:val="22"/>
                <w:szCs w:val="22"/>
              </w:rPr>
            </w:pPr>
            <w:r>
              <w:rPr>
                <w:rFonts w:ascii="Arial" w:hAnsi="Arial"/>
                <w:i/>
                <w:iCs/>
                <w:sz w:val="22"/>
                <w:szCs w:val="22"/>
              </w:rPr>
              <w:t>14.84</w:t>
            </w:r>
          </w:p>
        </w:tc>
        <w:tc>
          <w:tcPr>
            <w:tcW w:w="1563"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i/>
                <w:i/>
                <w:iCs/>
                <w:sz w:val="22"/>
                <w:szCs w:val="22"/>
              </w:rPr>
            </w:pPr>
            <w:r>
              <w:rPr>
                <w:rFonts w:ascii="Arial" w:hAnsi="Arial"/>
                <w:i/>
                <w:iCs/>
                <w:sz w:val="22"/>
                <w:szCs w:val="22"/>
              </w:rPr>
              <w:t>45,094</w:t>
            </w:r>
          </w:p>
        </w:tc>
      </w:tr>
      <w:tr>
        <w:trPr/>
        <w:tc>
          <w:tcPr>
            <w:tcW w:w="2915"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i/>
                <w:i/>
                <w:iCs/>
                <w:sz w:val="22"/>
                <w:szCs w:val="22"/>
              </w:rPr>
            </w:pPr>
            <w:r>
              <w:rPr>
                <w:rFonts w:ascii="Arial" w:hAnsi="Arial"/>
                <w:i/>
                <w:iCs/>
                <w:sz w:val="22"/>
                <w:szCs w:val="22"/>
              </w:rPr>
              <w:t>All sales average</w:t>
            </w:r>
          </w:p>
        </w:tc>
        <w:tc>
          <w:tcPr>
            <w:tcW w:w="17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i/>
                <w:i/>
                <w:iCs/>
                <w:sz w:val="22"/>
                <w:szCs w:val="22"/>
              </w:rPr>
            </w:pPr>
            <w:r>
              <w:rPr>
                <w:rFonts w:ascii="Arial" w:hAnsi="Arial"/>
                <w:i/>
                <w:iCs/>
                <w:sz w:val="22"/>
                <w:szCs w:val="22"/>
              </w:rPr>
              <w:t>$14.37</w:t>
            </w:r>
          </w:p>
        </w:tc>
        <w:tc>
          <w:tcPr>
            <w:tcW w:w="156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i/>
                <w:i/>
                <w:iCs/>
                <w:sz w:val="22"/>
                <w:szCs w:val="22"/>
              </w:rPr>
            </w:pPr>
            <w:r>
              <w:rPr>
                <w:rFonts w:ascii="Arial" w:hAnsi="Arial"/>
                <w:i/>
                <w:iCs/>
                <w:sz w:val="22"/>
                <w:szCs w:val="22"/>
              </w:rPr>
              <w:t>$128.62</w:t>
            </w:r>
          </w:p>
        </w:tc>
        <w:tc>
          <w:tcPr>
            <w:tcW w:w="155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i/>
                <w:i/>
                <w:iCs/>
                <w:sz w:val="22"/>
                <w:szCs w:val="22"/>
              </w:rPr>
            </w:pPr>
            <w:r>
              <w:rPr>
                <w:rFonts w:ascii="Arial" w:hAnsi="Arial"/>
                <w:i/>
                <w:iCs/>
                <w:sz w:val="22"/>
                <w:szCs w:val="22"/>
              </w:rPr>
              <w:t>9.86</w:t>
            </w:r>
          </w:p>
        </w:tc>
        <w:tc>
          <w:tcPr>
            <w:tcW w:w="1563"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i/>
                <w:i/>
                <w:iCs/>
                <w:sz w:val="22"/>
                <w:szCs w:val="22"/>
              </w:rPr>
            </w:pPr>
            <w:r>
              <w:rPr>
                <w:rFonts w:ascii="Arial" w:hAnsi="Arial"/>
                <w:i/>
                <w:iCs/>
                <w:sz w:val="22"/>
                <w:szCs w:val="22"/>
              </w:rPr>
            </w:r>
          </w:p>
        </w:tc>
      </w:tr>
    </w:tbl>
    <w:p>
      <w:pPr>
        <w:pStyle w:val="Normal"/>
        <w:rPr>
          <w:rStyle w:val="StrongEmphasis"/>
          <w:rFonts w:ascii="Arial" w:hAnsi="Arial"/>
        </w:rPr>
      </w:pPr>
      <w:r>
        <w:rPr>
          <w:rFonts w:ascii="Arial" w:hAnsi="Arial"/>
        </w:rPr>
      </w:r>
    </w:p>
    <w:p>
      <w:pPr>
        <w:pStyle w:val="Normal"/>
        <w:rPr>
          <w:rFonts w:ascii="Arial" w:hAnsi="Arial"/>
          <w:sz w:val="28"/>
          <w:szCs w:val="28"/>
        </w:rPr>
      </w:pPr>
      <w:r>
        <w:rPr>
          <w:rStyle w:val="StrongEmphasis"/>
          <w:rFonts w:ascii="Arial" w:hAnsi="Arial"/>
          <w:sz w:val="28"/>
          <w:szCs w:val="28"/>
        </w:rPr>
        <w:t>The top 10 products by unit sold all have at least 8 bottles sold per transaction with an average of 14.84 bottles sold per transaction, which is higher than the average of all sales. Also, of note is that the average transaction of these products is higher by almost $100 than all the sales.</w:t>
      </w:r>
    </w:p>
    <w:p>
      <w:pPr>
        <w:pStyle w:val="Normal"/>
        <w:rPr>
          <w:rStyle w:val="StrongEmphasis"/>
          <w:rFonts w:ascii="Arial" w:hAnsi="Arial"/>
        </w:rPr>
      </w:pPr>
      <w:r>
        <w:rPr>
          <w:rFonts w:ascii="Arial" w:hAnsi="Arial"/>
        </w:rPr>
      </w:r>
    </w:p>
    <w:p>
      <w:pPr>
        <w:pStyle w:val="Normal"/>
        <w:rPr>
          <w:rStyle w:val="StrongEmphasis"/>
          <w:rFonts w:ascii="Arial" w:hAnsi="Arial"/>
        </w:rPr>
      </w:pPr>
      <w:r>
        <w:rPr>
          <w:rFonts w:ascii="Arial" w:hAnsi="Arial"/>
        </w:rPr>
      </w:r>
      <w:r>
        <w:br w:type="page"/>
      </w:r>
    </w:p>
    <w:p>
      <w:pPr>
        <w:pStyle w:val="Normal"/>
        <w:rPr>
          <w:rStyle w:val="StrongEmphasis"/>
          <w:rFonts w:ascii="Arial" w:hAnsi="Arial"/>
        </w:rPr>
      </w:pPr>
      <w:r>
        <w:rPr>
          <w:rFonts w:ascii="Arial" w:hAnsi="Arial"/>
        </w:rPr>
      </w:r>
    </w:p>
    <w:p>
      <w:pPr>
        <w:pStyle w:val="Heading2"/>
        <w:numPr>
          <w:ilvl w:val="1"/>
          <w:numId w:val="2"/>
        </w:numPr>
        <w:rPr>
          <w:rFonts w:ascii="Arial" w:hAnsi="Arial"/>
        </w:rPr>
      </w:pPr>
      <w:bookmarkStart w:id="9" w:name="__RefHeading___Toc1083_560194899"/>
      <w:bookmarkEnd w:id="9"/>
      <w:r>
        <w:rPr>
          <w:rStyle w:val="StrongEmphasis"/>
        </w:rPr>
        <w:t>Margins</w:t>
      </w:r>
    </w:p>
    <w:p>
      <w:pPr>
        <w:pStyle w:val="Normal"/>
        <w:rPr>
          <w:rStyle w:val="StrongEmphasis"/>
          <w:rFonts w:ascii="Arial" w:hAnsi="Arial"/>
        </w:rPr>
      </w:pPr>
      <w:r>
        <w:rPr>
          <w:rFonts w:ascii="Arial" w:hAnsi="Arial"/>
        </w:rPr>
      </w:r>
    </w:p>
    <w:tbl>
      <w:tblPr>
        <w:tblW w:w="9360" w:type="dxa"/>
        <w:jc w:val="left"/>
        <w:tblInd w:w="55" w:type="dxa"/>
        <w:tblCellMar>
          <w:top w:w="55" w:type="dxa"/>
          <w:left w:w="53" w:type="dxa"/>
          <w:bottom w:w="55" w:type="dxa"/>
          <w:right w:w="55" w:type="dxa"/>
        </w:tblCellMar>
        <w:tblLook w:val="04a0" w:noVBand="1" w:noHBand="0" w:lastColumn="0" w:firstColumn="1" w:lastRow="0" w:firstRow="1"/>
      </w:tblPr>
      <w:tblGrid>
        <w:gridCol w:w="2319"/>
        <w:gridCol w:w="1086"/>
        <w:gridCol w:w="1581"/>
        <w:gridCol w:w="1650"/>
        <w:gridCol w:w="1163"/>
        <w:gridCol w:w="1560"/>
      </w:tblGrid>
      <w:tr>
        <w:trPr/>
        <w:tc>
          <w:tcPr>
            <w:tcW w:w="231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sz w:val="21"/>
                <w:szCs w:val="21"/>
              </w:rPr>
              <w:t>Description</w:t>
            </w:r>
          </w:p>
        </w:tc>
        <w:tc>
          <w:tcPr>
            <w:tcW w:w="1086"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sz w:val="21"/>
                <w:szCs w:val="21"/>
              </w:rPr>
              <w:t>Bottle price avg.</w:t>
            </w:r>
          </w:p>
        </w:tc>
        <w:tc>
          <w:tcPr>
            <w:tcW w:w="1581"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sz w:val="21"/>
                <w:szCs w:val="21"/>
              </w:rPr>
              <w:t>Bottle state cost avg</w:t>
            </w:r>
          </w:p>
        </w:tc>
        <w:tc>
          <w:tcPr>
            <w:tcW w:w="165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sz w:val="21"/>
                <w:szCs w:val="21"/>
              </w:rPr>
              <w:t>Total profit</w:t>
            </w:r>
          </w:p>
        </w:tc>
        <w:tc>
          <w:tcPr>
            <w:tcW w:w="11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sz w:val="21"/>
                <w:szCs w:val="21"/>
              </w:rPr>
              <w:t>Margin %</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sz w:val="21"/>
                <w:szCs w:val="21"/>
              </w:rPr>
              <w:t>nr_sales</w:t>
            </w:r>
          </w:p>
        </w:tc>
      </w:tr>
      <w:tr>
        <w:trPr/>
        <w:tc>
          <w:tcPr>
            <w:tcW w:w="231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Black Velvet</w:t>
            </w:r>
          </w:p>
        </w:tc>
        <w:tc>
          <w:tcPr>
            <w:tcW w:w="1086"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$10.17</w:t>
            </w:r>
          </w:p>
        </w:tc>
        <w:tc>
          <w:tcPr>
            <w:tcW w:w="1581"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$6.75</w:t>
            </w:r>
          </w:p>
        </w:tc>
        <w:tc>
          <w:tcPr>
            <w:tcW w:w="165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$6,144,705.67</w:t>
            </w:r>
          </w:p>
        </w:tc>
        <w:tc>
          <w:tcPr>
            <w:tcW w:w="11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50.69</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81095</w:t>
            </w:r>
          </w:p>
        </w:tc>
      </w:tr>
      <w:tr>
        <w:trPr/>
        <w:tc>
          <w:tcPr>
            <w:tcW w:w="231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Captain Morgan Spiced Rum</w:t>
            </w:r>
          </w:p>
        </w:tc>
        <w:tc>
          <w:tcPr>
            <w:tcW w:w="1086"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$17.65</w:t>
            </w:r>
          </w:p>
        </w:tc>
        <w:tc>
          <w:tcPr>
            <w:tcW w:w="1581"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$11.77</w:t>
            </w:r>
          </w:p>
        </w:tc>
        <w:tc>
          <w:tcPr>
            <w:tcW w:w="165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$4,590,286.75</w:t>
            </w:r>
          </w:p>
        </w:tc>
        <w:tc>
          <w:tcPr>
            <w:tcW w:w="11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49.99</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37448</w:t>
            </w:r>
          </w:p>
        </w:tc>
      </w:tr>
      <w:tr>
        <w:trPr/>
        <w:tc>
          <w:tcPr>
            <w:tcW w:w="231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Jack Daniels Old #7 Black Lbl</w:t>
            </w:r>
          </w:p>
        </w:tc>
        <w:tc>
          <w:tcPr>
            <w:tcW w:w="1086"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$25.33</w:t>
            </w:r>
          </w:p>
        </w:tc>
        <w:tc>
          <w:tcPr>
            <w:tcW w:w="1581"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$16.88</w:t>
            </w:r>
          </w:p>
        </w:tc>
        <w:tc>
          <w:tcPr>
            <w:tcW w:w="165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$4,567,750.22</w:t>
            </w:r>
          </w:p>
        </w:tc>
        <w:tc>
          <w:tcPr>
            <w:tcW w:w="11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50.01</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35568</w:t>
            </w:r>
          </w:p>
        </w:tc>
      </w:tr>
      <w:tr>
        <w:trPr/>
        <w:tc>
          <w:tcPr>
            <w:tcW w:w="231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Fireball Cinnamon Whiskey</w:t>
            </w:r>
          </w:p>
        </w:tc>
        <w:tc>
          <w:tcPr>
            <w:tcW w:w="1086"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$15.58</w:t>
            </w:r>
          </w:p>
        </w:tc>
        <w:tc>
          <w:tcPr>
            <w:tcW w:w="1581"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$10.39</w:t>
            </w:r>
          </w:p>
        </w:tc>
        <w:tc>
          <w:tcPr>
            <w:tcW w:w="165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$3,541,448.72</w:t>
            </w:r>
          </w:p>
        </w:tc>
        <w:tc>
          <w:tcPr>
            <w:tcW w:w="11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50.01</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36065</w:t>
            </w:r>
          </w:p>
        </w:tc>
      </w:tr>
      <w:tr>
        <w:trPr/>
        <w:tc>
          <w:tcPr>
            <w:tcW w:w="231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Crown Royal Canadian Whisky</w:t>
            </w:r>
          </w:p>
        </w:tc>
        <w:tc>
          <w:tcPr>
            <w:tcW w:w="1086"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$24.99</w:t>
            </w:r>
          </w:p>
        </w:tc>
        <w:tc>
          <w:tcPr>
            <w:tcW w:w="1581"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$16.66</w:t>
            </w:r>
          </w:p>
        </w:tc>
        <w:tc>
          <w:tcPr>
            <w:tcW w:w="165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$3,237,724.15</w:t>
            </w:r>
          </w:p>
        </w:tc>
        <w:tc>
          <w:tcPr>
            <w:tcW w:w="11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50</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28453</w:t>
            </w:r>
          </w:p>
        </w:tc>
      </w:tr>
      <w:tr>
        <w:trPr/>
        <w:tc>
          <w:tcPr>
            <w:tcW w:w="231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Hawkeye Vodka</w:t>
            </w:r>
          </w:p>
        </w:tc>
        <w:tc>
          <w:tcPr>
            <w:tcW w:w="1086"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$7.31</w:t>
            </w:r>
          </w:p>
        </w:tc>
        <w:tc>
          <w:tcPr>
            <w:tcW w:w="1581"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$4.87</w:t>
            </w:r>
          </w:p>
        </w:tc>
        <w:tc>
          <w:tcPr>
            <w:tcW w:w="165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$2,913,004.84</w:t>
            </w:r>
          </w:p>
        </w:tc>
        <w:tc>
          <w:tcPr>
            <w:tcW w:w="11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50.07</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74264</w:t>
            </w:r>
          </w:p>
        </w:tc>
      </w:tr>
      <w:tr>
        <w:trPr/>
        <w:tc>
          <w:tcPr>
            <w:tcW w:w="231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Absolut Swedish Vodka 80 Prf</w:t>
            </w:r>
          </w:p>
        </w:tc>
        <w:tc>
          <w:tcPr>
            <w:tcW w:w="1086"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$19.28</w:t>
            </w:r>
          </w:p>
        </w:tc>
        <w:tc>
          <w:tcPr>
            <w:tcW w:w="1581"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$12.84</w:t>
            </w:r>
          </w:p>
        </w:tc>
        <w:tc>
          <w:tcPr>
            <w:tcW w:w="165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$2,482,433.43</w:t>
            </w:r>
          </w:p>
        </w:tc>
        <w:tc>
          <w:tcPr>
            <w:tcW w:w="11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50.21</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33138</w:t>
            </w:r>
          </w:p>
        </w:tc>
      </w:tr>
      <w:tr>
        <w:trPr/>
        <w:tc>
          <w:tcPr>
            <w:tcW w:w="231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Grey Goose Vodka</w:t>
            </w:r>
          </w:p>
        </w:tc>
        <w:tc>
          <w:tcPr>
            <w:tcW w:w="1086"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$24.23</w:t>
            </w:r>
          </w:p>
        </w:tc>
        <w:tc>
          <w:tcPr>
            <w:tcW w:w="1581"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$16.14</w:t>
            </w:r>
          </w:p>
        </w:tc>
        <w:tc>
          <w:tcPr>
            <w:tcW w:w="165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$2,149,997.33</w:t>
            </w:r>
          </w:p>
        </w:tc>
        <w:tc>
          <w:tcPr>
            <w:tcW w:w="11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50.1</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27845</w:t>
            </w:r>
          </w:p>
        </w:tc>
      </w:tr>
      <w:tr>
        <w:trPr/>
        <w:tc>
          <w:tcPr>
            <w:tcW w:w="231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Jagermeister Liqueur</w:t>
            </w:r>
          </w:p>
        </w:tc>
        <w:tc>
          <w:tcPr>
            <w:tcW w:w="1086"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$17.81</w:t>
            </w:r>
          </w:p>
        </w:tc>
        <w:tc>
          <w:tcPr>
            <w:tcW w:w="1581"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$11.87</w:t>
            </w:r>
          </w:p>
        </w:tc>
        <w:tc>
          <w:tcPr>
            <w:tcW w:w="165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$2,099,928.40</w:t>
            </w:r>
          </w:p>
        </w:tc>
        <w:tc>
          <w:tcPr>
            <w:tcW w:w="11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50.02</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28714</w:t>
            </w:r>
          </w:p>
        </w:tc>
      </w:tr>
      <w:tr>
        <w:trPr/>
        <w:tc>
          <w:tcPr>
            <w:tcW w:w="231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Jim Beam</w:t>
            </w:r>
          </w:p>
        </w:tc>
        <w:tc>
          <w:tcPr>
            <w:tcW w:w="1086"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$16.16</w:t>
            </w:r>
          </w:p>
        </w:tc>
        <w:tc>
          <w:tcPr>
            <w:tcW w:w="1581"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$10.74</w:t>
            </w:r>
          </w:p>
        </w:tc>
        <w:tc>
          <w:tcPr>
            <w:tcW w:w="165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$1,730,013.78</w:t>
            </w:r>
          </w:p>
        </w:tc>
        <w:tc>
          <w:tcPr>
            <w:tcW w:w="1163"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50.44</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b w:val="false"/>
                <w:bCs w:val="false"/>
                <w:sz w:val="21"/>
                <w:szCs w:val="21"/>
              </w:rPr>
              <w:t>31906</w:t>
            </w:r>
          </w:p>
        </w:tc>
      </w:tr>
    </w:tbl>
    <w:p>
      <w:pPr>
        <w:pStyle w:val="Normal"/>
        <w:rPr>
          <w:rStyle w:val="StrongEmphasis"/>
          <w:rFonts w:ascii="Arial" w:hAnsi="Arial"/>
        </w:rPr>
      </w:pPr>
      <w:r>
        <w:rPr>
          <w:rFonts w:ascii="Arial" w:hAnsi="Arial"/>
        </w:rPr>
      </w:r>
    </w:p>
    <w:p>
      <w:pPr>
        <w:pStyle w:val="Normal"/>
        <w:rPr/>
      </w:pPr>
      <w:r>
        <w:rPr>
          <w:rStyle w:val="StrongEmphasis"/>
          <w:rFonts w:ascii="Arial" w:hAnsi="Arial"/>
          <w:sz w:val="28"/>
          <w:szCs w:val="28"/>
        </w:rPr>
        <w:t>Almost all products have a margin around 50%</w:t>
      </w:r>
      <w:r>
        <w:br w:type="page"/>
      </w:r>
    </w:p>
    <w:p>
      <w:pPr>
        <w:pStyle w:val="Normal"/>
        <w:rPr>
          <w:rStyle w:val="StrongEmphasis"/>
          <w:rFonts w:ascii="Arial" w:hAnsi="Arial"/>
          <w:sz w:val="28"/>
          <w:szCs w:val="28"/>
        </w:rPr>
      </w:pPr>
      <w:r>
        <w:rPr>
          <w:rFonts w:ascii="Arial" w:hAnsi="Arial"/>
          <w:sz w:val="28"/>
          <w:szCs w:val="28"/>
        </w:rPr>
      </w:r>
    </w:p>
    <w:p>
      <w:pPr>
        <w:pStyle w:val="Normal"/>
        <w:rPr>
          <w:rStyle w:val="StrongEmphasis"/>
          <w:rFonts w:ascii="Arial" w:hAnsi="Arial"/>
        </w:rPr>
      </w:pPr>
      <w:r>
        <w:rPr>
          <w:rFonts w:ascii="Arial" w:hAnsi="Arial"/>
        </w:rPr>
      </w:r>
    </w:p>
    <w:tbl>
      <w:tblPr>
        <w:tblW w:w="9360" w:type="dxa"/>
        <w:jc w:val="left"/>
        <w:tblInd w:w="55" w:type="dxa"/>
        <w:tblCellMar>
          <w:top w:w="55" w:type="dxa"/>
          <w:left w:w="53" w:type="dxa"/>
          <w:bottom w:w="55" w:type="dxa"/>
          <w:right w:w="55" w:type="dxa"/>
        </w:tblCellMar>
        <w:tblLook w:val="04a0" w:noVBand="1" w:noHBand="0" w:lastColumn="0" w:firstColumn="1" w:lastRow="0" w:firstRow="1"/>
      </w:tblPr>
      <w:tblGrid>
        <w:gridCol w:w="3119"/>
        <w:gridCol w:w="3120"/>
        <w:gridCol w:w="1560"/>
        <w:gridCol w:w="1560"/>
      </w:tblGrid>
      <w:tr>
        <w:trPr/>
        <w:tc>
          <w:tcPr>
            <w:tcW w:w="3119"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sz w:val="22"/>
                <w:szCs w:val="22"/>
              </w:rPr>
              <w:t>Description</w:t>
            </w:r>
          </w:p>
        </w:tc>
        <w:tc>
          <w:tcPr>
            <w:tcW w:w="312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sz w:val="22"/>
                <w:szCs w:val="22"/>
              </w:rPr>
              <w:t>Total profit</w:t>
            </w:r>
          </w:p>
        </w:tc>
        <w:tc>
          <w:tcPr>
            <w:tcW w:w="1560" w:type="dxa"/>
            <w:tcBorders>
              <w:top w:val="single" w:sz="2" w:space="0" w:color="000000"/>
              <w:left w:val="single" w:sz="2" w:space="0" w:color="000000"/>
              <w:bottom w:val="single" w:sz="2" w:space="0" w:color="000000"/>
            </w:tcBorders>
            <w:shd w:color="auto" w:fill="auto" w:val="clear"/>
          </w:tcPr>
          <w:p>
            <w:pPr>
              <w:pStyle w:val="Normal"/>
              <w:jc w:val="center"/>
              <w:rPr>
                <w:rFonts w:ascii="Arial" w:hAnsi="Arial"/>
              </w:rPr>
            </w:pPr>
            <w:r>
              <w:rPr>
                <w:rStyle w:val="StrongEmphasis"/>
                <w:rFonts w:ascii="Arial" w:hAnsi="Arial"/>
                <w:sz w:val="22"/>
                <w:szCs w:val="22"/>
              </w:rPr>
              <w:t>Margin %</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jc w:val="center"/>
              <w:rPr>
                <w:rFonts w:ascii="Arial" w:hAnsi="Arial"/>
              </w:rPr>
            </w:pPr>
            <w:r>
              <w:rPr>
                <w:rStyle w:val="StrongEmphasis"/>
                <w:rFonts w:ascii="Arial" w:hAnsi="Arial"/>
                <w:sz w:val="22"/>
                <w:szCs w:val="22"/>
              </w:rPr>
              <w:t>nr_sales</w:t>
            </w:r>
          </w:p>
        </w:tc>
      </w:tr>
      <w:tr>
        <w:trPr/>
        <w:tc>
          <w:tcPr>
            <w:tcW w:w="3119"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Jim Beam Operation Homefront</w:t>
            </w:r>
          </w:p>
        </w:tc>
        <w:tc>
          <w:tcPr>
            <w:tcW w:w="312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$83,589.16</w:t>
            </w:r>
          </w:p>
        </w:tc>
        <w:tc>
          <w:tcPr>
            <w:tcW w:w="156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124.43</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sz w:val="21"/>
                <w:szCs w:val="21"/>
              </w:rPr>
            </w:pPr>
            <w:r>
              <w:rPr>
                <w:rFonts w:ascii="Arial" w:hAnsi="Arial"/>
                <w:sz w:val="21"/>
                <w:szCs w:val="21"/>
              </w:rPr>
              <w:t>238</w:t>
            </w:r>
          </w:p>
        </w:tc>
      </w:tr>
      <w:tr>
        <w:trPr/>
        <w:tc>
          <w:tcPr>
            <w:tcW w:w="3119"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Jose Cuervo Silver w/1L Classic Light Margarita Mix</w:t>
            </w:r>
          </w:p>
        </w:tc>
        <w:tc>
          <w:tcPr>
            <w:tcW w:w="312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$19,451.58</w:t>
            </w:r>
          </w:p>
        </w:tc>
        <w:tc>
          <w:tcPr>
            <w:tcW w:w="156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106.41</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sz w:val="21"/>
                <w:szCs w:val="21"/>
              </w:rPr>
            </w:pPr>
            <w:r>
              <w:rPr>
                <w:rFonts w:ascii="Arial" w:hAnsi="Arial"/>
                <w:sz w:val="21"/>
                <w:szCs w:val="21"/>
              </w:rPr>
              <w:t>120</w:t>
            </w:r>
          </w:p>
        </w:tc>
      </w:tr>
      <w:tr>
        <w:trPr/>
        <w:tc>
          <w:tcPr>
            <w:tcW w:w="3119"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Maestro Dobel</w:t>
            </w:r>
          </w:p>
        </w:tc>
        <w:tc>
          <w:tcPr>
            <w:tcW w:w="312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$5,356.08</w:t>
            </w:r>
          </w:p>
        </w:tc>
        <w:tc>
          <w:tcPr>
            <w:tcW w:w="156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86.74</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sz w:val="21"/>
                <w:szCs w:val="21"/>
              </w:rPr>
            </w:pPr>
            <w:r>
              <w:rPr>
                <w:rFonts w:ascii="Arial" w:hAnsi="Arial"/>
                <w:sz w:val="21"/>
                <w:szCs w:val="21"/>
              </w:rPr>
              <w:t>60</w:t>
            </w:r>
          </w:p>
        </w:tc>
      </w:tr>
      <w:tr>
        <w:trPr/>
        <w:tc>
          <w:tcPr>
            <w:tcW w:w="3119"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Ole Smoky Apple Pie w/Flask</w:t>
            </w:r>
          </w:p>
        </w:tc>
        <w:tc>
          <w:tcPr>
            <w:tcW w:w="312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$1,897.92</w:t>
            </w:r>
          </w:p>
        </w:tc>
        <w:tc>
          <w:tcPr>
            <w:tcW w:w="156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78.36</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sz w:val="21"/>
                <w:szCs w:val="21"/>
              </w:rPr>
            </w:pPr>
            <w:r>
              <w:rPr>
                <w:rFonts w:ascii="Arial" w:hAnsi="Arial"/>
                <w:sz w:val="21"/>
                <w:szCs w:val="21"/>
              </w:rPr>
              <w:t>50</w:t>
            </w:r>
          </w:p>
        </w:tc>
      </w:tr>
      <w:tr>
        <w:trPr/>
        <w:tc>
          <w:tcPr>
            <w:tcW w:w="3119"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Passion XO Pink</w:t>
            </w:r>
          </w:p>
        </w:tc>
        <w:tc>
          <w:tcPr>
            <w:tcW w:w="312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$324.22</w:t>
            </w:r>
          </w:p>
        </w:tc>
        <w:tc>
          <w:tcPr>
            <w:tcW w:w="156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72.83</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sz w:val="21"/>
                <w:szCs w:val="21"/>
              </w:rPr>
            </w:pPr>
            <w:r>
              <w:rPr>
                <w:rFonts w:ascii="Arial" w:hAnsi="Arial"/>
                <w:sz w:val="21"/>
                <w:szCs w:val="21"/>
              </w:rPr>
              <w:t>24</w:t>
            </w:r>
          </w:p>
        </w:tc>
      </w:tr>
      <w:tr>
        <w:trPr/>
        <w:tc>
          <w:tcPr>
            <w:tcW w:w="3119"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Passion XO Blue</w:t>
            </w:r>
          </w:p>
        </w:tc>
        <w:tc>
          <w:tcPr>
            <w:tcW w:w="312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$391.30</w:t>
            </w:r>
          </w:p>
        </w:tc>
        <w:tc>
          <w:tcPr>
            <w:tcW w:w="156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70.37</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sz w:val="21"/>
                <w:szCs w:val="21"/>
              </w:rPr>
            </w:pPr>
            <w:r>
              <w:rPr>
                <w:rFonts w:ascii="Arial" w:hAnsi="Arial"/>
                <w:sz w:val="21"/>
                <w:szCs w:val="21"/>
              </w:rPr>
              <w:t>26</w:t>
            </w:r>
          </w:p>
        </w:tc>
      </w:tr>
      <w:tr>
        <w:trPr/>
        <w:tc>
          <w:tcPr>
            <w:tcW w:w="3119"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Jose Cuervo Gold w/1L Classic Margarita Mix</w:t>
            </w:r>
          </w:p>
        </w:tc>
        <w:tc>
          <w:tcPr>
            <w:tcW w:w="312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$25,767.13</w:t>
            </w:r>
          </w:p>
        </w:tc>
        <w:tc>
          <w:tcPr>
            <w:tcW w:w="156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70.08</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sz w:val="21"/>
                <w:szCs w:val="21"/>
              </w:rPr>
            </w:pPr>
            <w:r>
              <w:rPr>
                <w:rFonts w:ascii="Arial" w:hAnsi="Arial"/>
                <w:sz w:val="21"/>
                <w:szCs w:val="21"/>
              </w:rPr>
              <w:t>214</w:t>
            </w:r>
          </w:p>
        </w:tc>
      </w:tr>
      <w:tr>
        <w:trPr/>
        <w:tc>
          <w:tcPr>
            <w:tcW w:w="3119"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Passion XO Sun</w:t>
            </w:r>
          </w:p>
        </w:tc>
        <w:tc>
          <w:tcPr>
            <w:tcW w:w="312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$301.86</w:t>
            </w:r>
          </w:p>
        </w:tc>
        <w:tc>
          <w:tcPr>
            <w:tcW w:w="156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69.33</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sz w:val="21"/>
                <w:szCs w:val="21"/>
              </w:rPr>
            </w:pPr>
            <w:r>
              <w:rPr>
                <w:rFonts w:ascii="Arial" w:hAnsi="Arial"/>
                <w:sz w:val="21"/>
                <w:szCs w:val="21"/>
              </w:rPr>
              <w:t>18</w:t>
            </w:r>
          </w:p>
        </w:tc>
      </w:tr>
      <w:tr>
        <w:trPr/>
        <w:tc>
          <w:tcPr>
            <w:tcW w:w="3119"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Absolut Tune</w:t>
            </w:r>
          </w:p>
        </w:tc>
        <w:tc>
          <w:tcPr>
            <w:tcW w:w="312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$3,234.32</w:t>
            </w:r>
          </w:p>
        </w:tc>
        <w:tc>
          <w:tcPr>
            <w:tcW w:w="156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58.73</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sz w:val="21"/>
                <w:szCs w:val="21"/>
              </w:rPr>
            </w:pPr>
            <w:r>
              <w:rPr>
                <w:rFonts w:ascii="Arial" w:hAnsi="Arial"/>
                <w:sz w:val="21"/>
                <w:szCs w:val="21"/>
              </w:rPr>
              <w:t>60</w:t>
            </w:r>
          </w:p>
        </w:tc>
      </w:tr>
      <w:tr>
        <w:trPr/>
        <w:tc>
          <w:tcPr>
            <w:tcW w:w="3119"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Skyy Infusions Texas Grapefruit</w:t>
            </w:r>
          </w:p>
        </w:tc>
        <w:tc>
          <w:tcPr>
            <w:tcW w:w="312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$836.67</w:t>
            </w:r>
          </w:p>
        </w:tc>
        <w:tc>
          <w:tcPr>
            <w:tcW w:w="1560" w:type="dxa"/>
            <w:tcBorders>
              <w:top w:val="single" w:sz="2" w:space="0" w:color="000000"/>
              <w:left w:val="single" w:sz="2" w:space="0" w:color="000000"/>
              <w:bottom w:val="single" w:sz="2" w:space="0" w:color="000000"/>
            </w:tcBorders>
            <w:shd w:color="auto" w:fill="auto" w:val="clear"/>
          </w:tcPr>
          <w:p>
            <w:pPr>
              <w:pStyle w:val="Normal"/>
              <w:rPr>
                <w:sz w:val="21"/>
                <w:szCs w:val="21"/>
              </w:rPr>
            </w:pPr>
            <w:r>
              <w:rPr>
                <w:rFonts w:ascii="Arial" w:hAnsi="Arial"/>
                <w:sz w:val="21"/>
                <w:szCs w:val="21"/>
              </w:rPr>
              <w:t>58.52</w:t>
            </w:r>
          </w:p>
        </w:tc>
        <w:tc>
          <w:tcPr>
            <w:tcW w:w="1560"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sz w:val="21"/>
                <w:szCs w:val="21"/>
              </w:rPr>
            </w:pPr>
            <w:r>
              <w:rPr>
                <w:rFonts w:ascii="Arial" w:hAnsi="Arial"/>
                <w:sz w:val="21"/>
                <w:szCs w:val="21"/>
              </w:rPr>
              <w:t>19</w:t>
            </w:r>
          </w:p>
        </w:tc>
      </w:tr>
    </w:tbl>
    <w:p>
      <w:pPr>
        <w:pStyle w:val="Normal"/>
        <w:rPr>
          <w:rFonts w:ascii="Arial" w:hAnsi="Arial"/>
          <w:sz w:val="28"/>
          <w:szCs w:val="28"/>
        </w:rPr>
      </w:pPr>
      <w:r>
        <w:rPr>
          <w:rFonts w:ascii="Arial" w:hAnsi="Arial"/>
          <w:sz w:val="28"/>
          <w:szCs w:val="28"/>
        </w:rPr>
      </w:r>
    </w:p>
    <w:p>
      <w:pPr>
        <w:pStyle w:val="Normal"/>
        <w:rPr>
          <w:b/>
          <w:b/>
          <w:bCs/>
        </w:rPr>
      </w:pPr>
      <w:r>
        <w:rPr>
          <w:rFonts w:ascii="Arial" w:hAnsi="Arial"/>
          <w:b/>
          <w:bCs/>
          <w:sz w:val="28"/>
          <w:szCs w:val="28"/>
        </w:rPr>
        <w:t>The only products with a margin higher than 50% are niche products.</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r>
        <w:br w:type="page"/>
      </w:r>
    </w:p>
    <w:p>
      <w:pPr>
        <w:pStyle w:val="Normal"/>
        <w:rPr>
          <w:rFonts w:ascii="Arial" w:hAnsi="Arial"/>
          <w:sz w:val="28"/>
          <w:szCs w:val="28"/>
        </w:rPr>
      </w:pPr>
      <w:r>
        <w:rPr>
          <w:rFonts w:ascii="Arial" w:hAnsi="Arial"/>
          <w:sz w:val="28"/>
          <w:szCs w:val="28"/>
        </w:rPr>
      </w:r>
    </w:p>
    <w:p>
      <w:pPr>
        <w:pStyle w:val="Heading2"/>
        <w:numPr>
          <w:ilvl w:val="1"/>
          <w:numId w:val="2"/>
        </w:numPr>
        <w:rPr/>
      </w:pPr>
      <w:bookmarkStart w:id="10" w:name="__RefHeading___Toc1085_560194899"/>
      <w:bookmarkEnd w:id="10"/>
      <w:r>
        <w:rPr>
          <w:rStyle w:val="StrongEmphasis"/>
        </w:rPr>
        <w:t>Timeframe</w:t>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552565" cy="2043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552565" cy="2043430"/>
                    </a:xfrm>
                    <a:prstGeom prst="rect">
                      <a:avLst/>
                    </a:prstGeom>
                  </pic:spPr>
                </pic:pic>
              </a:graphicData>
            </a:graphic>
          </wp:anchor>
        </w:drawing>
      </w:r>
    </w:p>
    <w:p>
      <w:pPr>
        <w:pStyle w:val="Normal"/>
        <w:rPr/>
      </w:pPr>
      <w:r>
        <w:rPr>
          <w:rFonts w:ascii="Arial" w:hAnsi="Arial"/>
          <w:b/>
          <w:bCs/>
          <w:sz w:val="28"/>
          <w:szCs w:val="28"/>
        </w:rPr>
        <w:t>Significant drop in sales from May 2014 onward.</w:t>
      </w:r>
    </w:p>
    <w:p>
      <w:pPr>
        <w:pStyle w:val="Normal"/>
        <w:rPr>
          <w:rFonts w:ascii="Arial" w:hAnsi="Arial"/>
        </w:rPr>
      </w:pPr>
      <w:r>
        <w:rPr>
          <w:rFonts w:ascii="Arial" w:hAnsi="Arial"/>
        </w:rPr>
      </w:r>
    </w:p>
    <w:p>
      <w:pPr>
        <w:pStyle w:val="Heading5"/>
        <w:numPr>
          <w:ilvl w:val="4"/>
          <w:numId w:val="4"/>
        </w:numPr>
        <w:rPr>
          <w:rFonts w:ascii="Arial" w:hAnsi="Arial"/>
        </w:rPr>
      </w:pPr>
      <w:bookmarkStart w:id="11" w:name="__RefHeading___Toc1087_560194899"/>
      <w:bookmarkEnd w:id="11"/>
      <w:r>
        <w:rPr>
          <w:rFonts w:ascii="Arial" w:hAnsi="Arial"/>
        </w:rPr>
        <w:t>Daily trend</w:t>
      </w:r>
    </w:p>
    <w:p>
      <w:pPr>
        <w:pStyle w:val="Normal"/>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69305" cy="32378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869305" cy="3237865"/>
                    </a:xfrm>
                    <a:prstGeom prst="rect">
                      <a:avLst/>
                    </a:prstGeom>
                  </pic:spPr>
                </pic:pic>
              </a:graphicData>
            </a:graphic>
          </wp:anchor>
        </w:drawing>
      </w:r>
    </w:p>
    <w:p>
      <w:pPr>
        <w:pStyle w:val="Normal"/>
        <w:rPr/>
      </w:pPr>
      <w:r>
        <w:rPr>
          <w:rStyle w:val="StrongEmphasis"/>
          <w:rFonts w:ascii="Arial" w:hAnsi="Arial"/>
          <w:sz w:val="28"/>
          <w:szCs w:val="28"/>
        </w:rPr>
        <w:t>Most sales are made at the start of the week.</w:t>
      </w:r>
    </w:p>
    <w:p>
      <w:pPr>
        <w:pStyle w:val="Heading5"/>
        <w:numPr>
          <w:ilvl w:val="4"/>
          <w:numId w:val="3"/>
        </w:numPr>
        <w:rPr/>
      </w:pPr>
      <w:bookmarkStart w:id="12" w:name="__RefHeading___Toc1089_560194899"/>
      <w:bookmarkEnd w:id="12"/>
      <w:r>
        <w:rPr>
          <w:rStyle w:val="StrongEmphasis"/>
          <w:rFonts w:ascii="Arial" w:hAnsi="Arial"/>
        </w:rPr>
        <w:t>No data on Sundays:</w:t>
      </w:r>
    </w:p>
    <w:p>
      <w:pPr>
        <w:pStyle w:val="Normal"/>
        <w:rPr>
          <w:rFonts w:ascii="Arial" w:hAnsi="Arial"/>
        </w:rPr>
      </w:pPr>
      <w:r>
        <w:rPr>
          <w:rFonts w:ascii="Arial" w:hAnsi="Arial"/>
          <w:i/>
          <w:iCs/>
        </w:rPr>
        <w:t xml:space="preserve">Only Class E liquor licensees (carryout liquor) and Class B wine permittees (carryout wine) have a Sunday sales privilege as part of their basic license. </w:t>
      </w:r>
    </w:p>
    <w:p>
      <w:pPr>
        <w:pStyle w:val="Normal"/>
        <w:rPr>
          <w:lang w:val="fr-FR"/>
        </w:rPr>
      </w:pPr>
      <w:r>
        <w:rPr>
          <w:rFonts w:ascii="Arial" w:hAnsi="Arial"/>
          <w:b/>
          <w:bCs/>
          <w:i/>
          <w:iCs/>
          <w:lang w:val="fr-FR"/>
        </w:rPr>
        <w:t xml:space="preserve">Source: </w:t>
      </w:r>
      <w:hyperlink r:id="rId5">
        <w:r>
          <w:rPr>
            <w:rStyle w:val="InternetLink"/>
            <w:rFonts w:ascii="Arial" w:hAnsi="Arial"/>
            <w:b/>
            <w:bCs/>
            <w:i/>
            <w:iCs/>
            <w:lang w:val="fr-FR"/>
          </w:rPr>
          <w:t>https://abd.iowa.gov/alcohol/alcohol-laws/hours-sale</w:t>
        </w:r>
      </w:hyperlink>
      <w:r>
        <w:br w:type="page"/>
      </w:r>
    </w:p>
    <w:p>
      <w:pPr>
        <w:pStyle w:val="Normal"/>
        <w:rPr/>
      </w:pPr>
      <w:r>
        <w:rPr>
          <w:rStyle w:val="StrongEmphasis"/>
          <w:rFonts w:ascii="Arial" w:hAnsi="Arial"/>
        </w:rPr>
        <w:t>Yearly change / growth</w:t>
      </w:r>
    </w:p>
    <w:p>
      <w:pPr>
        <w:pStyle w:val="Normal"/>
        <w:rPr>
          <w:rStyle w:val="StrongEmphasis"/>
          <w:rFonts w:ascii="Arial" w:hAnsi="Arial"/>
        </w:rPr>
      </w:pPr>
      <w:r>
        <w:rPr>
          <w:rFonts w:ascii="Arial" w:hAnsi="Arial"/>
        </w:rPr>
      </w:r>
    </w:p>
    <w:p>
      <w:pPr>
        <w:pStyle w:val="Normal"/>
        <w:rPr>
          <w:rStyle w:val="StrongEmphasis"/>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790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943600" cy="2790825"/>
                    </a:xfrm>
                    <a:prstGeom prst="rect">
                      <a:avLst/>
                    </a:prstGeom>
                  </pic:spPr>
                </pic:pic>
              </a:graphicData>
            </a:graphic>
          </wp:anchor>
        </w:drawing>
      </w:r>
    </w:p>
    <w:p>
      <w:pPr>
        <w:pStyle w:val="Normal"/>
        <w:rPr>
          <w:rStyle w:val="StrongEmphasis"/>
          <w:rFonts w:ascii="Arial" w:hAnsi="Arial"/>
        </w:rPr>
      </w:pPr>
      <w:r>
        <w:rPr>
          <w:rFonts w:ascii="Arial" w:hAnsi="Arial"/>
        </w:rPr>
      </w:r>
    </w:p>
    <w:p>
      <w:pPr>
        <w:pStyle w:val="Normal"/>
        <w:rPr/>
      </w:pPr>
      <w:r>
        <w:rPr>
          <w:rStyle w:val="StrongEmphasis"/>
          <w:rFonts w:ascii="Arial" w:hAnsi="Arial"/>
          <w:sz w:val="28"/>
          <w:szCs w:val="28"/>
        </w:rPr>
        <w:t>The top products by sales amount reflect the monthly sales trend seen above. The best-selling products by amount of sales is Black velvet, a Canadian whisky. This product, unlike the other, fluctuated wildly over the year, with spikes in February, May and October.</w:t>
      </w:r>
    </w:p>
    <w:p>
      <w:pPr>
        <w:pStyle w:val="Normal"/>
        <w:rPr>
          <w:rStyle w:val="StrongEmphasis"/>
          <w:sz w:val="28"/>
          <w:szCs w:val="28"/>
        </w:rPr>
      </w:pPr>
      <w:r>
        <w:rPr>
          <w:sz w:val="28"/>
          <w:szCs w:val="28"/>
        </w:rPr>
      </w:r>
    </w:p>
    <w:p>
      <w:pPr>
        <w:pStyle w:val="Normal"/>
        <w:rPr/>
      </w:pPr>
      <w:r>
        <w:rPr>
          <w:rStyle w:val="StrongEmphasis"/>
          <w:rFonts w:ascii="Arial" w:hAnsi="Arial"/>
          <w:sz w:val="28"/>
          <w:szCs w:val="28"/>
        </w:rPr>
        <w:t>Another product, the American whisky Jack Daniels Old #7, shows some milder variations but still with a notable peak in April.</w:t>
      </w:r>
    </w:p>
    <w:p>
      <w:pPr>
        <w:pStyle w:val="Normal"/>
        <w:rPr>
          <w:rStyle w:val="StrongEmphasis"/>
          <w:rFonts w:ascii="Arial" w:hAnsi="Arial"/>
        </w:rPr>
      </w:pPr>
      <w:r>
        <w:rPr>
          <w:rFonts w:ascii="Arial" w:hAnsi="Arial"/>
        </w:rPr>
      </w:r>
    </w:p>
    <w:p>
      <w:pPr>
        <w:pStyle w:val="Normal"/>
        <w:rPr>
          <w:rStyle w:val="StrongEmphasis"/>
          <w:rFonts w:ascii="Arial" w:hAnsi="Arial"/>
        </w:rPr>
      </w:pPr>
      <w:r>
        <w:rPr>
          <w:rFonts w:ascii="Arial" w:hAnsi="Arial"/>
        </w:rPr>
      </w:r>
      <w:r>
        <w:br w:type="page"/>
      </w:r>
    </w:p>
    <w:p>
      <w:pPr>
        <w:pStyle w:val="Normal"/>
        <w:rPr>
          <w:rStyle w:val="StrongEmphasis"/>
          <w:rFonts w:ascii="Arial" w:hAnsi="Arial"/>
        </w:rPr>
      </w:pPr>
      <w:r>
        <w:rPr>
          <w:rFonts w:ascii="Arial" w:hAnsi="Arial"/>
        </w:rPr>
      </w:r>
    </w:p>
    <w:p>
      <w:pPr>
        <w:pStyle w:val="Normal"/>
        <w:rPr>
          <w:rStyle w:val="StrongEmphasis"/>
          <w:rFonts w:ascii="Arial" w:hAnsi="Arial"/>
        </w:rPr>
      </w:pPr>
      <w:r>
        <w:rPr>
          <w:rFonts w:ascii="Arial" w:hAnsi="Arial"/>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24409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943600" cy="2440940"/>
                    </a:xfrm>
                    <a:prstGeom prst="rect">
                      <a:avLst/>
                    </a:prstGeom>
                  </pic:spPr>
                </pic:pic>
              </a:graphicData>
            </a:graphic>
          </wp:anchor>
        </w:drawing>
      </w:r>
    </w:p>
    <w:p>
      <w:pPr>
        <w:pStyle w:val="Normal"/>
        <w:rPr/>
      </w:pPr>
      <w:r>
        <w:rPr>
          <w:rStyle w:val="StrongEmphasis"/>
          <w:rFonts w:ascii="Arial" w:hAnsi="Arial"/>
          <w:sz w:val="28"/>
          <w:szCs w:val="28"/>
        </w:rPr>
        <w:t>Looking at categories, the shape is similar with a downward trend towards the end of the year. However, the two most prominent categories do not reflect the products above. Canadian Whiskies and 80 proof vodka are the products selling the most</w:t>
      </w:r>
      <w:bookmarkStart w:id="13" w:name="_GoBack"/>
      <w:bookmarkEnd w:id="13"/>
      <w:r>
        <w:rPr>
          <w:rStyle w:val="StrongEmphasis"/>
          <w:rFonts w:ascii="Arial" w:hAnsi="Arial"/>
          <w:sz w:val="28"/>
          <w:szCs w:val="28"/>
        </w:rPr>
        <w:t>.</w:t>
      </w:r>
    </w:p>
    <w:p>
      <w:pPr>
        <w:pStyle w:val="Normal"/>
        <w:rPr>
          <w:rStyle w:val="StrongEmphasis"/>
          <w:rFonts w:ascii="Arial" w:hAnsi="Arial"/>
        </w:rPr>
      </w:pPr>
      <w:r>
        <w:rPr>
          <w:rFonts w:ascii="Arial" w:hAnsi="Arial"/>
        </w:rPr>
      </w:r>
    </w:p>
    <w:p>
      <w:pPr>
        <w:pStyle w:val="Normal"/>
        <w:rPr>
          <w:rStyle w:val="StrongEmphasis"/>
          <w:rFonts w:ascii="Arial" w:hAnsi="Arial"/>
        </w:rPr>
      </w:pPr>
      <w:r>
        <w:rPr>
          <w:rFonts w:ascii="Arial" w:hAnsi="Arial"/>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29197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943600" cy="2919730"/>
                    </a:xfrm>
                    <a:prstGeom prst="rect">
                      <a:avLst/>
                    </a:prstGeom>
                  </pic:spPr>
                </pic:pic>
              </a:graphicData>
            </a:graphic>
          </wp:anchor>
        </w:drawing>
      </w:r>
    </w:p>
    <w:p>
      <w:pPr>
        <w:pStyle w:val="Normal"/>
        <w:rPr/>
      </w:pPr>
      <w:r>
        <w:rPr>
          <w:rStyle w:val="StrongEmphasis"/>
          <w:rFonts w:ascii="Arial" w:hAnsi="Arial"/>
          <w:sz w:val="28"/>
          <w:szCs w:val="28"/>
        </w:rPr>
        <w:t>Looking at the top counties by sales, Polk, the most populated one, is far ahead of the rest. With a peak from March to June. The October rebound seen in the charts preceding this one is also present.</w:t>
      </w:r>
    </w:p>
    <w:p>
      <w:pPr>
        <w:pStyle w:val="Normal"/>
        <w:rPr>
          <w:rStyle w:val="StrongEmphasis"/>
        </w:rPr>
      </w:pPr>
      <w:r>
        <w:rPr/>
      </w:r>
      <w:bookmarkStart w:id="14" w:name="__RefHeading___Toc1091_560194899"/>
      <w:bookmarkStart w:id="15" w:name="__RefHeading___Toc1091_560194899"/>
      <w:bookmarkEnd w:id="15"/>
    </w:p>
    <w:sectPr>
      <w:headerReference w:type="default" r:id="rId9"/>
      <w:type w:val="nextPage"/>
      <w:pgSz w:w="12240" w:h="15840"/>
      <w:pgMar w:left="1440" w:right="1440" w:header="1440" w:top="1999"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ascii="Arial" w:hAnsi="Arial"/>
      </w:rPr>
      <w:t>Iowa liquor data analysis – SQL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CA"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Liberation Serif" w:hAnsi="Liberation Serif" w:eastAsia="Noto Sans CJK SC" w:cs="Lohit Devanagari"/>
      <w:color w:val="auto"/>
      <w:kern w:val="2"/>
      <w:sz w:val="24"/>
      <w:szCs w:val="24"/>
      <w:lang w:val="en-CA" w:eastAsia="zh-CN" w:bidi="hi-IN"/>
    </w:rPr>
  </w:style>
  <w:style w:type="paragraph" w:styleId="Heading1">
    <w:name w:val="Heading 1"/>
    <w:basedOn w:val="Heading"/>
    <w:uiPriority w:val="9"/>
    <w:qFormat/>
    <w:pPr>
      <w:numPr>
        <w:ilvl w:val="0"/>
        <w:numId w:val="1"/>
      </w:numPr>
      <w:outlineLvl w:val="0"/>
    </w:pPr>
    <w:rPr>
      <w:b/>
      <w:bCs/>
      <w:sz w:val="36"/>
      <w:szCs w:val="36"/>
    </w:rPr>
  </w:style>
  <w:style w:type="paragraph" w:styleId="Heading2">
    <w:name w:val="Heading 2"/>
    <w:basedOn w:val="Heading"/>
    <w:uiPriority w:val="9"/>
    <w:unhideWhenUsed/>
    <w:qFormat/>
    <w:pPr>
      <w:numPr>
        <w:ilvl w:val="1"/>
        <w:numId w:val="1"/>
      </w:numPr>
      <w:spacing w:before="200" w:after="120"/>
      <w:outlineLvl w:val="1"/>
    </w:pPr>
    <w:rPr>
      <w:b/>
      <w:bCs/>
      <w:sz w:val="32"/>
      <w:szCs w:val="32"/>
    </w:rPr>
  </w:style>
  <w:style w:type="paragraph" w:styleId="Heading3">
    <w:name w:val="Heading 3"/>
    <w:basedOn w:val="Heading"/>
    <w:uiPriority w:val="9"/>
    <w:unhideWhenUsed/>
    <w:qFormat/>
    <w:pPr>
      <w:numPr>
        <w:ilvl w:val="2"/>
        <w:numId w:val="1"/>
      </w:numPr>
      <w:spacing w:before="140" w:after="120"/>
      <w:outlineLvl w:val="2"/>
    </w:pPr>
    <w:rPr>
      <w:b/>
      <w:bCs/>
    </w:rPr>
  </w:style>
  <w:style w:type="paragraph" w:styleId="Heading4">
    <w:name w:val="Heading 4"/>
    <w:basedOn w:val="Heading"/>
    <w:uiPriority w:val="9"/>
    <w:unhideWhenUsed/>
    <w:qFormat/>
    <w:pPr>
      <w:numPr>
        <w:ilvl w:val="3"/>
        <w:numId w:val="1"/>
      </w:numPr>
      <w:spacing w:before="120" w:after="120"/>
      <w:outlineLvl w:val="3"/>
    </w:pPr>
    <w:rPr>
      <w:b/>
      <w:bCs/>
      <w:i/>
      <w:iCs/>
      <w:sz w:val="27"/>
      <w:szCs w:val="27"/>
    </w:rPr>
  </w:style>
  <w:style w:type="paragraph" w:styleId="Heading5">
    <w:name w:val="Heading 5"/>
    <w:basedOn w:val="Heading"/>
    <w:uiPriority w:val="9"/>
    <w:unhideWhenUsed/>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StrongEmphasis" w:customStyle="1">
    <w:name w:val="Strong Emphasis"/>
    <w:qFormat/>
    <w:rPr>
      <w:b/>
      <w:bCs/>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uiPriority w:val="11"/>
    <w:qFormat/>
    <w:pPr>
      <w:spacing w:before="60" w:after="120"/>
      <w:jc w:val="center"/>
    </w:pPr>
    <w:rPr>
      <w:sz w:val="36"/>
      <w:szCs w:val="36"/>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clear" w:pos="720"/>
        <w:tab w:val="right" w:pos="9360" w:leader="dot"/>
      </w:tabs>
    </w:pPr>
    <w:rPr/>
  </w:style>
  <w:style w:type="paragraph" w:styleId="Contents3">
    <w:name w:val="TOC 3"/>
    <w:basedOn w:val="Index"/>
    <w:pPr>
      <w:tabs>
        <w:tab w:val="clear" w:pos="720"/>
        <w:tab w:val="right" w:pos="8794" w:leader="dot"/>
      </w:tabs>
      <w:ind w:left="566" w:hanging="0"/>
    </w:pPr>
    <w:rPr/>
  </w:style>
  <w:style w:type="paragraph" w:styleId="Contents2">
    <w:name w:val="TOC 2"/>
    <w:basedOn w:val="Index"/>
    <w:pPr>
      <w:tabs>
        <w:tab w:val="clear" w:pos="720"/>
        <w:tab w:val="right" w:pos="9077" w:leader="dot"/>
      </w:tabs>
      <w:ind w:left="283"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hiskeyreviewer.com/2017/09/cedar-ridge-bourbon-review-092217/"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abd.iowa.gov/alcohol/alcohol-laws/hours-sale"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Application>LibreOffice/6.3.4.2$Linux_X86_64 LibreOffice_project/30$Build-2</Application>
  <Pages>12</Pages>
  <Words>1032</Words>
  <Characters>5832</Characters>
  <CharactersWithSpaces>6474</CharactersWithSpaces>
  <Paragraphs>403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2019-11-18T14:07:00Z</dcterms:created>
  <dc:creator/>
  <dc:description/>
  <dc:language>en-CA</dc:language>
  <cp:lastModifiedBy/>
  <dcterms:modified xsi:type="dcterms:W3CDTF">2020-02-08T17:05:08Z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