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400"/>
        <w:jc w:val="center"/>
      </w:pPr>
      <w:r>
        <w:drawing>
          <wp:inline distT="0" distB="0" distL="0" distR="0">
            <wp:extent cx="24765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466725"/>
                    </a:xfrm>
                    <a:prstGeom prst="rect">
                      <a:avLst/>
                    </a:prstGeom>
                  </pic:spPr>
                </pic:pic>
              </a:graphicData>
            </a:graphic>
          </wp:inline>
        </w:drawing>
      </w:r>
    </w:p>
    <w:p>
      <w:pPr>
        <w:spacing w:after="200"/>
        <w:jc w:val="center"/>
      </w:pPr>
      <w:r>
        <w:rPr>
          <w:rFonts w:ascii="Arial" w:cs="Arial" w:eastAsia="Arial" w:hAnsi="Arial"/>
          <w:b/>
          <w:bCs/>
          <w:color w:val="E1251B"/>
          <w:sz w:val="56"/>
          <w:szCs w:val="56"/>
        </w:rPr>
        <w:t xml:space="preserve">[Project Name]</w:t>
      </w:r>
    </w:p>
    <w:p>
      <w:pPr>
        <w:spacing w:after="400"/>
        <w:jc w:val="center"/>
      </w:pPr>
      <w:r>
        <w:rPr>
          <w:rFonts w:ascii="Arial" w:cs="Arial" w:eastAsia="Arial" w:hAnsi="Arial"/>
          <w:b/>
          <w:bCs/>
          <w:color w:val="212121"/>
          <w:sz w:val="36"/>
          <w:szCs w:val="36"/>
        </w:rPr>
        <w:t xml:space="preserve">Request for Information (RFI)</w:t>
      </w:r>
    </w:p>
    <w:p>
      <w:pPr>
        <w:spacing w:after="200"/>
        <w:jc w:val="center"/>
      </w:pPr>
      <w:r>
        <w:rPr>
          <w:rFonts w:ascii="Arial" w:cs="Arial" w:eastAsia="Arial" w:hAnsi="Arial"/>
          <w:b/>
          <w:bCs/>
          <w:color w:val="212121"/>
          <w:sz w:val="28"/>
          <w:szCs w:val="28"/>
        </w:rPr>
        <w:t xml:space="preserve">Eli Lilly and Company</w:t>
      </w:r>
    </w:p>
    <w:p>
      <w:pPr>
        <w:spacing w:after="200"/>
        <w:jc w:val="center"/>
      </w:pPr>
      <w:r>
        <w:rPr>
          <w:rFonts w:ascii="Arial" w:cs="Arial" w:eastAsia="Arial" w:hAnsi="Arial"/>
          <w:color w:val="212121"/>
          <w:sz w:val="24"/>
          <w:szCs w:val="24"/>
        </w:rPr>
        <w:t xml:space="preserve">[Date]</w:t>
      </w:r>
    </w:p>
    <w:p>
      <w:pPr>
        <w:spacing w:after="120"/>
        <w:jc w:val="center"/>
      </w:pPr>
      <w:r>
        <w:rPr>
          <w:rFonts w:ascii="Arial" w:cs="Arial" w:eastAsia="Arial" w:hAnsi="Arial"/>
          <w:i/>
          <w:iCs/>
          <w:color w:val="808080"/>
          <w:sz w:val="24"/>
          <w:szCs w:val="24"/>
        </w:rPr>
        <w:t xml:space="preserve">[Business Unit / Function]</w:t>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r>
        <w:br w:type="page"/>
      </w:r>
    </w:p>
    <w:p>
      <w:pPr>
        <w:spacing w:after="200"/>
      </w:pPr>
      <w:r>
        <w:rPr>
          <w:rFonts w:ascii="Arial" w:cs="Arial" w:eastAsia="Arial" w:hAnsi="Arial"/>
          <w:b/>
          <w:bCs/>
          <w:color w:val="212121"/>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20" w:before="240"/>
      </w:pPr>
      <w:r>
        <w:rPr>
          <w:rFonts w:ascii="Arial" w:cs="Arial" w:eastAsia="Arial" w:hAnsi="Arial"/>
          <w:b/>
          <w:bCs/>
          <w:color w:val="212121"/>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960"/>
        <w:gridCol w:w="2400"/>
      </w:tblGrid>
      <w:tr>
        <w:tc>
          <w:tcPr>
            <w:tcW w:type="dxa" w:w="12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Version</w:t>
            </w:r>
          </w:p>
        </w:tc>
        <w:tc>
          <w:tcPr>
            <w:tcW w:type="dxa" w:w="18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Date</w:t>
            </w:r>
          </w:p>
        </w:tc>
        <w:tc>
          <w:tcPr>
            <w:tcW w:type="dxa" w:w="39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Revision Details</w:t>
            </w:r>
          </w:p>
        </w:tc>
        <w:tc>
          <w:tcPr>
            <w:tcW w:type="dxa" w:w="24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Revised By</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1.0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Initial Release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Lilly RFI Team</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
            </w:r>
          </w:p>
        </w:tc>
      </w:tr>
    </w:tbl>
    <w:p>
      <w:pPr>
        <w:spacing w:after="0"/>
      </w:pPr>
      <w:r>
        <w:rPr>
          <w:rFonts w:ascii="Arial" w:cs="Arial" w:eastAsia="Arial" w:hAnsi="Arial"/>
          <w:color w:val="212121"/>
          <w:sz w:val="22"/>
          <w:szCs w:val="22"/>
        </w:rPr>
        <w:t xml:space="preserve"/>
      </w:r>
    </w:p>
    <w:p>
      <w:pPr>
        <w:spacing w:after="120" w:before="240"/>
      </w:pPr>
      <w:r>
        <w:rPr>
          <w:rFonts w:ascii="Arial" w:cs="Arial" w:eastAsia="Arial" w:hAnsi="Arial"/>
          <w:b/>
          <w:bCs/>
          <w:color w:val="212121"/>
          <w:sz w:val="26"/>
          <w:szCs w:val="2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Term</w:t>
            </w:r>
          </w:p>
        </w:tc>
        <w:tc>
          <w:tcPr>
            <w:tcW w:type="dxa" w:w="69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[Term]</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[Term]</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[Term]</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bl>
    <w:p>
      <w:r>
        <w:br w:type="page"/>
      </w:r>
    </w:p>
    <w:p>
      <w:pPr>
        <w:pStyle w:val="Heading1"/>
        <w:spacing w:after="120" w:before="360"/>
      </w:pPr>
      <w:r>
        <w:rPr>
          <w:rFonts w:ascii="Arial" w:cs="Arial" w:eastAsia="Arial" w:hAnsi="Arial"/>
          <w:b/>
          <w:bCs/>
          <w:color w:val="E1251B"/>
          <w:sz w:val="32"/>
          <w:szCs w:val="32"/>
        </w:rPr>
        <w:t xml:space="preserve">0	Preface</w:t>
      </w:r>
    </w:p>
    <w:p>
      <w:pPr>
        <w:pStyle w:val="Heading2"/>
        <w:spacing w:after="120" w:before="240"/>
      </w:pPr>
      <w:r>
        <w:rPr>
          <w:rFonts w:ascii="Arial" w:cs="Arial" w:eastAsia="Arial" w:hAnsi="Arial"/>
          <w:b/>
          <w:bCs/>
          <w:color w:val="212121"/>
          <w:sz w:val="26"/>
          <w:szCs w:val="26"/>
        </w:rPr>
        <w:t xml:space="preserve">0.1	Overview</w:t>
      </w:r>
    </w:p>
    <w:p>
      <w:pPr>
        <w:spacing w:after="120"/>
      </w:pPr>
      <w:r>
        <w:rPr>
          <w:rFonts w:ascii="Arial" w:cs="Arial" w:eastAsia="Arial" w:hAnsi="Arial"/>
          <w:color w:val="212121"/>
          <w:sz w:val="22"/>
          <w:szCs w:val="22"/>
        </w:rPr>
        <w:t xml:space="preserve">This document provides suppliers bidding on this project with information on the scope of the service and instructions/guidance on how to provide a response to Lilly.</w:t>
      </w:r>
    </w:p>
    <w:p>
      <w:pPr>
        <w:pStyle w:val="Heading2"/>
        <w:spacing w:after="120" w:before="240"/>
      </w:pPr>
      <w:r>
        <w:rPr>
          <w:rFonts w:ascii="Arial" w:cs="Arial" w:eastAsia="Arial" w:hAnsi="Arial"/>
          <w:b/>
          <w:bCs/>
          <w:color w:val="212121"/>
          <w:sz w:val="26"/>
          <w:szCs w:val="26"/>
        </w:rPr>
        <w:t xml:space="preserve">0.2	Contact Information</w:t>
      </w:r>
    </w:p>
    <w:p>
      <w:pPr>
        <w:spacing w:after="120"/>
      </w:pPr>
      <w:r>
        <w:rPr>
          <w:rFonts w:ascii="Arial" w:cs="Arial" w:eastAsia="Arial" w:hAnsi="Arial"/>
          <w:color w:val="212121"/>
          <w:sz w:val="22"/>
          <w:szCs w:val="22"/>
        </w:rPr>
        <w:t xml:space="preserve">Please limit communication regarding this RFI to the Lilly Procurement Contact below or through the Ariba Sourcing Portal. You may be disqualified if this information is inappropriately dispersed or shared.</w:t>
      </w:r>
    </w:p>
    <w:p>
      <w:pPr>
        <w:spacing w:after="0"/>
      </w:pPr>
      <w:r>
        <w:rPr>
          <w:rFonts w:ascii="Arial" w:cs="Arial" w:eastAsia="Arial" w:hAnsi="Arial"/>
          <w:color w:val="212121"/>
          <w:sz w:val="22"/>
          <w:szCs w:val="22"/>
        </w:rPr>
        <w:t xml:space="preserve"/>
      </w:r>
    </w:p>
    <w:p>
      <w:pPr>
        <w:spacing w:after="120"/>
      </w:pPr>
      <w:r>
        <w:rPr>
          <w:rFonts w:ascii="Arial" w:cs="Arial" w:eastAsia="Arial" w:hAnsi="Arial"/>
          <w:b/>
          <w:bCs/>
          <w:color w:val="212121"/>
          <w:sz w:val="22"/>
          <w:szCs w:val="22"/>
        </w:rPr>
        <w:t xml:space="preserve">[Procurement Contact Name]</w:t>
      </w:r>
    </w:p>
    <w:p>
      <w:pPr>
        <w:spacing w:after="120"/>
      </w:pPr>
      <w:r>
        <w:rPr>
          <w:rFonts w:ascii="Arial" w:cs="Arial" w:eastAsia="Arial" w:hAnsi="Arial"/>
          <w:color w:val="212121"/>
          <w:sz w:val="22"/>
          <w:szCs w:val="22"/>
        </w:rPr>
        <w:t xml:space="preserve">[Title]</w:t>
      </w:r>
    </w:p>
    <w:p>
      <w:pPr>
        <w:spacing w:after="120"/>
      </w:pPr>
      <w:r>
        <w:rPr>
          <w:rFonts w:ascii="Arial" w:cs="Arial" w:eastAsia="Arial" w:hAnsi="Arial"/>
          <w:color w:val="212121"/>
          <w:sz w:val="22"/>
          <w:szCs w:val="22"/>
        </w:rPr>
        <w:t xml:space="preserve">[Organization]</w:t>
      </w:r>
    </w:p>
    <w:p>
      <w:pPr>
        <w:spacing w:after="120"/>
      </w:pPr>
      <w:r>
        <w:rPr>
          <w:rFonts w:ascii="Arial" w:cs="Arial" w:eastAsia="Arial" w:hAnsi="Arial"/>
          <w:color w:val="212121"/>
          <w:sz w:val="22"/>
          <w:szCs w:val="22"/>
        </w:rPr>
        <w:t xml:space="preserve">Lilly Corporate Center Indianapolis, IN 46285</w:t>
      </w:r>
    </w:p>
    <w:p>
      <w:pPr>
        <w:spacing w:after="120"/>
      </w:pPr>
      <w:r>
        <w:rPr>
          <w:rFonts w:ascii="Arial" w:cs="Arial" w:eastAsia="Arial" w:hAnsi="Arial"/>
          <w:color w:val="212121"/>
          <w:sz w:val="22"/>
          <w:szCs w:val="22"/>
        </w:rPr>
        <w:t xml:space="preserve">[email@lilly.com]</w:t>
      </w:r>
    </w:p>
    <w:p>
      <w:pPr>
        <w:spacing w:after="120"/>
      </w:pPr>
      <w:r>
        <w:rPr>
          <w:rFonts w:ascii="Arial" w:cs="Arial" w:eastAsia="Arial" w:hAnsi="Arial"/>
          <w:color w:val="212121"/>
          <w:sz w:val="22"/>
          <w:szCs w:val="22"/>
        </w:rPr>
        <w:t xml:space="preserve">[Phone]</w:t>
      </w:r>
    </w:p>
    <w:p>
      <w:pPr>
        <w:pStyle w:val="Heading2"/>
        <w:spacing w:after="120" w:before="240"/>
      </w:pPr>
      <w:r>
        <w:rPr>
          <w:rFonts w:ascii="Arial" w:cs="Arial" w:eastAsia="Arial" w:hAnsi="Arial"/>
          <w:b/>
          <w:bCs/>
          <w:color w:val="212121"/>
          <w:sz w:val="26"/>
          <w:szCs w:val="26"/>
        </w:rPr>
        <w:t xml:space="preserve">0.3	Resources and Help Guides</w:t>
      </w:r>
    </w:p>
    <w:p>
      <w:pPr>
        <w:spacing w:after="120"/>
      </w:pPr>
      <w:r>
        <w:rPr>
          <w:rFonts w:ascii="Arial" w:cs="Arial" w:eastAsia="Arial" w:hAnsi="Arial"/>
          <w:color w:val="212121"/>
          <w:sz w:val="22"/>
          <w:szCs w:val="22"/>
        </w:rPr>
        <w:t xml:space="preserve">For help related to system access in Ariba, please rely on the links below available within Lilly's Supplier website or contact Lilly Procurement's Support Desk provided on the Supplier website.</w:t>
      </w:r>
    </w:p>
    <w:p>
      <w:pPr>
        <w:spacing w:after="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https://www.lilly.com/suppliers/supplier-resources</w:t>
      </w:r>
    </w:p>
    <w:p>
      <w:pPr>
        <w:spacing w:after="120"/>
      </w:pPr>
      <w:r>
        <w:rPr>
          <w:rFonts w:ascii="Arial" w:cs="Arial" w:eastAsia="Arial" w:hAnsi="Arial"/>
          <w:color w:val="212121"/>
          <w:sz w:val="22"/>
          <w:szCs w:val="22"/>
        </w:rPr>
        <w:t xml:space="preserve">https://www.ariba.com/support/supplier-support</w:t>
      </w:r>
    </w:p>
    <w:p>
      <w:pPr>
        <w:pStyle w:val="Heading2"/>
        <w:spacing w:after="120" w:before="240"/>
      </w:pPr>
      <w:r>
        <w:rPr>
          <w:rFonts w:ascii="Arial" w:cs="Arial" w:eastAsia="Arial" w:hAnsi="Arial"/>
          <w:b/>
          <w:bCs/>
          <w:color w:val="212121"/>
          <w:sz w:val="26"/>
          <w:szCs w:val="26"/>
        </w:rPr>
        <w:t xml:space="preserve">0.4	Copyright</w:t>
      </w:r>
    </w:p>
    <w:p>
      <w:pPr>
        <w:spacing w:after="120"/>
      </w:pPr>
      <w:r>
        <w:rPr>
          <w:rFonts w:ascii="Arial" w:cs="Arial" w:eastAsia="Arial" w:hAnsi="Arial"/>
          <w:color w:val="212121"/>
          <w:sz w:val="22"/>
          <w:szCs w:val="22"/>
        </w:rPr>
        <w:t xml:space="preserve">This document is copyright and contains proprietary information of Eli Lilly and Company and as such shall not be reproduced or disclosed to a third party without the prior written consent of Lilly.</w:t>
      </w:r>
    </w:p>
    <w:p>
      <w:pPr>
        <w:spacing w:after="120"/>
      </w:pPr>
      <w:r>
        <w:rPr>
          <w:rFonts w:ascii="Arial" w:cs="Arial" w:eastAsia="Arial" w:hAnsi="Arial"/>
          <w:color w:val="212121"/>
          <w:sz w:val="22"/>
          <w:szCs w:val="22"/>
        </w:rPr>
        <w:t xml:space="preserve">Lilly assumes no responsibility for any errors that may appear in this document.</w:t>
      </w:r>
    </w:p>
    <w:p>
      <w:pPr>
        <w:spacing w:after="120"/>
      </w:pPr>
      <w:r>
        <w:rPr>
          <w:rFonts w:ascii="Arial" w:cs="Arial" w:eastAsia="Arial" w:hAnsi="Arial"/>
          <w:color w:val="212121"/>
          <w:sz w:val="22"/>
          <w:szCs w:val="22"/>
        </w:rPr>
        <w:t xml:space="preserve">Copyright © [Year] Eli Lilly and Company</w:t>
      </w:r>
    </w:p>
    <w:p>
      <w:pPr>
        <w:spacing w:after="120"/>
      </w:pPr>
      <w:r>
        <w:rPr>
          <w:rFonts w:ascii="Arial" w:cs="Arial" w:eastAsia="Arial" w:hAnsi="Arial"/>
          <w:color w:val="212121"/>
          <w:sz w:val="22"/>
          <w:szCs w:val="22"/>
        </w:rPr>
        <w:t xml:space="preserve">All Rights Reserved</w:t>
      </w:r>
    </w:p>
    <w:p>
      <w:pPr>
        <w:pStyle w:val="Heading2"/>
        <w:spacing w:after="120" w:before="240"/>
      </w:pPr>
      <w:r>
        <w:rPr>
          <w:rFonts w:ascii="Arial" w:cs="Arial" w:eastAsia="Arial" w:hAnsi="Arial"/>
          <w:b/>
          <w:bCs/>
          <w:color w:val="212121"/>
          <w:sz w:val="26"/>
          <w:szCs w:val="26"/>
        </w:rPr>
        <w:t xml:space="preserve">0.5	Confidentiality Notice</w:t>
      </w:r>
    </w:p>
    <w:p>
      <w:pPr>
        <w:spacing w:after="120"/>
      </w:pPr>
      <w:r>
        <w:rPr>
          <w:rFonts w:ascii="Arial" w:cs="Arial" w:eastAsia="Arial" w:hAnsi="Arial"/>
          <w:b/>
          <w:bCs/>
          <w:color w:val="212121"/>
          <w:sz w:val="22"/>
          <w:szCs w:val="22"/>
        </w:rPr>
        <w:t xml:space="preserve">CONFIDENTIALITY NOTICE: </w:t>
      </w:r>
      <w:r>
        <w:rPr>
          <w:rFonts w:ascii="Arial" w:cs="Arial" w:eastAsia="Arial" w:hAnsi="Arial"/>
          <w:color w:val="212121"/>
          <w:sz w:val="22"/>
          <w:szCs w:val="22"/>
        </w:rPr>
        <w:t xml:space="preserve">This RFI from Eli Lilly and Company (including all attachments) is for the sole use of the intended recipient(s) and contains confidential and privileged information. Any unauthorized review, use, disclosure, copying, or distribution is strictly prohibited. In addition, all RFI content is expected to be treated in accordance with the confidentiality provisions of the effective master agreement.</w:t>
      </w:r>
    </w:p>
    <w:p>
      <w:r>
        <w:br w:type="page"/>
      </w:r>
    </w:p>
    <w:p>
      <w:pPr>
        <w:pStyle w:val="Heading1"/>
        <w:spacing w:after="120" w:before="360"/>
      </w:pPr>
      <w:r>
        <w:rPr>
          <w:rFonts w:ascii="Arial" w:cs="Arial" w:eastAsia="Arial" w:hAnsi="Arial"/>
          <w:b/>
          <w:bCs/>
          <w:color w:val="E1251B"/>
          <w:sz w:val="32"/>
          <w:szCs w:val="32"/>
        </w:rPr>
        <w:t xml:space="preserve">1	RFI Background &amp; Instructions</w:t>
      </w:r>
    </w:p>
    <w:p>
      <w:pPr>
        <w:pStyle w:val="Heading2"/>
        <w:spacing w:after="120" w:before="240"/>
      </w:pPr>
      <w:r>
        <w:rPr>
          <w:rFonts w:ascii="Arial" w:cs="Arial" w:eastAsia="Arial" w:hAnsi="Arial"/>
          <w:b/>
          <w:bCs/>
          <w:color w:val="212121"/>
          <w:sz w:val="26"/>
          <w:szCs w:val="26"/>
        </w:rPr>
        <w:t xml:space="preserve">1.1	Background</w:t>
      </w:r>
    </w:p>
    <w:p>
      <w:pPr>
        <w:spacing w:after="120"/>
      </w:pPr>
      <w:r>
        <w:rPr>
          <w:rFonts w:ascii="Arial" w:cs="Arial" w:eastAsia="Arial" w:hAnsi="Arial"/>
          <w:color w:val="212121"/>
          <w:sz w:val="22"/>
          <w:szCs w:val="22"/>
        </w:rPr>
        <w:t xml:space="preserve">Eli Lilly and Company ("Lilly") is a global pharmaceutical company headquartered in Indianapolis, IN, U.S.A. [Current revenue figure], with products marketed in more than 120 countries. With a heritage of over 145 years, our mission is to make medicines that help people live longer, healthier, more active lives.</w:t>
      </w:r>
    </w:p>
    <w:p>
      <w:pPr>
        <w:spacing w:after="120"/>
      </w:pPr>
      <w:r>
        <w:rPr>
          <w:rFonts w:ascii="Arial" w:cs="Arial" w:eastAsia="Arial" w:hAnsi="Arial"/>
          <w:color w:val="212121"/>
          <w:sz w:val="22"/>
          <w:szCs w:val="22"/>
        </w:rPr>
        <w:t xml:space="preserve">Our businesses include diabetes and obesity, oncology, immunology, and neuroscience. Lilly has over [employee count] employees, approximately [percentage] of which are located outside the United States. Lilly also employs a wide range of contract labor supporting various business areas.</w:t>
      </w:r>
    </w:p>
    <w:p>
      <w:pPr>
        <w:spacing w:after="0"/>
      </w:pPr>
      <w:r>
        <w:rPr>
          <w:rFonts w:ascii="Arial" w:cs="Arial" w:eastAsia="Arial" w:hAnsi="Arial"/>
          <w:color w:val="212121"/>
          <w:sz w:val="22"/>
          <w:szCs w:val="22"/>
        </w:rPr>
        <w:t xml:space="preserve"/>
      </w:r>
    </w:p>
    <w:p>
      <w:pPr>
        <w:spacing w:after="120"/>
      </w:pPr>
      <w:r>
        <w:rPr>
          <w:rFonts w:ascii="Arial" w:cs="Arial" w:eastAsia="Arial" w:hAnsi="Arial"/>
          <w:i/>
          <w:iCs/>
          <w:color w:val="808080"/>
          <w:sz w:val="22"/>
          <w:szCs w:val="22"/>
        </w:rPr>
        <w:t xml:space="preserve">[PROJECT-SPECIFIC BACKGROUND: Describe the sourcing need, business problem, current state, and what Lilly is looking for.]</w:t>
      </w:r>
    </w:p>
    <w:p>
      <w:pPr>
        <w:pStyle w:val="Heading2"/>
        <w:spacing w:after="120" w:before="240"/>
      </w:pPr>
      <w:r>
        <w:rPr>
          <w:rFonts w:ascii="Arial" w:cs="Arial" w:eastAsia="Arial" w:hAnsi="Arial"/>
          <w:b/>
          <w:bCs/>
          <w:color w:val="212121"/>
          <w:sz w:val="26"/>
          <w:szCs w:val="26"/>
        </w:rPr>
        <w:t xml:space="preserve">1.2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Term</w:t>
            </w:r>
          </w:p>
        </w:tc>
        <w:tc>
          <w:tcPr>
            <w:tcW w:type="dxa" w:w="69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[Term]</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[Term]</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bl>
    <w:p>
      <w:pPr>
        <w:pStyle w:val="Heading2"/>
        <w:spacing w:after="120" w:before="240"/>
      </w:pPr>
      <w:r>
        <w:rPr>
          <w:rFonts w:ascii="Arial" w:cs="Arial" w:eastAsia="Arial" w:hAnsi="Arial"/>
          <w:b/>
          <w:bCs/>
          <w:color w:val="212121"/>
          <w:sz w:val="26"/>
          <w:szCs w:val="26"/>
        </w:rPr>
        <w:t xml:space="preserve">1.3	RFI Response Expectations</w:t>
      </w:r>
    </w:p>
    <w:p>
      <w:pPr>
        <w:spacing w:after="120"/>
      </w:pPr>
      <w:r>
        <w:rPr>
          <w:rFonts w:ascii="Arial" w:cs="Arial" w:eastAsia="Arial" w:hAnsi="Arial"/>
          <w:color w:val="212121"/>
          <w:sz w:val="22"/>
          <w:szCs w:val="22"/>
        </w:rPr>
        <w:t xml:space="preserve">Vendors are asked to respond to the RFI by returning responses through the Lilly Ariba eSourcing tool. Responses should consist of ONLY:</w:t>
      </w:r>
    </w:p>
    <w:p>
      <w:pPr>
        <w:pStyle w:val="ListParagraph"/>
        <w:numPr>
          <w:ilvl w:val="0"/>
          <w:numId w:val="2"/>
        </w:numPr>
        <w:spacing w:after="120"/>
      </w:pPr>
      <w:r>
        <w:rPr>
          <w:rFonts w:ascii="Arial" w:cs="Arial" w:eastAsia="Arial" w:hAnsi="Arial"/>
          <w:color w:val="212121"/>
          <w:sz w:val="22"/>
          <w:szCs w:val="22"/>
        </w:rPr>
        <w:t xml:space="preserve">An Executive Summary consisting of no more than 2 sides of A4/Letter</w:t>
      </w:r>
    </w:p>
    <w:p>
      <w:pPr>
        <w:pStyle w:val="ListParagraph"/>
        <w:numPr>
          <w:ilvl w:val="0"/>
          <w:numId w:val="2"/>
        </w:numPr>
        <w:spacing w:after="120"/>
      </w:pPr>
      <w:r>
        <w:rPr>
          <w:rFonts w:ascii="Arial" w:cs="Arial" w:eastAsia="Arial" w:hAnsi="Arial"/>
          <w:color w:val="212121"/>
          <w:sz w:val="22"/>
          <w:szCs w:val="22"/>
        </w:rPr>
        <w:t xml:space="preserve">A general description of a proposed solution to meet the requirements described in Section 2</w:t>
      </w:r>
    </w:p>
    <w:p>
      <w:pPr>
        <w:pStyle w:val="ListParagraph"/>
        <w:numPr>
          <w:ilvl w:val="0"/>
          <w:numId w:val="2"/>
        </w:numPr>
        <w:spacing w:after="120"/>
      </w:pPr>
      <w:r>
        <w:rPr>
          <w:rFonts w:ascii="Arial" w:cs="Arial" w:eastAsia="Arial" w:hAnsi="Arial"/>
          <w:color w:val="212121"/>
          <w:sz w:val="22"/>
          <w:szCs w:val="22"/>
        </w:rPr>
        <w:t xml:space="preserve">Responses to the detailed questions/requirements in the Requirements spreadsheet along with supporting attachments where necessary</w:t>
      </w:r>
    </w:p>
    <w:p>
      <w:pPr>
        <w:pStyle w:val="ListParagraph"/>
        <w:numPr>
          <w:ilvl w:val="0"/>
          <w:numId w:val="2"/>
        </w:numPr>
        <w:spacing w:after="120"/>
      </w:pPr>
      <w:r>
        <w:rPr>
          <w:rFonts w:ascii="Arial" w:cs="Arial" w:eastAsia="Arial" w:hAnsi="Arial"/>
          <w:color w:val="212121"/>
          <w:sz w:val="22"/>
          <w:szCs w:val="22"/>
        </w:rPr>
        <w:t xml:space="preserve">Details of the licensing and charging metrics such that Lilly can ensure this information is provided if a subsequent RFP were to be issued</w:t>
      </w:r>
    </w:p>
    <w:p>
      <w:pPr>
        <w:pStyle w:val="ListParagraph"/>
        <w:numPr>
          <w:ilvl w:val="0"/>
          <w:numId w:val="2"/>
        </w:numPr>
        <w:spacing w:after="120"/>
      </w:pPr>
      <w:r>
        <w:rPr>
          <w:rFonts w:ascii="Arial" w:cs="Arial" w:eastAsia="Arial" w:hAnsi="Arial"/>
          <w:color w:val="212121"/>
          <w:sz w:val="22"/>
          <w:szCs w:val="22"/>
        </w:rPr>
        <w:t xml:space="preserve">List pricing for all components including maintenance/support along with the typical level of discount</w:t>
      </w:r>
    </w:p>
    <w:p>
      <w:pPr>
        <w:pStyle w:val="ListParagraph"/>
        <w:numPr>
          <w:ilvl w:val="0"/>
          <w:numId w:val="2"/>
        </w:numPr>
        <w:spacing w:after="120"/>
      </w:pPr>
      <w:r>
        <w:rPr>
          <w:rFonts w:ascii="Arial" w:cs="Arial" w:eastAsia="Arial" w:hAnsi="Arial"/>
          <w:color w:val="212121"/>
          <w:sz w:val="22"/>
          <w:szCs w:val="22"/>
        </w:rPr>
        <w:t xml:space="preserve">Recommended implementation support and training for the solution</w:t>
      </w:r>
    </w:p>
    <w:p>
      <w:pPr>
        <w:pStyle w:val="ListParagraph"/>
        <w:numPr>
          <w:ilvl w:val="0"/>
          <w:numId w:val="2"/>
        </w:numPr>
        <w:spacing w:after="120"/>
      </w:pPr>
      <w:r>
        <w:rPr>
          <w:rFonts w:ascii="Arial" w:cs="Arial" w:eastAsia="Arial" w:hAnsi="Arial"/>
          <w:color w:val="212121"/>
          <w:sz w:val="22"/>
          <w:szCs w:val="22"/>
        </w:rPr>
        <w:t xml:space="preserve">Overview of your near-term product roadmap and longer-term vision and strategy</w:t>
      </w:r>
    </w:p>
    <w:p>
      <w:pPr>
        <w:pStyle w:val="ListParagraph"/>
        <w:numPr>
          <w:ilvl w:val="0"/>
          <w:numId w:val="2"/>
        </w:numPr>
        <w:spacing w:after="120"/>
      </w:pPr>
      <w:r>
        <w:rPr>
          <w:rFonts w:ascii="Arial" w:cs="Arial" w:eastAsia="Arial" w:hAnsi="Arial"/>
          <w:color w:val="212121"/>
          <w:sz w:val="22"/>
          <w:szCs w:val="22"/>
        </w:rPr>
        <w:t xml:space="preserve">Support model during and after implementation</w:t>
      </w:r>
    </w:p>
    <w:p>
      <w:pPr>
        <w:pStyle w:val="ListParagraph"/>
        <w:numPr>
          <w:ilvl w:val="0"/>
          <w:numId w:val="2"/>
        </w:numPr>
        <w:spacing w:after="120"/>
      </w:pPr>
      <w:r>
        <w:rPr>
          <w:rFonts w:ascii="Arial" w:cs="Arial" w:eastAsia="Arial" w:hAnsi="Arial"/>
          <w:color w:val="212121"/>
          <w:sz w:val="22"/>
          <w:szCs w:val="22"/>
        </w:rPr>
        <w:t xml:space="preserve">Details (case studies) of two customers with requirements and volumes similar to those of Lilly</w:t>
      </w:r>
    </w:p>
    <w:p>
      <w:pPr>
        <w:pStyle w:val="Heading2"/>
        <w:spacing w:after="120" w:before="240"/>
      </w:pPr>
      <w:r>
        <w:rPr>
          <w:rFonts w:ascii="Arial" w:cs="Arial" w:eastAsia="Arial" w:hAnsi="Arial"/>
          <w:b/>
          <w:bCs/>
          <w:color w:val="212121"/>
          <w:sz w:val="26"/>
          <w:szCs w:val="26"/>
        </w:rPr>
        <w:t xml:space="preserve">1.4	Supporting Documents</w:t>
      </w:r>
    </w:p>
    <w:p>
      <w:pPr>
        <w:spacing w:after="120"/>
      </w:pPr>
      <w:r>
        <w:rPr>
          <w:rFonts w:ascii="Arial" w:cs="Arial" w:eastAsia="Arial" w:hAnsi="Arial"/>
          <w:color w:val="212121"/>
          <w:sz w:val="22"/>
          <w:szCs w:val="22"/>
        </w:rPr>
        <w:t xml:space="preserve">The RFI includes the following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Document</w:t>
            </w:r>
          </w:p>
        </w:tc>
        <w:tc>
          <w:tcPr>
            <w:tcW w:type="dxa" w:w="63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Description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RFI Instructions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This document. Contains an overview of the project, a description of the services required and the information to be returned.</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Requirements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Requirements spreadsheet. Vendors should add their responses to the spreadsheet.</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[Additional Document]</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[Description]</w:t>
            </w:r>
          </w:p>
        </w:tc>
      </w:tr>
    </w:tbl>
    <w:p>
      <w:pPr>
        <w:pStyle w:val="Heading2"/>
        <w:spacing w:after="120" w:before="240"/>
      </w:pPr>
      <w:r>
        <w:rPr>
          <w:rFonts w:ascii="Arial" w:cs="Arial" w:eastAsia="Arial" w:hAnsi="Arial"/>
          <w:b/>
          <w:bCs/>
          <w:color w:val="212121"/>
          <w:sz w:val="26"/>
          <w:szCs w:val="26"/>
        </w:rPr>
        <w:t xml:space="preserve">1.5	RFI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Milestone</w:t>
            </w:r>
          </w:p>
        </w:tc>
        <w:tc>
          <w:tcPr>
            <w:tcW w:type="dxa" w:w="468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Date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Release RFI</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Supplier Intent to Respond Due</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Q&amp;A Session</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 Time, Duration]</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RFI Responses Due</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 Time EST]</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Vendor Presentations</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 Range]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Further steps will be defined at this point.</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
            </w:r>
          </w:p>
        </w:tc>
      </w:tr>
    </w:tbl>
    <w:p>
      <w:pPr>
        <w:spacing w:after="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Please note these timescales are indicative and not a commitment to complete the process in this timescale.</w:t>
      </w:r>
    </w:p>
    <w:p>
      <w:pPr>
        <w:pStyle w:val="Heading2"/>
        <w:spacing w:after="120" w:before="240"/>
      </w:pPr>
      <w:r>
        <w:rPr>
          <w:rFonts w:ascii="Arial" w:cs="Arial" w:eastAsia="Arial" w:hAnsi="Arial"/>
          <w:b/>
          <w:bCs/>
          <w:color w:val="212121"/>
          <w:sz w:val="26"/>
          <w:szCs w:val="26"/>
        </w:rPr>
        <w:t xml:space="preserve">1.6	Questions and Q&amp;A Session</w:t>
      </w:r>
    </w:p>
    <w:p>
      <w:pPr>
        <w:spacing w:after="120"/>
      </w:pPr>
      <w:r>
        <w:rPr>
          <w:rFonts w:ascii="Arial" w:cs="Arial" w:eastAsia="Arial" w:hAnsi="Arial"/>
          <w:color w:val="212121"/>
          <w:sz w:val="22"/>
          <w:szCs w:val="22"/>
        </w:rPr>
        <w:t xml:space="preserve">There will be an opportunity for all suppliers to join a [duration] Question &amp; Answer session via [Teams | WebEx] on [date and time]. Dial-in information will be shared with each individual supplier contact via email.</w:t>
      </w:r>
    </w:p>
    <w:p>
      <w:pPr>
        <w:spacing w:after="120"/>
      </w:pPr>
      <w:r>
        <w:rPr>
          <w:rFonts w:ascii="Arial" w:cs="Arial" w:eastAsia="Arial" w:hAnsi="Arial"/>
          <w:color w:val="212121"/>
          <w:sz w:val="22"/>
          <w:szCs w:val="22"/>
        </w:rPr>
        <w:t xml:space="preserve">Please utilize this time to test your understanding of our requirements and ask clarifying questions. Each supplier will receive an anonymous ID prior to the call, and you are encouraged to use this ID during the call to promote candid discussion.</w:t>
      </w:r>
    </w:p>
    <w:p>
      <w:pPr>
        <w:spacing w:after="120"/>
      </w:pPr>
      <w:r>
        <w:rPr>
          <w:rFonts w:ascii="Arial" w:cs="Arial" w:eastAsia="Arial" w:hAnsi="Arial"/>
          <w:color w:val="212121"/>
          <w:sz w:val="22"/>
          <w:szCs w:val="22"/>
        </w:rPr>
        <w:t xml:space="preserve">All further inquiries and questions after the Q&amp;A meeting must be submitted via email or Ariba to the RFI Contact no later than [date and time]. Any questions that the Lilly team can answer will be sent to all RFI participants.</w:t>
      </w:r>
    </w:p>
    <w:p>
      <w:r>
        <w:br w:type="page"/>
      </w:r>
    </w:p>
    <w:p>
      <w:pPr>
        <w:pStyle w:val="Heading1"/>
        <w:spacing w:after="120" w:before="360"/>
      </w:pPr>
      <w:r>
        <w:rPr>
          <w:rFonts w:ascii="Arial" w:cs="Arial" w:eastAsia="Arial" w:hAnsi="Arial"/>
          <w:b/>
          <w:bCs/>
          <w:color w:val="E1251B"/>
          <w:sz w:val="32"/>
          <w:szCs w:val="32"/>
        </w:rPr>
        <w:t xml:space="preserve">2	Service Requirements &amp; Specifications</w:t>
      </w:r>
    </w:p>
    <w:p>
      <w:pPr>
        <w:pStyle w:val="Heading2"/>
        <w:spacing w:after="120" w:before="240"/>
      </w:pPr>
      <w:r>
        <w:rPr>
          <w:rFonts w:ascii="Arial" w:cs="Arial" w:eastAsia="Arial" w:hAnsi="Arial"/>
          <w:b/>
          <w:bCs/>
          <w:color w:val="212121"/>
          <w:sz w:val="26"/>
          <w:szCs w:val="26"/>
        </w:rPr>
        <w:t xml:space="preserve">2.1	Project Objectives / Desired Future State</w:t>
      </w:r>
    </w:p>
    <w:p>
      <w:pPr>
        <w:spacing w:after="120"/>
      </w:pPr>
      <w:r>
        <w:rPr>
          <w:rFonts w:ascii="Arial" w:cs="Arial" w:eastAsia="Arial" w:hAnsi="Arial"/>
          <w:i/>
          <w:iCs/>
          <w:color w:val="808080"/>
          <w:sz w:val="22"/>
          <w:szCs w:val="22"/>
        </w:rPr>
        <w:t xml:space="preserve">[Describe what Lilly wants to achieve. Use a bulleted list of specific, measurable objectives.]</w:t>
      </w:r>
    </w:p>
    <w:p>
      <w:pPr>
        <w:pStyle w:val="Heading2"/>
        <w:spacing w:after="120" w:before="240"/>
      </w:pPr>
      <w:r>
        <w:rPr>
          <w:rFonts w:ascii="Arial" w:cs="Arial" w:eastAsia="Arial" w:hAnsi="Arial"/>
          <w:b/>
          <w:bCs/>
          <w:color w:val="212121"/>
          <w:sz w:val="26"/>
          <w:szCs w:val="26"/>
        </w:rPr>
        <w:t xml:space="preserve">2.2	Requirements</w:t>
      </w:r>
    </w:p>
    <w:p>
      <w:pPr>
        <w:spacing w:after="120"/>
      </w:pPr>
      <w:r>
        <w:rPr>
          <w:rFonts w:ascii="Arial" w:cs="Arial" w:eastAsia="Arial" w:hAnsi="Arial"/>
          <w:color w:val="212121"/>
          <w:sz w:val="22"/>
          <w:szCs w:val="22"/>
        </w:rPr>
        <w:t xml:space="preserve">Requirements are broken down into several categories as indicated in the table below and elaborated in the attached requirements response spreadsheet.</w:t>
      </w:r>
    </w:p>
    <w:p>
      <w:pPr>
        <w:spacing w:after="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Requirement Category</w:t>
            </w:r>
          </w:p>
        </w:tc>
        <w:tc>
          <w:tcPr>
            <w:tcW w:type="dxa" w:w="61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Definition</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[Category 1]</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 of what this category covers]</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[Category 2]</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[Category 3]</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[Category 4]</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[Category 5]</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bl>
    <w:p>
      <w:pPr>
        <w:spacing w:after="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Please respond to each requirement in the attached spreadsheet with a description of how your solution addresses it. Reference supporting documentation where applicable.</w:t>
      </w:r>
    </w:p>
    <w:p>
      <w:pPr>
        <w:spacing w:after="0"/>
      </w:pPr>
      <w:r>
        <w:rPr>
          <w:rFonts w:ascii="Arial" w:cs="Arial" w:eastAsia="Arial" w:hAnsi="Arial"/>
          <w:color w:val="212121"/>
          <w:sz w:val="22"/>
          <w:szCs w:val="22"/>
        </w:rPr>
        <w:t xml:space="preserve"/>
      </w:r>
    </w:p>
    <w:p>
      <w:pPr>
        <w:spacing w:after="120"/>
      </w:pPr>
      <w:r>
        <w:rPr>
          <w:rFonts w:ascii="Arial" w:cs="Arial" w:eastAsia="Arial" w:hAnsi="Arial"/>
          <w:b/>
          <w:bCs/>
          <w:color w:val="212121"/>
          <w:sz w:val="22"/>
          <w:szCs w:val="22"/>
        </w:rPr>
        <w:t xml:space="preserve">Note: </w:t>
      </w:r>
      <w:r>
        <w:rPr>
          <w:rFonts w:ascii="Arial" w:cs="Arial" w:eastAsia="Arial" w:hAnsi="Arial"/>
          <w:color w:val="212121"/>
          <w:sz w:val="22"/>
          <w:szCs w:val="22"/>
        </w:rPr>
        <w:t xml:space="preserve">It is important that you do not add or insert rows within the requirements response spreadsheet.</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Arial" w:cs="Arial" w:eastAsia="Arial" w:hAnsi="Arial"/>
        <w:i/>
        <w:iCs/>
        <w:color w:val="808080"/>
        <w:sz w:val="16"/>
        <w:szCs w:val="16"/>
      </w:rPr>
      <w:t xml:space="preserve">Company Confidential  © 2026 Eli Lilly and Company</w:t>
    </w:r>
    <w:r>
      <w:t xml:space="preserve">	</w:t>
    </w:r>
    <w:r>
      <w:t xml:space="preserv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808080"/>
        <w:sz w:val="18"/>
        <w:szCs w:val="18"/>
      </w:rPr>
      <w:t xml:space="preserve">RFI -- [Project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1251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1212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8e3444ab7b7bdfc84443469511fbd5b85c0fb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2026-05-21T22:59:37.302Z</dcterms:created>
  <dcterms:modified xsi:type="dcterms:W3CDTF">2026-05-21T22:59:37.302Z</dcterms:modified>
</cp:coreProperties>
</file>

<file path=docProps/custom.xml><?xml version="1.0" encoding="utf-8"?>
<Properties xmlns="http://schemas.openxmlformats.org/officeDocument/2006/custom-properties" xmlns:vt="http://schemas.openxmlformats.org/officeDocument/2006/docPropsVTypes"/>
</file>