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5A4BD8"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w:t>
      </w:r>
      <w:proofErr w:type="gramStart"/>
      <w:r w:rsidRPr="006B53AF">
        <w:rPr>
          <w:lang w:eastAsia="zh-CN"/>
        </w:rPr>
        <w:t>residual</w:t>
      </w:r>
      <w:proofErr w:type="gramEnd"/>
      <w:r w:rsidRPr="006B53AF">
        <w:rPr>
          <w:lang w:eastAsia="zh-CN"/>
        </w:rPr>
        <w:t xml:space="preserve">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 xml:space="preserve">esidual, </w:t>
      </w:r>
      <w:proofErr w:type="spellStart"/>
      <w:r w:rsidR="00606DDF">
        <w:t>Jacobi</w:t>
      </w:r>
      <w:r w:rsidR="00470AD4">
        <w:t>an</w:t>
      </w:r>
      <w:proofErr w:type="spellEnd"/>
      <w:r w:rsidR="00470AD4">
        <w:t>,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382CDA0" w:rsidR="002C10B0" w:rsidRDefault="00775D1D" w:rsidP="00D02AF6">
      <w:pPr>
        <w:rPr>
          <w:szCs w:val="24"/>
        </w:rPr>
      </w:pPr>
      <w:r w:rsidRPr="00D03984">
        <w:t xml:space="preserve">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w:t>
      </w:r>
      <w:proofErr w:type="spellStart"/>
      <w:r w:rsidRPr="00D03984">
        <w:t>subchannel</w:t>
      </w:r>
      <w:proofErr w:type="spellEnd"/>
      <w:r w:rsidRPr="00D03984">
        <w:t xml:space="preserve"> code for modeling the hydrodynamics within the reactor core is CTF, which is a </w:t>
      </w:r>
      <w:proofErr w:type="spellStart"/>
      <w:r w:rsidRPr="00D03984">
        <w:t>subchannel</w:t>
      </w:r>
      <w:proofErr w:type="spellEnd"/>
      <w:r w:rsidRPr="00D03984">
        <w:t xml:space="preserve">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w:t>
      </w:r>
      <w:ins w:id="4" w:author="Chris Dances" w:date="2015-06-03T17:51:00Z">
        <w:r w:rsidR="00D35A2B">
          <w:t xml:space="preserve">The residual formulation </w:t>
        </w:r>
      </w:ins>
      <w:ins w:id="5" w:author="Chris Dances" w:date="2015-06-03T17:52:00Z">
        <w:r w:rsidR="00D35A2B">
          <w:t>will be written into the current version of CASL CTF step by step with verification and validation practices along the way. The objective is to upgrade the different numerical methods available to CTF and increase software confidence.</w:t>
        </w:r>
        <w:r w:rsidR="004A5E03">
          <w:t xml:space="preserve"> </w:t>
        </w:r>
      </w:ins>
      <w:r w:rsidRPr="00D03984">
        <w:t xml:space="preserve">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ins w:id="6" w:author="Chris Dances" w:date="2015-06-03T17:55:00Z">
        <w:r w:rsidR="00FA687A">
          <w:rPr>
            <w:szCs w:val="24"/>
          </w:rPr>
          <w:t xml:space="preserve"> </w:t>
        </w:r>
        <w:r w:rsidR="00FA687A">
          <w:t>The goal is to show that the implicit coupling allows for more enhanced stability of the solution, allowing for quicker runtimes utilizing fewer steps.</w:t>
        </w:r>
      </w:ins>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7" w:name="_Toc287503138"/>
      <w:r>
        <w:t>CTF</w:t>
      </w:r>
      <w:bookmarkEnd w:id="7"/>
    </w:p>
    <w:p w14:paraId="66985C25" w14:textId="77777777" w:rsidR="002C10B0" w:rsidRPr="00593473" w:rsidRDefault="002C10B0" w:rsidP="00D02AF6"/>
    <w:p w14:paraId="7E13E7C1" w14:textId="162C5B5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solved for explicitly.</w:t>
      </w:r>
      <w:ins w:id="8" w:author="Chris Dances" w:date="2015-06-03T18:41:00Z">
        <w:r w:rsidR="00197B96">
          <w:t xml:space="preserve"> A new option has been written into the user input to allow for solution methods using the residual formulation.</w:t>
        </w:r>
      </w:ins>
      <w:r w:rsidRPr="00D27E3B">
        <w:t xml:space="preserve"> The residual formulation </w:t>
      </w:r>
      <w:del w:id="9" w:author="Chris Dances" w:date="2015-06-03T18:42:00Z">
        <w:r w:rsidRPr="00D27E3B" w:rsidDel="00197B96">
          <w:delText xml:space="preserve">of the code </w:delText>
        </w:r>
      </w:del>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conservation</w:t>
      </w:r>
      <w:ins w:id="10" w:author="Chris Dances" w:date="2015-06-03T18:42:00Z">
        <w:r w:rsidR="00197B96">
          <w:t>, and will be expanded in later work</w:t>
        </w:r>
      </w:ins>
      <w:r w:rsidRPr="00D27E3B">
        <w:t xml:space="preserve">. </w:t>
      </w:r>
      <w:r w:rsidR="00676E9E" w:rsidRPr="00D27E3B">
        <w:t xml:space="preserve"> </w:t>
      </w:r>
      <w:r w:rsidRPr="00D27E3B">
        <w:t>Th</w:t>
      </w:r>
      <w:ins w:id="11" w:author="Chris Dances" w:date="2015-06-03T18:42:00Z">
        <w:r w:rsidR="00197B96">
          <w:t>e current objective of the</w:t>
        </w:r>
      </w:ins>
      <w:del w:id="12" w:author="Chris Dances" w:date="2015-06-03T18:42:00Z">
        <w:r w:rsidRPr="00D27E3B" w:rsidDel="00197B96">
          <w:delText>is</w:delText>
        </w:r>
      </w:del>
      <w:r w:rsidRPr="00D27E3B">
        <w:t xml:space="preserve"> residual</w:t>
      </w:r>
      <w:r w:rsidR="00CD23EB" w:rsidRPr="00D27E3B">
        <w:t xml:space="preserve"> </w:t>
      </w:r>
      <w:r w:rsidRPr="00D27E3B">
        <w:t xml:space="preserve">formulation </w:t>
      </w:r>
      <w:del w:id="13" w:author="Chris Dances" w:date="2015-06-03T18:42:00Z">
        <w:r w:rsidR="00561AF6" w:rsidRPr="00D27E3B" w:rsidDel="00197B96">
          <w:delText xml:space="preserve">allows </w:delText>
        </w:r>
      </w:del>
      <w:ins w:id="14" w:author="Chris Dances" w:date="2015-06-03T18:42:00Z">
        <w:r w:rsidR="00197B96">
          <w:t>is to allow</w:t>
        </w:r>
        <w:r w:rsidR="00197B96" w:rsidRPr="00D27E3B">
          <w:t xml:space="preserve"> </w:t>
        </w:r>
      </w:ins>
      <w:r w:rsidR="00561AF6" w:rsidRPr="00D27E3B">
        <w:t>for greater flexibility in the selection of the numerical methods</w:t>
      </w:r>
      <w:r w:rsidR="00095595" w:rsidRPr="00D27E3B">
        <w:t xml:space="preserve"> as well as easy </w:t>
      </w:r>
      <w:ins w:id="15" w:author="Kostadin Ivanov" w:date="2015-06-11T17:44:00Z">
        <w:r w:rsidR="00043072">
          <w:t xml:space="preserve">model </w:t>
        </w:r>
      </w:ins>
      <w:r w:rsidR="00095595" w:rsidRPr="00D27E3B">
        <w:t>parameter expo</w:t>
      </w:r>
      <w:r w:rsidR="00561AF6" w:rsidRPr="00D27E3B">
        <w:t>sure work</w:t>
      </w:r>
      <w:ins w:id="16" w:author="Kostadin Ivanov" w:date="2015-06-11T17:43:00Z">
        <w:r w:rsidR="00043072">
          <w:t xml:space="preserve"> for uncertainty </w:t>
        </w:r>
      </w:ins>
      <w:ins w:id="17" w:author="Kostadin Ivanov" w:date="2015-06-11T17:44:00Z">
        <w:r w:rsidR="00043072">
          <w:t>quantification</w:t>
        </w:r>
      </w:ins>
      <w:r w:rsidR="00561AF6" w:rsidRPr="00D27E3B">
        <w:t>.</w:t>
      </w:r>
      <w:del w:id="18" w:author="Chris Dances" w:date="2015-06-03T18:42:00Z">
        <w:r w:rsidR="00561AF6" w:rsidRPr="00D27E3B" w:rsidDel="009A7E42">
          <w:delText xml:space="preserve"> </w:delText>
        </w:r>
      </w:del>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19" w:name="_Toc287503139"/>
      <w:r w:rsidRPr="00593473">
        <w:t xml:space="preserve">2.1.  </w:t>
      </w:r>
      <w:r w:rsidR="0006091B" w:rsidRPr="0006091B">
        <w:t>1-D Single Phase Liquid Conservation Equations</w:t>
      </w:r>
      <w:bookmarkEnd w:id="19"/>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 xml:space="preserve">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5A4BD8"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5A4BD8"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577C6C4" w:rsidR="007B2082" w:rsidRDefault="00680F99" w:rsidP="00317292">
      <w:pPr>
        <w:pStyle w:val="Heading3"/>
        <w:jc w:val="right"/>
      </w:pPr>
      <m:oMath>
        <m:r>
          <m:rPr>
            <m:sty m:val="bi"/>
          </m:rPr>
          <w:rPr>
            <w:rFonts w:ascii="Cambria Math" w:hAnsi="Cambria Math"/>
          </w:rPr>
          <m:t>ρ</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b w:val="0"/>
              </w:rPr>
            </m:ctrlPr>
          </m:fPr>
          <m:num>
            <m:r>
              <m:rPr>
                <m:sty m:val="bi"/>
              </m:rPr>
              <w:rPr>
                <w:rFonts w:ascii="Cambria Math" w:hAnsi="Cambria Math"/>
              </w:rPr>
              <m:t>∂P</m:t>
            </m:r>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ρu</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∂ρu</m:t>
            </m:r>
          </m:num>
          <m:den>
            <m:r>
              <m:rPr>
                <m:sty m:val="bi"/>
              </m:rPr>
              <w:rPr>
                <w:rFonts w:ascii="Cambria Math" w:hAnsi="Cambria Math"/>
              </w:rPr>
              <m:t>∂x</m:t>
            </m:r>
          </m:den>
        </m:f>
        <m:r>
          <m:rPr>
            <m:sty m:val="b"/>
          </m:rPr>
          <w:rPr>
            <w:rFonts w:ascii="Cambria Math" w:hAnsi="Cambria Math"/>
          </w:rPr>
          <m:t>-</m:t>
        </m:r>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sidR="00317292" w:rsidRPr="00680F99">
        <w:rPr>
          <w:b w:val="0"/>
        </w:rPr>
        <w:t xml:space="preserve">    </w:t>
      </w:r>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20" w:name="_Toc287503140"/>
      <w:r>
        <w:t>CTF fluid meshing</w:t>
      </w:r>
      <w:bookmarkEnd w:id="20"/>
    </w:p>
    <w:p w14:paraId="405A9774" w14:textId="77777777" w:rsidR="00AF63CC" w:rsidRDefault="00AF63CC" w:rsidP="00D02AF6"/>
    <w:p w14:paraId="1458C7B9" w14:textId="37AF5B67"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 xml:space="preserve">or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Th</w:t>
      </w:r>
      <w:del w:id="21" w:author="Kostadin Ivanov" w:date="2015-06-13T19:48:00Z">
        <w:r w:rsidRPr="00CC1579" w:rsidDel="004F5929">
          <w:delText>is</w:delText>
        </w:r>
      </w:del>
      <w:ins w:id="22" w:author="Kostadin Ivanov" w:date="2015-06-13T19:48:00Z">
        <w:r w:rsidR="004F5929">
          <w:t>e work presented in this paper</w:t>
        </w:r>
      </w:ins>
      <w:r w:rsidRPr="00CC1579">
        <w:t xml:space="preserve"> </w:t>
      </w:r>
      <w:r>
        <w:t xml:space="preserve">project focuses on </w:t>
      </w:r>
      <w:r w:rsidR="00252F01">
        <w:t>this 1</w:t>
      </w:r>
      <w:r>
        <w:t xml:space="preserve">D </w:t>
      </w:r>
      <w:r w:rsidRPr="00CC1579">
        <w:t>configuration</w:t>
      </w:r>
      <w:r>
        <w:t xml:space="preserve"> and does not take into account adjacent </w:t>
      </w:r>
      <w:proofErr w:type="spellStart"/>
      <w:r>
        <w:t>subchannels</w:t>
      </w:r>
      <w:proofErr w:type="spellEnd"/>
      <w:r>
        <w:t>.</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48F4FA12">
            <wp:extent cx="1663109" cy="3089717"/>
            <wp:effectExtent l="0" t="0" r="0" b="952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665780" cy="3094679"/>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23" w:name="_Toc287503141"/>
      <w:r w:rsidRPr="00F66798">
        <w:t>Fluid finite difference equations</w:t>
      </w:r>
      <w:bookmarkEnd w:id="23"/>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proofErr w:type="spellStart"/>
      <w:r w:rsidR="008C7EFF">
        <w:t>ity</w:t>
      </w:r>
      <w:proofErr w:type="spellEnd"/>
      <w:r w:rsidR="008C7EFF">
        <w:t xml:space="preserve"> would be evaluated at cell </w:t>
      </w:r>
      <m:oMath>
        <m:r>
          <w:rPr>
            <w:rFonts w:ascii="Cambria Math" w:hAnsi="Cambria Math"/>
          </w:rPr>
          <m:t>i</m:t>
        </m:r>
      </m:oMath>
      <w:r w:rsidR="00180900">
        <w:t xml:space="preserve">. </w:t>
      </w:r>
      <w:r w:rsidR="00384F75">
        <w:t xml:space="preserve">The iterator </w:t>
      </w:r>
      <w:proofErr w:type="gramStart"/>
      <m:oMath>
        <m:r>
          <w:rPr>
            <w:rFonts w:ascii="Cambria Math" w:hAnsi="Cambria Math"/>
          </w:rPr>
          <m:t>k</m:t>
        </m:r>
      </m:oMath>
      <w:r w:rsidR="00384F75">
        <w:t>,</w:t>
      </w:r>
      <w:proofErr w:type="gramEnd"/>
      <w:r w:rsidR="00384F75">
        <w:t xml:space="preserve"> is the </w:t>
      </w:r>
      <w:r w:rsidR="00384F75">
        <w:lastRenderedPageBreak/>
        <w:t xml:space="preserve">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5A4BD8"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5A4BD8"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5A4BD8"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24" w:name="_Toc287503142"/>
      <w:r w:rsidRPr="000D5EB5">
        <w:t>1-D Radial Solid Conduction Equation</w:t>
      </w:r>
      <w:bookmarkEnd w:id="24"/>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5A4BD8"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25" w:name="_Toc287503143"/>
      <w:r w:rsidRPr="00B33B06">
        <w:t>CTF rod meshing</w:t>
      </w:r>
      <w:bookmarkEnd w:id="25"/>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 xml:space="preserve">The black dots represent the nodes within the fuel. Each node covers a region within the rod as bounded by the dashed lines. The nodes within the fuel are located at the center of the region. Each region is assumed to have uniform properties with values evaluated at the </w:t>
      </w:r>
      <w:r w:rsidR="00DC36B4">
        <w:lastRenderedPageBreak/>
        <w:t>node. The last node within the fuel is located at the surface of the fuel</w:t>
      </w:r>
      <w:r w:rsidR="00DF65A2">
        <w:t xml:space="preserve"> at the interface with the gap</w:t>
      </w:r>
      <w:r w:rsidR="00DC36B4">
        <w:t>. There 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68FE95D7" w:rsidR="00402491" w:rsidRPr="00B20DE9" w:rsidRDefault="00402491" w:rsidP="00B20DE9">
      <w:pPr>
        <w:jc w:val="center"/>
        <w:rPr>
          <w:b/>
        </w:rPr>
      </w:pPr>
      <w:r w:rsidRPr="000B2232">
        <w:rPr>
          <w:b/>
        </w:rPr>
        <w:t>Figure 2. Radial Rod Meshing</w:t>
      </w:r>
      <w:ins w:id="26" w:author="Chris Dances" w:date="2015-06-03T19:21:00Z">
        <w:r w:rsidR="00321419">
          <w:rPr>
            <w:b/>
          </w:rPr>
          <w:t xml:space="preserve"> in j Direction</w:t>
        </w:r>
      </w:ins>
    </w:p>
    <w:p w14:paraId="5354E5C8" w14:textId="77777777" w:rsidR="00402491" w:rsidRDefault="00402491" w:rsidP="005B6144"/>
    <w:p w14:paraId="7DE7DA46" w14:textId="7E40AB5D"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w:t>
      </w:r>
      <w:proofErr w:type="gramStart"/>
      <w:r w:rsidR="00245DB4">
        <w:t xml:space="preserve">two </w:t>
      </w:r>
      <w:r w:rsidR="001405B0">
        <w:t>rod</w:t>
      </w:r>
      <w:proofErr w:type="gramEnd"/>
      <w:r w:rsidR="001405B0">
        <w:t xml:space="preserve"> </w:t>
      </w:r>
      <w:r w:rsidR="00245DB4">
        <w:t xml:space="preserve">axial levels as shown by Figure 3, </w:t>
      </w:r>
      <w:ins w:id="27" w:author="Chris Dances" w:date="2015-06-04T12:43:00Z">
        <w:r w:rsidR="0018397E">
          <w:t>which displays a single rod centered channel for multiple axial levels. The fluid is represented as the rectangular blue regions and the rod as the red cylindrical regions.</w:t>
        </w:r>
      </w:ins>
      <w:del w:id="28" w:author="Chris Dances" w:date="2015-06-04T12:43:00Z">
        <w:r w:rsidR="00245DB4" w:rsidDel="0018397E">
          <w:delText xml:space="preserve">where </w:delText>
        </w:r>
      </w:del>
      <w:ins w:id="29" w:author="Chris Dances" w:date="2015-06-04T12:44:00Z">
        <w:r w:rsidR="006E5850">
          <w:t xml:space="preserve"> Each </w:t>
        </w:r>
      </w:ins>
      <w:ins w:id="30" w:author="Chris Dances" w:date="2015-06-04T12:45:00Z">
        <w:r w:rsidR="006E5850">
          <w:t>vertical</w:t>
        </w:r>
      </w:ins>
      <w:ins w:id="31" w:author="Chris Dances" w:date="2015-06-04T12:44:00Z">
        <w:r w:rsidR="006E5850">
          <w:t xml:space="preserve"> </w:t>
        </w:r>
      </w:ins>
      <w:ins w:id="32" w:author="Chris Dances" w:date="2015-06-04T12:45:00Z">
        <w:r w:rsidR="006E5850">
          <w:t xml:space="preserve">section is composed of azimuthal and radial sections as seen in figure 2 and in the right of figure 3. </w:t>
        </w:r>
      </w:ins>
      <w:del w:id="33" w:author="Chris Dances" w:date="2015-06-04T12:44:00Z">
        <w:r w:rsidR="00245DB4" w:rsidDel="0018397E">
          <w:delText>the rod axial levels are on the left</w:delText>
        </w:r>
        <w:r w:rsidR="001174CF" w:rsidDel="0018397E">
          <w:delText>, and the fluid axial levels ar</w:delText>
        </w:r>
        <w:r w:rsidR="00E65190" w:rsidDel="0018397E">
          <w:delText>e</w:delText>
        </w:r>
        <w:r w:rsidR="00245DB4" w:rsidDel="0018397E">
          <w:delText xml:space="preserve"> on the right. The light blue cells are the fluid ghost cells. </w:delText>
        </w:r>
      </w:del>
    </w:p>
    <w:p w14:paraId="1C2FDAD5" w14:textId="77777777" w:rsidR="007F78D0" w:rsidRDefault="007F78D0" w:rsidP="00D02AF6"/>
    <w:p w14:paraId="72EAE229" w14:textId="35780007" w:rsidR="007F78D0" w:rsidRDefault="00751FA1" w:rsidP="002E6893">
      <w:pPr>
        <w:jc w:val="center"/>
      </w:pPr>
      <w:ins w:id="34" w:author="Chris Dances" w:date="2015-06-04T01:12:00Z">
        <w:r>
          <w:rPr>
            <w:noProof/>
          </w:rPr>
          <w:drawing>
            <wp:inline distT="0" distB="0" distL="0" distR="0" wp14:anchorId="1742A619" wp14:editId="5792D5B4">
              <wp:extent cx="2179864" cy="2487803"/>
              <wp:effectExtent l="0" t="0" r="5080" b="1905"/>
              <wp:docPr id="12" name="Picture 2" descr="Macintosh HD:Users:chrisdances:Github:Nureth-16:images:r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ances:Github:Nureth-16:images:rod-diagram.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17" t="6227" r="31021" b="5117"/>
                      <a:stretch/>
                    </pic:blipFill>
                    <pic:spPr bwMode="auto">
                      <a:xfrm>
                        <a:off x="0" y="0"/>
                        <a:ext cx="2180972" cy="2489067"/>
                      </a:xfrm>
                      <a:prstGeom prst="rect">
                        <a:avLst/>
                      </a:prstGeom>
                      <a:noFill/>
                      <a:ln>
                        <a:noFill/>
                      </a:ln>
                      <a:extLst>
                        <a:ext uri="{53640926-AAD7-44d8-BBD7-CCE9431645EC}">
                          <a14:shadowObscured xmlns:a14="http://schemas.microsoft.com/office/drawing/2010/main"/>
                        </a:ext>
                      </a:extLst>
                    </pic:spPr>
                  </pic:pic>
                </a:graphicData>
              </a:graphic>
            </wp:inline>
          </w:drawing>
        </w:r>
      </w:ins>
      <w:del w:id="35" w:author="Chris Dances" w:date="2015-06-04T01:12:00Z">
        <w:r w:rsidR="00F32457" w:rsidDel="00751FA1">
          <w:rPr>
            <w:noProof/>
          </w:rPr>
          <w:drawing>
            <wp:inline distT="0" distB="0" distL="0" distR="0" wp14:anchorId="3F430109" wp14:editId="24EA661C">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6" r:link="rId17">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del>
    </w:p>
    <w:p w14:paraId="6263AD65" w14:textId="64F123CE" w:rsidR="002E6893" w:rsidRPr="000B2232" w:rsidRDefault="003214B1" w:rsidP="002E6893">
      <w:pPr>
        <w:jc w:val="center"/>
        <w:rPr>
          <w:b/>
        </w:rPr>
      </w:pPr>
      <w:r>
        <w:rPr>
          <w:b/>
        </w:rPr>
        <w:t>Figure 3</w:t>
      </w:r>
      <w:r w:rsidR="002E6893" w:rsidRPr="000B2232">
        <w:rPr>
          <w:b/>
        </w:rPr>
        <w:t xml:space="preserve">. </w:t>
      </w:r>
      <w:del w:id="36" w:author="Chris Dances" w:date="2015-06-04T12:48:00Z">
        <w:r w:rsidR="002E6893" w:rsidRPr="000B2232" w:rsidDel="004E6E38">
          <w:rPr>
            <w:b/>
          </w:rPr>
          <w:delText xml:space="preserve">Radial </w:delText>
        </w:r>
      </w:del>
      <w:ins w:id="37" w:author="Chris Dances" w:date="2015-06-04T12:48:00Z">
        <w:r w:rsidR="004E6E38">
          <w:rPr>
            <w:b/>
          </w:rPr>
          <w:t>Axial Fluid</w:t>
        </w:r>
        <w:r w:rsidR="004E6E38" w:rsidRPr="000B2232">
          <w:rPr>
            <w:b/>
          </w:rPr>
          <w:t xml:space="preserve"> </w:t>
        </w:r>
      </w:ins>
      <w:r w:rsidR="002E6893" w:rsidRPr="000B2232">
        <w:rPr>
          <w:b/>
        </w:rPr>
        <w:t>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778122D7" w:rsidR="0036001B" w:rsidRPr="001845BE" w:rsidRDefault="005A4BD8"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38"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39"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40" w:author="Chris Dances" w:date="2015-06-03T18:46: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41" w:author="Chris Dances" w:date="2015-06-03T18:47:00Z">
                          <m:r>
                            <w:rPr>
                              <w:rFonts w:ascii="Cambria Math" w:hAnsi="Cambria Math"/>
                            </w:rPr>
                            <m:t>j</m:t>
                          </m:r>
                        </w:ins>
                        <m:r>
                          <w:rPr>
                            <w:rFonts w:ascii="Cambria Math" w:hAnsi="Cambria Math"/>
                          </w:rPr>
                          <m:t>+1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42" w:author="Chris Dances" w:date="2015-06-03T18:47: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43" w:author="Chris Dances" w:date="2015-06-03T18:47:00Z">
                          <m:r>
                            <w:rPr>
                              <w:rFonts w:ascii="Cambria Math" w:hAnsi="Cambria Math"/>
                            </w:rPr>
                            <m:t>j</m:t>
                          </m:r>
                        </w:ins>
                        <w:del w:id="44" w:author="Chris Dances" w:date="2015-06-03T18:47:00Z">
                          <m:r>
                            <w:rPr>
                              <w:rFonts w:ascii="Cambria Math" w:hAnsi="Cambria Math"/>
                            </w:rPr>
                            <m:t>i</m:t>
                          </m:r>
                        </w:del>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0DA6F1C5"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evaluated at the right boundary,</w:t>
      </w:r>
      <m:oMath>
        <m:r>
          <w:rPr>
            <w:rFonts w:ascii="Cambria Math" w:hAnsi="Cambria Math"/>
          </w:rPr>
          <m:t xml:space="preserve"> </m:t>
        </m:r>
        <w:ins w:id="45" w:author="Chris Dances" w:date="2015-06-03T18:47:00Z">
          <m:r>
            <w:rPr>
              <w:rFonts w:ascii="Cambria Math" w:hAnsi="Cambria Math"/>
            </w:rPr>
            <m:t>j</m:t>
          </m:r>
        </w:ins>
        <w:del w:id="46" w:author="Chris Dances" w:date="2015-06-03T18:47: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w:ins w:id="47" w:author="Chris Dances" w:date="2015-06-03T18:47:00Z">
        <m:oMath>
          <m:r>
            <w:rPr>
              <w:rFonts w:ascii="Cambria Math" w:hAnsi="Cambria Math"/>
            </w:rPr>
            <m:t>j</m:t>
          </m:r>
        </m:oMath>
      </w:ins>
      <w:del w:id="48" w:author="Chris Dances" w:date="2015-06-03T18:47:00Z">
        <m:oMath>
          <m:r>
            <w:rPr>
              <w:rFonts w:ascii="Cambria Math" w:hAnsi="Cambria Math"/>
            </w:rPr>
            <m:t>i</m:t>
          </m:r>
        </m:oMath>
      </w:del>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w:ins w:id="49" w:author="Chris Dances" w:date="2015-06-03T18:48:00Z">
        <m:oMath>
          <m:r>
            <w:rPr>
              <w:rFonts w:ascii="Cambria Math" w:hAnsi="Cambria Math"/>
            </w:rPr>
            <m:t>j</m:t>
          </m:r>
        </m:oMath>
      </w:ins>
      <w:del w:id="50" w:author="Chris Dances" w:date="2015-06-03T18:48:00Z">
        <m:oMath>
          <m:r>
            <w:rPr>
              <w:rFonts w:ascii="Cambria Math" w:hAnsi="Cambria Math"/>
            </w:rPr>
            <m:t>i</m:t>
          </m:r>
        </m:oMath>
      </w:del>
      <m:oMath>
        <m:r>
          <w:rPr>
            <w:rFonts w:ascii="Cambria Math" w:hAnsi="Cambria Math"/>
          </w:rPr>
          <m:t>=1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64671D25" w:rsidR="00C00BBA" w:rsidRDefault="005A4BD8"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51" w:author="Chris Dances" w:date="2015-06-03T18:49:00Z">
                  <m:r>
                    <w:rPr>
                      <w:rFonts w:ascii="Cambria Math" w:hAnsi="Cambria Math"/>
                    </w:rPr>
                    <m:t>j</m:t>
                  </m:r>
                </w:ins>
                <w:del w:id="52" w:author="Chris Dances" w:date="2015-06-03T18:49: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53"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54"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55" w:author="Chris Dances" w:date="2015-06-03T18:48: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56" w:author="Chris Dances" w:date="2015-06-03T18:48:00Z">
                          <m:r>
                            <w:rPr>
                              <w:rFonts w:ascii="Cambria Math" w:hAnsi="Cambria Math"/>
                            </w:rPr>
                            <m:t>j</m:t>
                          </m:r>
                        </w:ins>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57" w:author="Chris Dances" w:date="2015-06-03T18:49: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2B102C77" w:rsidR="00095BB0" w:rsidRDefault="005A4BD8"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w:ins w:id="58" w:author="Chris Dances" w:date="2015-06-03T19:14:00Z">
              <m:r>
                <w:rPr>
                  <w:rFonts w:ascii="Cambria Math" w:hAnsi="Cambria Math"/>
                </w:rPr>
                <m:t>j</m:t>
              </m:r>
            </w:ins>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59" w:author="Chris Dances" w:date="2015-06-03T19:17: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m:t>
                </m:r>
                <w:ins w:id="60"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61"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62" w:author="Chris Dances" w:date="2015-06-03T19:18: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63" w:author="Chris Dances" w:date="2015-06-03T19:18:00Z">
                          <m:r>
                            <w:rPr>
                              <w:rFonts w:ascii="Cambria Math" w:hAnsi="Cambria Math"/>
                            </w:rPr>
                            <m:t>j</m:t>
                          </m:r>
                        </w:ins>
                        <w:del w:id="64" w:author="Chris Dances" w:date="2015-06-03T19:18: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498D49CF" w:rsidR="00232E1C" w:rsidRDefault="005A4BD8"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w:ins w:id="65" w:author="Chris Dances" w:date="2015-06-03T19:19:00Z">
                  <m:r>
                    <w:rPr>
                      <w:rFonts w:ascii="Cambria Math" w:hAnsi="Cambria Math"/>
                    </w:rPr>
                    <m:t>j</m:t>
                  </m:r>
                </w:ins>
                <w:del w:id="66" w:author="Chris Dances" w:date="2015-06-03T19:19:00Z">
                  <m:r>
                    <w:rPr>
                      <w:rFonts w:ascii="Cambria Math" w:hAnsi="Cambria Math"/>
                    </w:rPr>
                    <m:t>i</m:t>
                  </m:r>
                </w:del>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w:ins w:id="67" w:author="Chris Dances" w:date="2015-06-03T19:19:00Z">
                  <m:r>
                    <w:rPr>
                      <w:rFonts w:ascii="Cambria Math" w:hAnsi="Cambria Math"/>
                    </w:rPr>
                    <m:t>j</m:t>
                  </m:r>
                </w:ins>
                <w:del w:id="68" w:author="Chris Dances" w:date="2015-06-03T19:19:00Z">
                  <m:r>
                    <w:rPr>
                      <w:rFonts w:ascii="Cambria Math" w:hAnsi="Cambria Math"/>
                    </w:rPr>
                    <m:t>i</m:t>
                  </m:r>
                </w:del>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69" w:author="Chris Dances" w:date="2015-06-03T19:20:00Z">
                  <m:r>
                    <w:rPr>
                      <w:rFonts w:ascii="Cambria Math" w:hAnsi="Cambria Math"/>
                    </w:rPr>
                    <m:t>j</m:t>
                  </m:r>
                </w:ins>
                <w:del w:id="70" w:author="Chris Dances" w:date="2015-06-03T19:20: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w:ins w:id="71" w:author="Chris Dances" w:date="2015-06-03T19:20:00Z">
                  <m:r>
                    <w:rPr>
                      <w:rFonts w:ascii="Cambria Math" w:hAnsi="Cambria Math"/>
                    </w:rPr>
                    <m:t>j</m:t>
                  </m:r>
                </w:ins>
                <w:del w:id="72"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73" w:author="Chris Dances" w:date="2015-06-03T19:20:00Z">
                  <m:r>
                    <w:rPr>
                      <w:rFonts w:ascii="Cambria Math" w:hAnsi="Cambria Math"/>
                    </w:rPr>
                    <m:t>j</m:t>
                  </m:r>
                </w:ins>
                <w:del w:id="74"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75" w:author="Chris Dances" w:date="2015-06-03T19:20:00Z">
                          <m:r>
                            <w:rPr>
                              <w:rFonts w:ascii="Cambria Math" w:hAnsi="Cambria Math"/>
                            </w:rPr>
                            <m:t>j</m:t>
                          </m:r>
                        </w:ins>
                        <w:del w:id="76"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del w:id="77" w:author="Chris Dances" w:date="2015-06-03T19:20:00Z">
                          <m:r>
                            <w:rPr>
                              <w:rFonts w:ascii="Cambria Math" w:hAnsi="Cambria Math"/>
                            </w:rPr>
                            <m:t>i</m:t>
                          </m:r>
                        </w:del>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78" w:author="Chris Dances" w:date="2015-06-03T19:20:00Z">
                          <m:r>
                            <w:rPr>
                              <w:rFonts w:ascii="Cambria Math" w:hAnsi="Cambria Math"/>
                            </w:rPr>
                            <m:t>j</m:t>
                          </m:r>
                        </w:ins>
                        <w:del w:id="79" w:author="Chris Dances" w:date="2015-06-03T19:20: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w:ins w:id="80" w:author="Chris Dances" w:date="2015-06-03T19:20:00Z">
                  <m:r>
                    <m:rPr>
                      <m:sty m:val="p"/>
                    </m:rPr>
                    <w:rPr>
                      <w:rFonts w:ascii="Cambria Math" w:hAnsi="Cambria Math"/>
                    </w:rPr>
                    <m:t>j</m:t>
                  </m:r>
                </w:ins>
                <w:del w:id="81" w:author="Chris Dances" w:date="2015-06-03T19:20:00Z">
                  <m:r>
                    <m:rPr>
                      <m:sty m:val="p"/>
                    </m:rPr>
                    <w:rPr>
                      <w:rFonts w:ascii="Cambria Math" w:hAnsi="Cambria Math"/>
                    </w:rPr>
                    <m:t>i</m:t>
                  </m:r>
                </w:del>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w:ins w:id="82" w:author="Chris Dances" w:date="2015-06-03T19:20:00Z">
                  <m:r>
                    <w:rPr>
                      <w:rFonts w:ascii="Cambria Math" w:hAnsi="Cambria Math"/>
                    </w:rPr>
                    <m:t>j</m:t>
                  </m:r>
                </w:ins>
                <w:del w:id="83"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proofErr w:type="spellStart"/>
      <w:r w:rsidR="002D332E">
        <w:t>Dittus-Boelter</w:t>
      </w:r>
      <w:proofErr w:type="spellEnd"/>
      <w:r w:rsidR="002D332E">
        <w:t xml:space="preserve">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84" w:name="_Toc287503144"/>
      <w:r w:rsidRPr="007D2713">
        <w:t xml:space="preserve">Residual Formulation and </w:t>
      </w:r>
      <w:proofErr w:type="spellStart"/>
      <w:r w:rsidRPr="007D2713">
        <w:t>Jacobian</w:t>
      </w:r>
      <w:proofErr w:type="spellEnd"/>
      <w:r w:rsidRPr="007D2713">
        <w:t xml:space="preserve"> Construction</w:t>
      </w:r>
      <w:bookmarkEnd w:id="84"/>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 xml:space="preserve">substituting the residuals into the </w:t>
      </w:r>
      <w:r>
        <w:lastRenderedPageBreak/>
        <w:t>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 xml:space="preserve">The </w:t>
      </w:r>
      <w:proofErr w:type="spellStart"/>
      <w:r w:rsidRPr="00F17C5B">
        <w:t>Jacobian</w:t>
      </w:r>
      <w:proofErr w:type="spellEnd"/>
      <w:r w:rsidRPr="00F17C5B">
        <w:t xml:space="preserve">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5A4BD8"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w:t>
      </w:r>
      <w:proofErr w:type="spellStart"/>
      <w:r w:rsidRPr="00F17C5B">
        <w:t>Jacobian</w:t>
      </w:r>
      <w:proofErr w:type="spellEnd"/>
      <w:r w:rsidRPr="00F17C5B">
        <w:t xml:space="preserve">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w:t>
      </w:r>
      <w:proofErr w:type="spellStart"/>
      <w:r w:rsidRPr="00F17C5B">
        <w:t>Jacobian</w:t>
      </w:r>
      <w:proofErr w:type="spellEnd"/>
      <w:r w:rsidRPr="00F17C5B">
        <w:t xml:space="preserve"> matrix</w:t>
      </w:r>
      <w:r w:rsidR="00F651E7">
        <w:t xml:space="preserve"> where each column represents an index of a residual variable and each row represents a residual function. </w:t>
      </w:r>
      <w:r w:rsidR="00AE1EAB">
        <w:t>The explicitly coupled solid liquid</w:t>
      </w:r>
      <w:r w:rsidR="00C46590">
        <w:t xml:space="preserve"> </w:t>
      </w:r>
      <w:proofErr w:type="spellStart"/>
      <w:r w:rsidR="00C46590">
        <w:t>Jacobian</w:t>
      </w:r>
      <w:proofErr w:type="spellEnd"/>
      <w:r w:rsidR="00C46590">
        <w:t xml:space="preserve">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w:t>
      </w:r>
      <w:proofErr w:type="spellStart"/>
      <w:r w:rsidR="00A64D2D">
        <w:t>Jacobian</w:t>
      </w:r>
      <w:proofErr w:type="spellEnd"/>
      <w:r w:rsidR="00A64D2D">
        <w:t xml:space="preserve"> matrix in the top left corner and the solid </w:t>
      </w:r>
      <w:proofErr w:type="spellStart"/>
      <w:r w:rsidR="00A64D2D">
        <w:t>Jacobian</w:t>
      </w:r>
      <w:proofErr w:type="spellEnd"/>
      <w:r w:rsidR="00A64D2D">
        <w:t xml:space="preserve">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 xml:space="preserve">Explicitly (left) and Implicitly Coupled (right) Liquid Solid </w:t>
      </w:r>
      <w:proofErr w:type="spellStart"/>
      <w:r w:rsidR="00F40136" w:rsidRPr="00F40136">
        <w:rPr>
          <w:b/>
        </w:rPr>
        <w:t>Jacobian</w:t>
      </w:r>
      <w:proofErr w:type="spellEnd"/>
      <w:r w:rsidR="00F40136" w:rsidRPr="00F40136">
        <w:rPr>
          <w:b/>
        </w:rPr>
        <w:t xml:space="preserve"> Matrix</w:t>
      </w:r>
    </w:p>
    <w:p w14:paraId="2CF3827D" w14:textId="77777777" w:rsidR="00F40136" w:rsidRDefault="00F40136" w:rsidP="00D02AF6"/>
    <w:p w14:paraId="4A4619A1" w14:textId="24888857" w:rsidR="002349DC" w:rsidRDefault="00F331A6" w:rsidP="00D02AF6">
      <w:r>
        <w:t xml:space="preserve">The fluid </w:t>
      </w:r>
      <w:proofErr w:type="spellStart"/>
      <w:r>
        <w:t>Jacobian</w:t>
      </w:r>
      <w:proofErr w:type="spellEnd"/>
      <w:r>
        <w:t xml:space="preserve">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w:t>
      </w:r>
      <w:proofErr w:type="spellStart"/>
      <w:r>
        <w:t>Jacobian</w:t>
      </w:r>
      <w:proofErr w:type="spellEnd"/>
      <w:r>
        <w:t xml:space="preserve"> matrix can be evaluated as either semi-implicit or fully implicit. The solid </w:t>
      </w:r>
      <w:proofErr w:type="spellStart"/>
      <w:r>
        <w:t>Jacobian</w:t>
      </w:r>
      <w:proofErr w:type="spellEnd"/>
      <w:r>
        <w:t xml:space="preserve"> matrix contains 1 energy conservation equation for each node in the rod. Since axial and azimuthal conduction are not computed, each radial level is computed separately from the rest. This can be seen by the lack of cross terms in the </w:t>
      </w:r>
      <w:proofErr w:type="spellStart"/>
      <w:r>
        <w:t>Jacobian</w:t>
      </w:r>
      <w:proofErr w:type="spellEnd"/>
      <w:r>
        <w:t xml:space="preserve"> matrix at each axial level. The </w:t>
      </w:r>
      <w:proofErr w:type="spellStart"/>
      <w:r>
        <w:t>Jacobian</w:t>
      </w:r>
      <w:proofErr w:type="spellEnd"/>
      <w:r>
        <w:t xml:space="preserve"> matrix on the right is an implicit coupling between the implicit liquid </w:t>
      </w:r>
      <w:proofErr w:type="spellStart"/>
      <w:r>
        <w:t>Jacobian</w:t>
      </w:r>
      <w:proofErr w:type="spellEnd"/>
      <w:r>
        <w:t xml:space="preserve"> matrix and the implicit solid matrix. The cross terms in the top right corner represent the effect of the wall temperature on the energy equation in the liquid </w:t>
      </w:r>
      <w:proofErr w:type="spellStart"/>
      <w:r>
        <w:t>Jacobian</w:t>
      </w:r>
      <w:proofErr w:type="spellEnd"/>
      <w:r>
        <w:t xml:space="preserve"> matrix. The terms on the bottom left represent the effects of pressure, enthalpy, and velocity on the energy equation in the solid </w:t>
      </w:r>
      <w:proofErr w:type="spellStart"/>
      <w:r>
        <w:t>Jacobian</w:t>
      </w:r>
      <w:proofErr w:type="spellEnd"/>
      <w:r>
        <w:t xml:space="preserve"> matrix. </w:t>
      </w:r>
      <w:r w:rsidR="00E32AAD">
        <w:t>The implicit matrix is unconditionally stable</w:t>
      </w:r>
      <w:r w:rsidR="00AC201B">
        <w:t>, allowing for time steps greater th</w:t>
      </w:r>
      <w:r w:rsidR="00C73DE4">
        <w:t xml:space="preserve">an the material Courant limits. </w:t>
      </w:r>
      <w:r w:rsidR="00385948">
        <w:t xml:space="preserve">Once the coupled </w:t>
      </w:r>
      <w:proofErr w:type="spellStart"/>
      <w:r w:rsidR="00385948">
        <w:t>Jacobian</w:t>
      </w:r>
      <w:proofErr w:type="spellEnd"/>
      <w:r w:rsidR="00385948">
        <w:t xml:space="preserve"> matrix is </w:t>
      </w:r>
      <w:r w:rsidR="00385948">
        <w:lastRenderedPageBreak/>
        <w:t xml:space="preserve">constructed, </w:t>
      </w:r>
      <w:del w:id="85" w:author="Chris Dances" w:date="2015-06-04T13:07:00Z">
        <w:r w:rsidR="00385948" w:rsidDel="001347EF">
          <w:delText xml:space="preserve">it </w:delText>
        </w:r>
        <w:r w:rsidR="003C0886" w:rsidDel="001347EF">
          <w:delText>is</w:delText>
        </w:r>
        <w:r w:rsidR="00385948" w:rsidDel="001347EF">
          <w:delText xml:space="preserve"> </w:delText>
        </w:r>
        <w:r w:rsidR="003C0886" w:rsidDel="001347EF">
          <w:delText>solved using the</w:delText>
        </w:r>
        <w:r w:rsidR="00385948" w:rsidDel="001347EF">
          <w:delText xml:space="preserve"> linear</w:delText>
        </w:r>
      </w:del>
      <w:ins w:id="86" w:author="Chris Dances" w:date="2015-06-04T13:07:00Z">
        <w:r w:rsidR="001347EF">
          <w:t>a solution for the linear system</w:t>
        </w:r>
      </w:ins>
      <w:r w:rsidR="008A12EB">
        <w:t xml:space="preserve"> </w:t>
      </w:r>
      <w:ins w:id="87" w:author="Chris Dances" w:date="2015-06-04T13:07:00Z">
        <m:oMath>
          <m:r>
            <w:rPr>
              <w:rFonts w:ascii="Cambria Math" w:hAnsi="Cambria Math"/>
            </w:rPr>
            <m:t>JδX</m:t>
          </m:r>
        </m:oMath>
        <w:r w:rsidR="001347EF" w:rsidRPr="00F17C5B">
          <w:t>=</w:t>
        </w:r>
        <w:proofErr w:type="gramStart"/>
        <w:r w:rsidR="001347EF" w:rsidRPr="00F17C5B">
          <w:t>F(</w:t>
        </w:r>
        <w:proofErr w:type="gramEnd"/>
        <w:r w:rsidR="001347EF" w:rsidRPr="00F17C5B">
          <w:t>X)</w:t>
        </w:r>
        <w:r w:rsidR="001347EF">
          <w:t xml:space="preserve"> is found using the </w:t>
        </w:r>
      </w:ins>
      <w:proofErr w:type="spellStart"/>
      <w:r w:rsidR="00A33968">
        <w:t>K</w:t>
      </w:r>
      <w:r w:rsidR="003C0886">
        <w:t>rylov</w:t>
      </w:r>
      <w:proofErr w:type="spellEnd"/>
      <w:r w:rsidR="008A12EB">
        <w:t xml:space="preserve"> solver </w:t>
      </w:r>
      <w:r w:rsidR="003C0886">
        <w:t>from</w:t>
      </w:r>
      <w:r w:rsidR="008A12EB">
        <w:t xml:space="preserve"> PETSC</w:t>
      </w:r>
      <w:ins w:id="88" w:author="Chris Dances" w:date="2015-06-04T13:01:00Z">
        <w:r w:rsidR="00433067">
          <w:t xml:space="preserve"> [6]</w:t>
        </w:r>
      </w:ins>
      <w:r w:rsidR="008A12EB">
        <w:t xml:space="preserve">. </w:t>
      </w:r>
      <w:r w:rsidR="00F63446">
        <w:t xml:space="preserve">The residuals </w:t>
      </w:r>
      <w:r w:rsidR="00D53E40">
        <w:t>for each of the c</w:t>
      </w:r>
      <w:r w:rsidR="00BE3235">
        <w:t>onservation equations are then L</w:t>
      </w:r>
      <w:r w:rsidR="00D53E40">
        <w:t>2 normalized</w:t>
      </w:r>
      <w:ins w:id="89" w:author="Chris Dances" w:date="2015-06-04T12:55:00Z">
        <w:r w:rsidR="00746615">
          <w:t xml:space="preserve"> by taking the </w:t>
        </w:r>
        <w:r w:rsidR="007549F7">
          <w:t xml:space="preserve">square root of the sum </w:t>
        </w:r>
      </w:ins>
      <w:ins w:id="90" w:author="Chris Dances" w:date="2015-06-04T13:09:00Z">
        <w:r w:rsidR="00746615">
          <w:t>of squared</w:t>
        </w:r>
      </w:ins>
      <w:del w:id="91" w:author="Chris Dances" w:date="2015-06-04T13:09:00Z">
        <w:r w:rsidR="00D53E40" w:rsidDel="00746615">
          <w:delText xml:space="preserve"> </w:delText>
        </w:r>
      </w:del>
      <w:del w:id="92" w:author="Chris Dances" w:date="2015-06-04T13:08:00Z">
        <w:r w:rsidR="00D53E40" w:rsidDel="00746615">
          <w:delText xml:space="preserve">over </w:delText>
        </w:r>
      </w:del>
      <w:ins w:id="93" w:author="Chris Dances" w:date="2015-06-04T13:08:00Z">
        <w:r w:rsidR="00746615">
          <w:t xml:space="preserve"> values </w:t>
        </w:r>
      </w:ins>
      <w:ins w:id="94" w:author="Chris Dances" w:date="2015-06-04T13:09:00Z">
        <w:r w:rsidR="00746615">
          <w:t xml:space="preserve">over the </w:t>
        </w:r>
      </w:ins>
      <w:r w:rsidR="00D53E40">
        <w:t xml:space="preserve">domain to determine the convergence of the system. </w:t>
      </w:r>
    </w:p>
    <w:p w14:paraId="2B55ECE6" w14:textId="77777777" w:rsidR="00387C8B" w:rsidRDefault="00387C8B" w:rsidP="00D02AF6"/>
    <w:p w14:paraId="498F3A65" w14:textId="77777777" w:rsidR="007A171C" w:rsidRDefault="007A171C" w:rsidP="00D02AF6"/>
    <w:p w14:paraId="31F325D9" w14:textId="13A65E49" w:rsidR="00ED544B" w:rsidRDefault="00F131E2" w:rsidP="00D02AF6">
      <w:pPr>
        <w:pStyle w:val="Heading1"/>
        <w:numPr>
          <w:ilvl w:val="0"/>
          <w:numId w:val="5"/>
        </w:numPr>
      </w:pPr>
      <w:r>
        <w:t>UNI</w:t>
      </w:r>
      <w:ins w:id="95" w:author="Kostadin Ivanov" w:date="2015-06-11T17:51:00Z">
        <w:r w:rsidR="00B9707F">
          <w:t>FO</w:t>
        </w:r>
      </w:ins>
      <w:r>
        <w:t>R</w:t>
      </w:r>
      <w:del w:id="96" w:author="Kostadin Ivanov" w:date="2015-06-11T17:51:00Z">
        <w:r w:rsidDel="00B9707F">
          <w:delText>O</w:delText>
        </w:r>
      </w:del>
      <w:r>
        <w:t xml:space="preserve">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w:t>
      </w:r>
      <w:proofErr w:type="gramStart"/>
      <w:r w:rsidR="0042408E">
        <w:t xml:space="preserve">.0 </w:t>
      </w:r>
      <m:oMath>
        <m:sPre>
          <m:sPrePr>
            <m:ctrlPr>
              <w:rPr>
                <w:rFonts w:ascii="Cambria Math" w:hAnsi="Cambria Math"/>
              </w:rPr>
            </m:ctrlPr>
          </m:sPrePr>
          <m:sub/>
          <m:sup>
            <m:r>
              <m:rPr>
                <m:sty m:val="p"/>
              </m:rPr>
              <w:rPr>
                <w:rFonts w:ascii="Cambria Math" w:hAnsi="Cambria Math"/>
              </w:rPr>
              <m:t>∘</m:t>
            </m:r>
            <w:proofErr w:type="gramEnd"/>
          </m:sup>
          <m:e>
            <m:r>
              <w:rPr>
                <w:rFonts w:ascii="Cambria Math" w:hAnsi="Cambria Math"/>
              </w:rPr>
              <m:t>C</m:t>
            </m:r>
          </m:e>
        </m:sPre>
      </m:oMath>
      <w:r w:rsidR="000C208A" w:rsidRPr="00D67D7A">
        <w:t>.</w:t>
      </w:r>
      <w:r w:rsidR="000D1189">
        <w:t xml:space="preserve"> Additionally, the problem is set up so that the calculation of the heat transfer coefficient using the </w:t>
      </w:r>
      <w:proofErr w:type="spellStart"/>
      <w:r w:rsidR="000D1189">
        <w:t>Dittus-Boelter</w:t>
      </w:r>
      <w:proofErr w:type="spellEnd"/>
      <w:r w:rsidR="000D1189">
        <w:t xml:space="preserve"> correlation is appropriate. </w:t>
      </w:r>
    </w:p>
    <w:p w14:paraId="355A84CC" w14:textId="77777777" w:rsidR="003A7B69" w:rsidRDefault="003A7B69"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5A4BD8"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proofErr w:type="gramStart"/>
            <w:r>
              <w:t>k</w:t>
            </w:r>
            <w:r w:rsidR="00FB0945" w:rsidRPr="003B4E9B">
              <w:t>g</w:t>
            </w:r>
            <w:proofErr w:type="gramEnd"/>
            <w:r w:rsidR="00FB0945" w:rsidRPr="003B4E9B">
              <w:t>/sec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5A4BD8"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5A4BD8"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5A4BD8"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5A4BD8"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proofErr w:type="gramStart"/>
            <w:r w:rsidRPr="003B4E9B">
              <w:t>m</w:t>
            </w:r>
            <w:proofErr w:type="gramEnd"/>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5A4BD8"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5A4BD8"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5A4BD8"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5A4BD8"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proofErr w:type="gramStart"/>
            <w:r>
              <w:t>kJ</w:t>
            </w:r>
            <w:proofErr w:type="gramEnd"/>
            <w:r>
              <w:t>/kg-K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5A4BD8"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proofErr w:type="gramStart"/>
            <w:r>
              <w:t>kg</w:t>
            </w:r>
            <w:proofErr w:type="gramEnd"/>
            <w:r>
              <w:t>/m^3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5A4BD8"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5A4BD8"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proofErr w:type="gramStart"/>
            <w:r>
              <w:t>kJ</w:t>
            </w:r>
            <w:proofErr w:type="gramEnd"/>
            <w:r>
              <w:t>/kg-K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5A4BD8"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proofErr w:type="gramStart"/>
            <w:r>
              <w:t>kg</w:t>
            </w:r>
            <w:proofErr w:type="gramEnd"/>
            <w:r>
              <w:t>/m^3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5A4BD8"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5A4BD8"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proofErr w:type="gramStart"/>
            <w:r>
              <w:t>kW</w:t>
            </w:r>
            <w:proofErr w:type="gramEnd"/>
            <w:r>
              <w:t>/m^2-K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FE78AC6"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The difference</w:t>
      </w:r>
      <w:ins w:id="97" w:author="Kostadin Ivanov" w:date="2015-06-13T19:55:00Z">
        <w:r w:rsidR="00AD271A">
          <w:t>s</w:t>
        </w:r>
      </w:ins>
      <w:r w:rsidR="00393FD8">
        <w:t xml:space="preserv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Normally CTF uses a different extrapolation method, but</w:t>
      </w:r>
      <w:ins w:id="98" w:author="Kostadin Ivanov" w:date="2015-06-13T19:56:00Z">
        <w:r w:rsidR="00AD271A">
          <w:t xml:space="preserve"> in order</w:t>
        </w:r>
      </w:ins>
      <w:r w:rsidR="007D0946">
        <w:t xml:space="preserve"> to consistently compare to the residual formulation </w:t>
      </w:r>
      <w:ins w:id="99" w:author="Kostadin Ivanov" w:date="2015-06-13T19:56:00Z">
        <w:r w:rsidR="00AD271A">
          <w:t xml:space="preserve">this method </w:t>
        </w:r>
      </w:ins>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0C3A85F"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 xml:space="preserve">transient and implicit steady state solution methods. However, all three residual </w:t>
      </w:r>
      <w:r w:rsidR="00015566">
        <w:lastRenderedPageBreak/>
        <w:t>f</w:t>
      </w:r>
      <w:r w:rsidR="009A01F6">
        <w:t xml:space="preserve">ormulation methods have lower numerical error </w:t>
      </w:r>
      <w:ins w:id="100" w:author="Kostadin Ivanov" w:date="2015-06-13T19:58:00Z">
        <w:r w:rsidR="00AD271A">
          <w:t xml:space="preserve">as </w:t>
        </w:r>
      </w:ins>
      <w:r w:rsidR="009A01F6">
        <w:t>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14A5A367" w:rsidR="000F79D4" w:rsidRDefault="000F79D4" w:rsidP="00D02AF6">
      <w:r>
        <w:t xml:space="preserve">While there is </w:t>
      </w:r>
      <w:ins w:id="101" w:author="Chris Dances" w:date="2015-06-14T09:36:00Z">
        <w:r w:rsidR="00EA3CC1">
          <w:t>no</w:t>
        </w:r>
      </w:ins>
      <w:r>
        <w:t xml:space="preserve">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p>
    <w:p w14:paraId="08C3E7FD" w14:textId="03E6952A" w:rsidR="00593279" w:rsidRDefault="00C84C08" w:rsidP="007E0A2E">
      <w:pPr>
        <w:jc w:val="center"/>
      </w:pPr>
      <w:r>
        <w:rPr>
          <w:noProof/>
        </w:rPr>
        <w:drawing>
          <wp:inline distT="0" distB="0" distL="0" distR="0" wp14:anchorId="3FF51266" wp14:editId="4FFC26AC">
            <wp:extent cx="293332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3">
                      <a:extLst>
                        <a:ext uri="{28A0092B-C50C-407E-A947-70E740481C1C}">
                          <a14:useLocalDpi xmlns:a14="http://schemas.microsoft.com/office/drawing/2010/main" val="0"/>
                        </a:ext>
                      </a:extLst>
                    </a:blip>
                    <a:srcRect r="8345"/>
                    <a:stretch/>
                  </pic:blipFill>
                  <pic:spPr bwMode="auto">
                    <a:xfrm>
                      <a:off x="0" y="0"/>
                      <a:ext cx="2933323" cy="3200400"/>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322CBF4E" w:rsidR="00425C40" w:rsidRDefault="00616080" w:rsidP="00595DDE">
      <w:r>
        <w:t>The tran</w:t>
      </w:r>
      <w:r w:rsidR="00FD77D6">
        <w:t>sient simulations</w:t>
      </w:r>
      <w:ins w:id="102" w:author="Chris Dances" w:date="2015-06-04T13:15:00Z">
        <w:r w:rsidR="00CB1336">
          <w:t xml:space="preserve"> for the residual semi-implicit and implicit solution methods</w:t>
        </w:r>
      </w:ins>
      <w:r w:rsidR="00FD77D6">
        <w:t xml:space="preserve">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 xml:space="preserve">For the semi-implicit solution method, a maximum time step size of 0.02 sec was needed to ensure stability. For the implicit solution method time step sizes well over 0.2 seconds </w:t>
      </w:r>
      <w:r w:rsidR="00AE50D7">
        <w:lastRenderedPageBreak/>
        <w:t xml:space="preserve">could be taken. </w:t>
      </w:r>
      <w:r w:rsidR="00E56451">
        <w:t xml:space="preserve">For the data in the figure, time steps of 1.0 </w:t>
      </w:r>
      <w:r w:rsidR="008C58B0">
        <w:t>second</w:t>
      </w:r>
      <w:r w:rsidR="00E56451">
        <w:t xml:space="preserve"> were used. </w:t>
      </w:r>
      <w:ins w:id="103" w:author="Kostadin Ivanov" w:date="2015-06-13T20:05:00Z">
        <w:r w:rsidR="00F97031" w:rsidRPr="00F97031">
          <w:t>The point of the</w:t>
        </w:r>
        <w:r w:rsidR="00F97031">
          <w:t>se</w:t>
        </w:r>
        <w:r w:rsidR="00F97031" w:rsidRPr="00F97031">
          <w:t xml:space="preserve"> plots </w:t>
        </w:r>
        <w:r w:rsidR="00F97031">
          <w:t>i</w:t>
        </w:r>
        <w:r w:rsidR="00F97031" w:rsidRPr="00F97031">
          <w:t xml:space="preserve">s to show convergence of the systems for both, and that the general profiles are the </w:t>
        </w:r>
        <w:proofErr w:type="gramStart"/>
        <w:r w:rsidR="00F97031" w:rsidRPr="00F97031">
          <w:t>same.</w:t>
        </w:r>
        <w:proofErr w:type="gramEnd"/>
        <w:r w:rsidR="00F97031" w:rsidRPr="00F97031">
          <w:t xml:space="preserve"> The difference between them </w:t>
        </w:r>
      </w:ins>
      <w:ins w:id="104" w:author="Kostadin Ivanov" w:date="2015-06-13T20:06:00Z">
        <w:r w:rsidR="00F97031">
          <w:t>is</w:t>
        </w:r>
      </w:ins>
      <w:ins w:id="105" w:author="Kostadin Ivanov" w:date="2015-06-13T20:05:00Z">
        <w:r w:rsidR="00F97031" w:rsidRPr="00F97031">
          <w:t xml:space="preserve"> almost zero, and when plotted is either a straight line or very small numerical noise</w:t>
        </w:r>
      </w:ins>
      <w:ins w:id="106" w:author="Kostadin Ivanov" w:date="2015-06-13T20:06:00Z">
        <w:r w:rsidR="00F97031">
          <w:t>.</w:t>
        </w:r>
      </w:ins>
      <w:ins w:id="107" w:author="Kostadin Ivanov" w:date="2015-06-13T20:05:00Z">
        <w:r w:rsidR="00F97031" w:rsidRPr="00F97031">
          <w:t xml:space="preserve"> </w:t>
        </w:r>
      </w:ins>
      <w:r w:rsidR="00AE50D7">
        <w:t xml:space="preserve">The implicit </w:t>
      </w:r>
      <w:proofErr w:type="spellStart"/>
      <w:r w:rsidR="00AE50D7">
        <w:t>Jacobian</w:t>
      </w:r>
      <w:proofErr w:type="spellEnd"/>
      <w:r w:rsidR="00AE50D7">
        <w:t xml:space="preserve"> matrix is stiffer than the </w:t>
      </w:r>
      <w:proofErr w:type="spellStart"/>
      <w:r w:rsidR="00AE50D7">
        <w:t>Jacobian</w:t>
      </w:r>
      <w:proofErr w:type="spellEnd"/>
      <w:r w:rsidR="00AE50D7">
        <w:t xml:space="preserve"> matrix for the semi-implicit method and therefore takes longer to solve. Additionally, for time ste</w:t>
      </w:r>
      <w:bookmarkStart w:id="108" w:name="_GoBack"/>
      <w:bookmarkEnd w:id="108"/>
      <w:r w:rsidR="00AE50D7">
        <w:t xml:space="preserv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 The temperatures gained from the semi-implicit method and the implicit methods do not differ by significant amounts.</w:t>
      </w:r>
    </w:p>
    <w:p w14:paraId="40296933" w14:textId="093A46A8" w:rsidR="00425C40" w:rsidRDefault="00A75733" w:rsidP="00E45384">
      <w:pPr>
        <w:jc w:val="center"/>
      </w:pPr>
      <w:r>
        <w:rPr>
          <w:noProof/>
        </w:rPr>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4">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5">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1747B52"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 xml:space="preserve">semi-implicit method. </w:t>
      </w:r>
    </w:p>
    <w:p w14:paraId="7F922BB6" w14:textId="473B6318" w:rsidR="007B64AC" w:rsidRDefault="00C636CD" w:rsidP="00C70796">
      <w:pPr>
        <w:jc w:val="center"/>
        <w:rPr>
          <w:b/>
        </w:rPr>
      </w:pPr>
      <w:r>
        <w:rPr>
          <w:b/>
          <w:noProof/>
        </w:rPr>
        <w:drawing>
          <wp:inline distT="0" distB="0" distL="0" distR="0" wp14:anchorId="49DA2C06" wp14:editId="047ACF7C">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6">
                      <a:extLst>
                        <a:ext uri="{28A0092B-C50C-407E-A947-70E740481C1C}">
                          <a14:useLocalDpi xmlns:a14="http://schemas.microsoft.com/office/drawing/2010/main" val="0"/>
                        </a:ext>
                      </a:extLst>
                    </a:blip>
                    <a:srcRect l="2508" r="7236"/>
                    <a:stretch/>
                  </pic:blipFill>
                  <pic:spPr bwMode="auto">
                    <a:xfrm>
                      <a:off x="0" y="0"/>
                      <a:ext cx="2933826" cy="2167026"/>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7">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09" w:name="_Toc287503145"/>
      <w:r w:rsidRPr="007D3221">
        <w:t>CONCLUSIONS</w:t>
      </w:r>
      <w:bookmarkEnd w:id="109"/>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proofErr w:type="spellStart"/>
      <w:r w:rsidR="0068384D">
        <w:rPr>
          <w:lang w:eastAsia="ko-KR"/>
        </w:rPr>
        <w:t>Jacobian</w:t>
      </w:r>
      <w:proofErr w:type="spellEnd"/>
      <w:r w:rsidR="0068384D">
        <w:rPr>
          <w:lang w:eastAsia="ko-KR"/>
        </w:rPr>
        <w:t xml:space="preserve">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w:t>
      </w:r>
      <w:r w:rsidR="00E35CB8">
        <w:rPr>
          <w:lang w:eastAsia="ko-KR"/>
        </w:rPr>
        <w:lastRenderedPageBreak/>
        <w:t xml:space="preserve">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50294CEC" w14:textId="77777777" w:rsidR="00354008" w:rsidRDefault="00354008" w:rsidP="00354008">
      <w:bookmarkStart w:id="110" w:name="_Toc287503146"/>
    </w:p>
    <w:p w14:paraId="6B9F8603" w14:textId="77777777" w:rsidR="00EF6ACC" w:rsidRDefault="00EF6ACC" w:rsidP="00354008"/>
    <w:p w14:paraId="61E50112" w14:textId="77777777" w:rsidR="00EF6ACC" w:rsidRDefault="00EF6ACC" w:rsidP="00354008"/>
    <w:p w14:paraId="2967039B" w14:textId="77777777" w:rsidR="00EF6ACC" w:rsidRPr="00354008" w:rsidRDefault="00EF6ACC" w:rsidP="00354008"/>
    <w:p w14:paraId="50EDCB98" w14:textId="77777777" w:rsidR="00281A85" w:rsidRPr="007D3221" w:rsidRDefault="00281A85" w:rsidP="00281A85">
      <w:pPr>
        <w:pStyle w:val="Heading1"/>
      </w:pPr>
      <w:r w:rsidRPr="008960F0">
        <w:t>NOMENCLATURE</w:t>
      </w:r>
      <w:bookmarkEnd w:id="110"/>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5A4BD8"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5A4BD8"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5A4BD8"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11" w:name="_Toc287503147"/>
      <w:r w:rsidRPr="007D3221">
        <w:t>ACKNOWLEDGMENTS</w:t>
      </w:r>
      <w:bookmarkEnd w:id="111"/>
    </w:p>
    <w:p w14:paraId="3D635F59" w14:textId="77777777" w:rsidR="00281A85" w:rsidRDefault="00281A85" w:rsidP="00281A85"/>
    <w:p w14:paraId="284DA04A" w14:textId="77777777" w:rsidR="00281A85" w:rsidRPr="00900AE2" w:rsidRDefault="00281A85" w:rsidP="00281A85">
      <w:pPr>
        <w:widowControl w:val="0"/>
        <w:overflowPunct/>
        <w:textAlignment w:val="auto"/>
      </w:pPr>
      <w:proofErr w:type="gramStart"/>
      <w:r w:rsidRPr="00900AE2">
        <w:t>This work has been supported by the Consortium for Advanced Simulation of Light water reactors, an Energy Innovation Hub</w:t>
      </w:r>
      <w:proofErr w:type="gramEnd"/>
      <w:r w:rsidRPr="00900AE2">
        <w:t xml:space="preserve">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12" w:name="_Toc287503148"/>
      <w:r w:rsidRPr="007D3221">
        <w:t>REFERENCES</w:t>
      </w:r>
      <w:bookmarkEnd w:id="112"/>
    </w:p>
    <w:p w14:paraId="51D1285D" w14:textId="77777777" w:rsidR="00281A85" w:rsidRPr="00E27D7C" w:rsidRDefault="00281A85" w:rsidP="00281A85">
      <w:pPr>
        <w:pStyle w:val="BodyText3"/>
        <w:numPr>
          <w:ilvl w:val="0"/>
          <w:numId w:val="14"/>
        </w:numPr>
        <w:rPr>
          <w:szCs w:val="22"/>
        </w:rPr>
      </w:pPr>
      <w:r w:rsidRPr="00E27D7C">
        <w:rPr>
          <w:szCs w:val="22"/>
        </w:rPr>
        <w:t xml:space="preserve">R. K. </w:t>
      </w:r>
      <w:proofErr w:type="spellStart"/>
      <w:r w:rsidRPr="00E27D7C">
        <w:rPr>
          <w:szCs w:val="22"/>
        </w:rPr>
        <w:t>Salko</w:t>
      </w:r>
      <w:proofErr w:type="spellEnd"/>
      <w:r w:rsidRPr="00E27D7C">
        <w:rPr>
          <w:szCs w:val="22"/>
        </w:rPr>
        <w:t>,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 xml:space="preserve">Bergman, T. L., and Frank P. </w:t>
      </w:r>
      <w:proofErr w:type="spellStart"/>
      <w:r w:rsidRPr="00B10D9E">
        <w:t>Incropera</w:t>
      </w:r>
      <w:proofErr w:type="spellEnd"/>
      <w:r w:rsidRPr="00B10D9E">
        <w:t>. </w:t>
      </w:r>
      <w:r w:rsidRPr="00B10D9E">
        <w:rPr>
          <w:i/>
          <w:iCs/>
        </w:rPr>
        <w:t>Fundamentals of Heat and Mass Transfer</w:t>
      </w:r>
      <w:r w:rsidRPr="00B10D9E">
        <w:t>. 6th ed. pp. 514, Hoboken, NJ  (2007).</w:t>
      </w:r>
    </w:p>
    <w:p w14:paraId="414C29CF" w14:textId="77777777" w:rsidR="0089157E" w:rsidRDefault="00281A85" w:rsidP="008078D2">
      <w:pPr>
        <w:pStyle w:val="BodyText3"/>
        <w:numPr>
          <w:ilvl w:val="0"/>
          <w:numId w:val="14"/>
        </w:numPr>
        <w:rPr>
          <w:ins w:id="113" w:author="Chris Dances" w:date="2015-06-04T13:01:00Z"/>
        </w:rPr>
      </w:pPr>
      <w:r w:rsidRPr="00D322F2">
        <w:t xml:space="preserve">G.G. </w:t>
      </w:r>
      <w:proofErr w:type="spellStart"/>
      <w:r w:rsidRPr="00D322F2">
        <w:t>Botte</w:t>
      </w:r>
      <w:proofErr w:type="spellEnd"/>
      <w:r w:rsidRPr="00D322F2">
        <w:t xml:space="preserv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p w14:paraId="571153B1" w14:textId="1DDB2111" w:rsidR="007D3221" w:rsidRPr="007D3221" w:rsidRDefault="0089157E" w:rsidP="008078D2">
      <w:pPr>
        <w:pStyle w:val="BodyText3"/>
        <w:numPr>
          <w:ilvl w:val="0"/>
          <w:numId w:val="14"/>
        </w:numPr>
      </w:pPr>
      <w:ins w:id="114" w:author="Chris Dances" w:date="2015-06-04T13:02:00Z">
        <w:r>
          <w:t xml:space="preserve">S. </w:t>
        </w:r>
        <w:proofErr w:type="spellStart"/>
        <w:r>
          <w:t>Balay</w:t>
        </w:r>
        <w:proofErr w:type="spellEnd"/>
        <w:r>
          <w:t xml:space="preserve"> </w:t>
        </w:r>
        <w:proofErr w:type="gramStart"/>
        <w:r>
          <w:t>et</w:t>
        </w:r>
        <w:proofErr w:type="gramEnd"/>
        <w:r>
          <w:t xml:space="preserve">. </w:t>
        </w:r>
        <w:proofErr w:type="gramStart"/>
        <w:r>
          <w:t>al</w:t>
        </w:r>
        <w:proofErr w:type="gramEnd"/>
        <w:r>
          <w:t>., “</w:t>
        </w:r>
        <w:proofErr w:type="spellStart"/>
        <w:r w:rsidR="00520EBF">
          <w:t>PETSc</w:t>
        </w:r>
        <w:proofErr w:type="spellEnd"/>
        <w:r w:rsidR="00520EBF">
          <w:t xml:space="preserve"> Users Manual</w:t>
        </w:r>
      </w:ins>
      <w:ins w:id="115" w:author="Chris Dances" w:date="2015-06-04T13:03:00Z">
        <w:r w:rsidR="00125714">
          <w:t xml:space="preserve"> revision 3.5</w:t>
        </w:r>
      </w:ins>
      <w:ins w:id="116" w:author="Chris Dances" w:date="2015-06-04T13:02:00Z">
        <w:r w:rsidR="00520EBF">
          <w:t>”</w:t>
        </w:r>
      </w:ins>
      <w:ins w:id="117" w:author="Chris Dances" w:date="2015-06-04T13:03:00Z">
        <w:r w:rsidR="00125714">
          <w:t>, Argonne National Laboratory, June 2014</w:t>
        </w:r>
      </w:ins>
      <w:ins w:id="118" w:author="Chris Dances" w:date="2015-06-04T13:04:00Z">
        <w:r w:rsidR="00B47079">
          <w:t>, pp. 71</w:t>
        </w:r>
      </w:ins>
      <w:del w:id="119" w:author="Chris Dances" w:date="2015-06-04T12:59:00Z">
        <w:r w:rsidR="00281A85" w:rsidRPr="00122DF3" w:rsidDel="00002260">
          <w:delText>–</w:delText>
        </w:r>
      </w:del>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77C83" w14:textId="77777777" w:rsidR="009A6486" w:rsidRDefault="009A6486" w:rsidP="00D02AF6">
      <w:r>
        <w:separator/>
      </w:r>
    </w:p>
  </w:endnote>
  <w:endnote w:type="continuationSeparator" w:id="0">
    <w:p w14:paraId="02E61C67" w14:textId="77777777" w:rsidR="009A6486" w:rsidRDefault="009A6486"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CB28D" w14:textId="77777777" w:rsidR="009A6486" w:rsidRDefault="009A6486" w:rsidP="00D02AF6">
      <w:r>
        <w:separator/>
      </w:r>
    </w:p>
  </w:footnote>
  <w:footnote w:type="continuationSeparator" w:id="0">
    <w:p w14:paraId="78AF2238" w14:textId="77777777" w:rsidR="009A6486" w:rsidRDefault="009A6486"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DA6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stadin Ivanov">
    <w15:presenceInfo w15:providerId="AD" w15:userId="S-1-5-21-47004476-1155158966-929704890-3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2260"/>
    <w:rsid w:val="000050B2"/>
    <w:rsid w:val="00005985"/>
    <w:rsid w:val="00005D1D"/>
    <w:rsid w:val="00005FF2"/>
    <w:rsid w:val="00010299"/>
    <w:rsid w:val="00010BD5"/>
    <w:rsid w:val="00011372"/>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274D"/>
    <w:rsid w:val="00043072"/>
    <w:rsid w:val="00044C92"/>
    <w:rsid w:val="00045838"/>
    <w:rsid w:val="0004710F"/>
    <w:rsid w:val="00050CCE"/>
    <w:rsid w:val="0005214E"/>
    <w:rsid w:val="0005273F"/>
    <w:rsid w:val="00053499"/>
    <w:rsid w:val="0005419B"/>
    <w:rsid w:val="0006091B"/>
    <w:rsid w:val="00060D6E"/>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3D22"/>
    <w:rsid w:val="000C496F"/>
    <w:rsid w:val="000C4F89"/>
    <w:rsid w:val="000C5012"/>
    <w:rsid w:val="000C6ECD"/>
    <w:rsid w:val="000C7EA9"/>
    <w:rsid w:val="000D03E6"/>
    <w:rsid w:val="000D0792"/>
    <w:rsid w:val="000D1189"/>
    <w:rsid w:val="000D2295"/>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019"/>
    <w:rsid w:val="0011140F"/>
    <w:rsid w:val="00111E82"/>
    <w:rsid w:val="00112174"/>
    <w:rsid w:val="001150CD"/>
    <w:rsid w:val="0011566A"/>
    <w:rsid w:val="00115AA0"/>
    <w:rsid w:val="00115E80"/>
    <w:rsid w:val="00116301"/>
    <w:rsid w:val="001170AB"/>
    <w:rsid w:val="00117123"/>
    <w:rsid w:val="001174CF"/>
    <w:rsid w:val="00120297"/>
    <w:rsid w:val="00121231"/>
    <w:rsid w:val="00121266"/>
    <w:rsid w:val="00121B7F"/>
    <w:rsid w:val="00121D61"/>
    <w:rsid w:val="00122646"/>
    <w:rsid w:val="00122DF3"/>
    <w:rsid w:val="001231B7"/>
    <w:rsid w:val="001232BE"/>
    <w:rsid w:val="001250AE"/>
    <w:rsid w:val="00125101"/>
    <w:rsid w:val="00125714"/>
    <w:rsid w:val="00125E73"/>
    <w:rsid w:val="001275DA"/>
    <w:rsid w:val="001276C6"/>
    <w:rsid w:val="0013159E"/>
    <w:rsid w:val="00131920"/>
    <w:rsid w:val="00132399"/>
    <w:rsid w:val="00132541"/>
    <w:rsid w:val="00132571"/>
    <w:rsid w:val="00132726"/>
    <w:rsid w:val="00132A10"/>
    <w:rsid w:val="00132A21"/>
    <w:rsid w:val="00132E78"/>
    <w:rsid w:val="00133BAD"/>
    <w:rsid w:val="0013402E"/>
    <w:rsid w:val="001347EF"/>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E55"/>
    <w:rsid w:val="0015692A"/>
    <w:rsid w:val="00157220"/>
    <w:rsid w:val="00157B0B"/>
    <w:rsid w:val="0016075C"/>
    <w:rsid w:val="00162FE3"/>
    <w:rsid w:val="001636D6"/>
    <w:rsid w:val="00164CDA"/>
    <w:rsid w:val="0016549F"/>
    <w:rsid w:val="00165EE8"/>
    <w:rsid w:val="00166F8C"/>
    <w:rsid w:val="00167B4A"/>
    <w:rsid w:val="00167E58"/>
    <w:rsid w:val="001716D5"/>
    <w:rsid w:val="00172264"/>
    <w:rsid w:val="00172C76"/>
    <w:rsid w:val="00172EFB"/>
    <w:rsid w:val="00173344"/>
    <w:rsid w:val="00173383"/>
    <w:rsid w:val="00177B53"/>
    <w:rsid w:val="00177C58"/>
    <w:rsid w:val="00180900"/>
    <w:rsid w:val="00182684"/>
    <w:rsid w:val="0018397E"/>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97B96"/>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6A03"/>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77C50"/>
    <w:rsid w:val="002802C5"/>
    <w:rsid w:val="002806C8"/>
    <w:rsid w:val="0028139B"/>
    <w:rsid w:val="00281A85"/>
    <w:rsid w:val="00283F5F"/>
    <w:rsid w:val="00284459"/>
    <w:rsid w:val="00287C95"/>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626C"/>
    <w:rsid w:val="002C0E3A"/>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9F4"/>
    <w:rsid w:val="002D6B62"/>
    <w:rsid w:val="002E04BB"/>
    <w:rsid w:val="002E1893"/>
    <w:rsid w:val="002E19B0"/>
    <w:rsid w:val="002E19DF"/>
    <w:rsid w:val="002E32FD"/>
    <w:rsid w:val="002E4ACC"/>
    <w:rsid w:val="002E59CA"/>
    <w:rsid w:val="002E5A3E"/>
    <w:rsid w:val="002E63C0"/>
    <w:rsid w:val="002E6893"/>
    <w:rsid w:val="002E7D25"/>
    <w:rsid w:val="002F0983"/>
    <w:rsid w:val="002F18BC"/>
    <w:rsid w:val="002F18C5"/>
    <w:rsid w:val="002F3462"/>
    <w:rsid w:val="002F3E25"/>
    <w:rsid w:val="002F5AD9"/>
    <w:rsid w:val="002F703B"/>
    <w:rsid w:val="002F762A"/>
    <w:rsid w:val="003003AA"/>
    <w:rsid w:val="00301221"/>
    <w:rsid w:val="00301719"/>
    <w:rsid w:val="0030180A"/>
    <w:rsid w:val="00302095"/>
    <w:rsid w:val="003028FC"/>
    <w:rsid w:val="003033DB"/>
    <w:rsid w:val="00303F17"/>
    <w:rsid w:val="00304A59"/>
    <w:rsid w:val="00305918"/>
    <w:rsid w:val="0030685B"/>
    <w:rsid w:val="003068D4"/>
    <w:rsid w:val="00307797"/>
    <w:rsid w:val="00307899"/>
    <w:rsid w:val="00307A60"/>
    <w:rsid w:val="00313A4F"/>
    <w:rsid w:val="00313B5E"/>
    <w:rsid w:val="0031422A"/>
    <w:rsid w:val="0031425C"/>
    <w:rsid w:val="0031491A"/>
    <w:rsid w:val="00315AF5"/>
    <w:rsid w:val="00315E5A"/>
    <w:rsid w:val="0031658F"/>
    <w:rsid w:val="00316B66"/>
    <w:rsid w:val="00317292"/>
    <w:rsid w:val="00320292"/>
    <w:rsid w:val="003207E6"/>
    <w:rsid w:val="00321419"/>
    <w:rsid w:val="003214B1"/>
    <w:rsid w:val="00322528"/>
    <w:rsid w:val="003239EB"/>
    <w:rsid w:val="0032456E"/>
    <w:rsid w:val="00324947"/>
    <w:rsid w:val="00325E39"/>
    <w:rsid w:val="00327777"/>
    <w:rsid w:val="003278FF"/>
    <w:rsid w:val="003279DB"/>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4008"/>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2E1"/>
    <w:rsid w:val="003D537C"/>
    <w:rsid w:val="003D5660"/>
    <w:rsid w:val="003D5720"/>
    <w:rsid w:val="003D59F4"/>
    <w:rsid w:val="003D603D"/>
    <w:rsid w:val="003D64F2"/>
    <w:rsid w:val="003D7C36"/>
    <w:rsid w:val="003D7E2F"/>
    <w:rsid w:val="003E19DF"/>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B0C"/>
    <w:rsid w:val="00415943"/>
    <w:rsid w:val="00416050"/>
    <w:rsid w:val="0041745F"/>
    <w:rsid w:val="004178EC"/>
    <w:rsid w:val="00420397"/>
    <w:rsid w:val="00423762"/>
    <w:rsid w:val="0042408E"/>
    <w:rsid w:val="00425C40"/>
    <w:rsid w:val="00427209"/>
    <w:rsid w:val="00430368"/>
    <w:rsid w:val="00431396"/>
    <w:rsid w:val="004315B1"/>
    <w:rsid w:val="00433067"/>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3A36"/>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4259"/>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5E03"/>
    <w:rsid w:val="004A665A"/>
    <w:rsid w:val="004A6D47"/>
    <w:rsid w:val="004B1C76"/>
    <w:rsid w:val="004B2753"/>
    <w:rsid w:val="004B43B0"/>
    <w:rsid w:val="004B4EF9"/>
    <w:rsid w:val="004B5252"/>
    <w:rsid w:val="004B66F0"/>
    <w:rsid w:val="004B6E1E"/>
    <w:rsid w:val="004B7495"/>
    <w:rsid w:val="004B76B1"/>
    <w:rsid w:val="004B7753"/>
    <w:rsid w:val="004C08E4"/>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9F"/>
    <w:rsid w:val="004E5061"/>
    <w:rsid w:val="004E5117"/>
    <w:rsid w:val="004E6E38"/>
    <w:rsid w:val="004F2481"/>
    <w:rsid w:val="004F3BAE"/>
    <w:rsid w:val="004F5921"/>
    <w:rsid w:val="004F5929"/>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0EBF"/>
    <w:rsid w:val="00522176"/>
    <w:rsid w:val="0052227D"/>
    <w:rsid w:val="00522573"/>
    <w:rsid w:val="005232BF"/>
    <w:rsid w:val="00523FC0"/>
    <w:rsid w:val="00526A5D"/>
    <w:rsid w:val="0052717A"/>
    <w:rsid w:val="0053050F"/>
    <w:rsid w:val="00531810"/>
    <w:rsid w:val="00531853"/>
    <w:rsid w:val="0053196F"/>
    <w:rsid w:val="005319F0"/>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4EAD"/>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4BD8"/>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B6388"/>
    <w:rsid w:val="005C12F5"/>
    <w:rsid w:val="005C18F1"/>
    <w:rsid w:val="005C1A10"/>
    <w:rsid w:val="005C21A0"/>
    <w:rsid w:val="005C30CF"/>
    <w:rsid w:val="005C4041"/>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9C9"/>
    <w:rsid w:val="00624B8B"/>
    <w:rsid w:val="00624BE3"/>
    <w:rsid w:val="00625C97"/>
    <w:rsid w:val="0062628D"/>
    <w:rsid w:val="00626DFE"/>
    <w:rsid w:val="0062702C"/>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0F99"/>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3C78"/>
    <w:rsid w:val="006D6D78"/>
    <w:rsid w:val="006D771B"/>
    <w:rsid w:val="006D7AFA"/>
    <w:rsid w:val="006E0408"/>
    <w:rsid w:val="006E057C"/>
    <w:rsid w:val="006E076E"/>
    <w:rsid w:val="006E2514"/>
    <w:rsid w:val="006E4207"/>
    <w:rsid w:val="006E43F1"/>
    <w:rsid w:val="006E5850"/>
    <w:rsid w:val="006E66A7"/>
    <w:rsid w:val="006F083B"/>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46615"/>
    <w:rsid w:val="0075066F"/>
    <w:rsid w:val="00750CA2"/>
    <w:rsid w:val="00751266"/>
    <w:rsid w:val="00751FA1"/>
    <w:rsid w:val="007526B0"/>
    <w:rsid w:val="00753722"/>
    <w:rsid w:val="007549F7"/>
    <w:rsid w:val="00755A99"/>
    <w:rsid w:val="00760589"/>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98F"/>
    <w:rsid w:val="00787AF6"/>
    <w:rsid w:val="0079068E"/>
    <w:rsid w:val="00790B39"/>
    <w:rsid w:val="00795E12"/>
    <w:rsid w:val="007A0239"/>
    <w:rsid w:val="007A0387"/>
    <w:rsid w:val="007A1403"/>
    <w:rsid w:val="007A171C"/>
    <w:rsid w:val="007A2082"/>
    <w:rsid w:val="007A35BF"/>
    <w:rsid w:val="007A3E32"/>
    <w:rsid w:val="007A4A3D"/>
    <w:rsid w:val="007A5C2D"/>
    <w:rsid w:val="007B0F4A"/>
    <w:rsid w:val="007B15EE"/>
    <w:rsid w:val="007B2082"/>
    <w:rsid w:val="007B2BB4"/>
    <w:rsid w:val="007B34C5"/>
    <w:rsid w:val="007B34FB"/>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3C6"/>
    <w:rsid w:val="007F68DE"/>
    <w:rsid w:val="007F6C9D"/>
    <w:rsid w:val="007F78D0"/>
    <w:rsid w:val="00800C55"/>
    <w:rsid w:val="00800CDD"/>
    <w:rsid w:val="00801D8A"/>
    <w:rsid w:val="00801DA6"/>
    <w:rsid w:val="0080230C"/>
    <w:rsid w:val="00802C94"/>
    <w:rsid w:val="00805111"/>
    <w:rsid w:val="00805712"/>
    <w:rsid w:val="00805A6C"/>
    <w:rsid w:val="00805B32"/>
    <w:rsid w:val="008061A3"/>
    <w:rsid w:val="0080656B"/>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089"/>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4AE"/>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07C8"/>
    <w:rsid w:val="008721E4"/>
    <w:rsid w:val="00873124"/>
    <w:rsid w:val="00873154"/>
    <w:rsid w:val="0087351A"/>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157E"/>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87F"/>
    <w:rsid w:val="008B1A6C"/>
    <w:rsid w:val="008B2DD2"/>
    <w:rsid w:val="008B4720"/>
    <w:rsid w:val="008B48BD"/>
    <w:rsid w:val="008B528E"/>
    <w:rsid w:val="008B52D1"/>
    <w:rsid w:val="008B52EF"/>
    <w:rsid w:val="008B6073"/>
    <w:rsid w:val="008B7DF5"/>
    <w:rsid w:val="008C0B9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275CF"/>
    <w:rsid w:val="009321B1"/>
    <w:rsid w:val="00932E86"/>
    <w:rsid w:val="00933A42"/>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8539F"/>
    <w:rsid w:val="009869FC"/>
    <w:rsid w:val="00990B61"/>
    <w:rsid w:val="00990D1D"/>
    <w:rsid w:val="009933E5"/>
    <w:rsid w:val="00994104"/>
    <w:rsid w:val="0099494A"/>
    <w:rsid w:val="0099508B"/>
    <w:rsid w:val="009960A3"/>
    <w:rsid w:val="00996BC2"/>
    <w:rsid w:val="00997DF9"/>
    <w:rsid w:val="00997FB8"/>
    <w:rsid w:val="009A01F6"/>
    <w:rsid w:val="009A0842"/>
    <w:rsid w:val="009A152E"/>
    <w:rsid w:val="009A1818"/>
    <w:rsid w:val="009A1AE9"/>
    <w:rsid w:val="009A31E0"/>
    <w:rsid w:val="009A3651"/>
    <w:rsid w:val="009A3843"/>
    <w:rsid w:val="009A6014"/>
    <w:rsid w:val="009A6486"/>
    <w:rsid w:val="009A7160"/>
    <w:rsid w:val="009A721F"/>
    <w:rsid w:val="009A7E42"/>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C7DDA"/>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177"/>
    <w:rsid w:val="00A16558"/>
    <w:rsid w:val="00A17CD6"/>
    <w:rsid w:val="00A23A1E"/>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81649"/>
    <w:rsid w:val="00A818E1"/>
    <w:rsid w:val="00A81A83"/>
    <w:rsid w:val="00A830D7"/>
    <w:rsid w:val="00A8556A"/>
    <w:rsid w:val="00A85D64"/>
    <w:rsid w:val="00A86E44"/>
    <w:rsid w:val="00A91CC9"/>
    <w:rsid w:val="00A928A2"/>
    <w:rsid w:val="00A95EBD"/>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4F3"/>
    <w:rsid w:val="00AC4C51"/>
    <w:rsid w:val="00AC4F86"/>
    <w:rsid w:val="00AC5602"/>
    <w:rsid w:val="00AC5CC6"/>
    <w:rsid w:val="00AC60DA"/>
    <w:rsid w:val="00AC6194"/>
    <w:rsid w:val="00AC7DD0"/>
    <w:rsid w:val="00AD1E12"/>
    <w:rsid w:val="00AD271A"/>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A6E"/>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14F7"/>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079"/>
    <w:rsid w:val="00B47A06"/>
    <w:rsid w:val="00B50071"/>
    <w:rsid w:val="00B509EF"/>
    <w:rsid w:val="00B50E89"/>
    <w:rsid w:val="00B51A8B"/>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07F"/>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0E15"/>
    <w:rsid w:val="00BE10F0"/>
    <w:rsid w:val="00BE14C2"/>
    <w:rsid w:val="00BE3235"/>
    <w:rsid w:val="00BE365A"/>
    <w:rsid w:val="00BE41C5"/>
    <w:rsid w:val="00BE5517"/>
    <w:rsid w:val="00BE645F"/>
    <w:rsid w:val="00BE698A"/>
    <w:rsid w:val="00BE71BA"/>
    <w:rsid w:val="00BE744D"/>
    <w:rsid w:val="00BE7930"/>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085"/>
    <w:rsid w:val="00C75D89"/>
    <w:rsid w:val="00C77678"/>
    <w:rsid w:val="00C80907"/>
    <w:rsid w:val="00C836D3"/>
    <w:rsid w:val="00C83B46"/>
    <w:rsid w:val="00C83DF4"/>
    <w:rsid w:val="00C845FB"/>
    <w:rsid w:val="00C84C08"/>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336"/>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E75C8"/>
    <w:rsid w:val="00CF0A60"/>
    <w:rsid w:val="00CF1448"/>
    <w:rsid w:val="00CF1A88"/>
    <w:rsid w:val="00CF29D0"/>
    <w:rsid w:val="00CF3743"/>
    <w:rsid w:val="00CF4436"/>
    <w:rsid w:val="00CF49F7"/>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A1C"/>
    <w:rsid w:val="00D12E32"/>
    <w:rsid w:val="00D1594D"/>
    <w:rsid w:val="00D15AC5"/>
    <w:rsid w:val="00D160B1"/>
    <w:rsid w:val="00D216CD"/>
    <w:rsid w:val="00D21B38"/>
    <w:rsid w:val="00D21B7F"/>
    <w:rsid w:val="00D2280E"/>
    <w:rsid w:val="00D22A7B"/>
    <w:rsid w:val="00D22C88"/>
    <w:rsid w:val="00D23EE5"/>
    <w:rsid w:val="00D2464F"/>
    <w:rsid w:val="00D26106"/>
    <w:rsid w:val="00D27132"/>
    <w:rsid w:val="00D279CC"/>
    <w:rsid w:val="00D27B12"/>
    <w:rsid w:val="00D27E3B"/>
    <w:rsid w:val="00D311AB"/>
    <w:rsid w:val="00D31394"/>
    <w:rsid w:val="00D3192A"/>
    <w:rsid w:val="00D31BD7"/>
    <w:rsid w:val="00D322F2"/>
    <w:rsid w:val="00D328D4"/>
    <w:rsid w:val="00D3441D"/>
    <w:rsid w:val="00D35521"/>
    <w:rsid w:val="00D35A2B"/>
    <w:rsid w:val="00D370DC"/>
    <w:rsid w:val="00D37565"/>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394C"/>
    <w:rsid w:val="00D53E40"/>
    <w:rsid w:val="00D54435"/>
    <w:rsid w:val="00D54EA8"/>
    <w:rsid w:val="00D55D69"/>
    <w:rsid w:val="00D561C5"/>
    <w:rsid w:val="00D61166"/>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D41"/>
    <w:rsid w:val="00D75E06"/>
    <w:rsid w:val="00D76536"/>
    <w:rsid w:val="00D76735"/>
    <w:rsid w:val="00D767BC"/>
    <w:rsid w:val="00D76D8F"/>
    <w:rsid w:val="00D81BBB"/>
    <w:rsid w:val="00D82074"/>
    <w:rsid w:val="00D82987"/>
    <w:rsid w:val="00D84D19"/>
    <w:rsid w:val="00D85877"/>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2492"/>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21E"/>
    <w:rsid w:val="00DF2AAC"/>
    <w:rsid w:val="00DF3FE6"/>
    <w:rsid w:val="00DF4056"/>
    <w:rsid w:val="00DF49C4"/>
    <w:rsid w:val="00DF65A2"/>
    <w:rsid w:val="00DF6BE7"/>
    <w:rsid w:val="00DF6DFC"/>
    <w:rsid w:val="00DF71E7"/>
    <w:rsid w:val="00DF7773"/>
    <w:rsid w:val="00DF795A"/>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3E36"/>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CC1"/>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31AA"/>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107C5"/>
    <w:rsid w:val="00F107F6"/>
    <w:rsid w:val="00F11A4F"/>
    <w:rsid w:val="00F11D95"/>
    <w:rsid w:val="00F127C6"/>
    <w:rsid w:val="00F128F3"/>
    <w:rsid w:val="00F131E2"/>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031"/>
    <w:rsid w:val="00F97DB7"/>
    <w:rsid w:val="00FA143E"/>
    <w:rsid w:val="00FA2870"/>
    <w:rsid w:val="00FA4224"/>
    <w:rsid w:val="00FA495D"/>
    <w:rsid w:val="00FA687A"/>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0C8"/>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D77D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6585387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797994912">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6.jpg"/><Relationship Id="rId21" Type="http://schemas.openxmlformats.org/officeDocument/2006/relationships/image" Target="file://localhost/Users/chrisdances/Github/Nureth-16/images/Implicit-Diagram.jpg" TargetMode="External"/><Relationship Id="rId22" Type="http://schemas.openxmlformats.org/officeDocument/2006/relationships/chart" Target="charts/chart1.xml"/><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image" Target="media/image9.jpg"/><Relationship Id="rId26" Type="http://schemas.openxmlformats.org/officeDocument/2006/relationships/image" Target="media/image10.jpg"/><Relationship Id="rId27" Type="http://schemas.openxmlformats.org/officeDocument/2006/relationships/image" Target="media/image11.jpg"/><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file://localhost/Users/chrisdances/Github/Nureth-16/images/fluid-solid-meshing.png" TargetMode="External"/><Relationship Id="rId18" Type="http://schemas.openxmlformats.org/officeDocument/2006/relationships/image" Target="media/image5.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92.05696231459454</c:v>
                </c:pt>
                <c:pt idx="1">
                  <c:v>91.72899750456735</c:v>
                </c:pt>
                <c:pt idx="2">
                  <c:v>90.41713826445837</c:v>
                </c:pt>
                <c:pt idx="3">
                  <c:v>87.7934197842404</c:v>
                </c:pt>
                <c:pt idx="4">
                  <c:v>83.85784206391331</c:v>
                </c:pt>
                <c:pt idx="5">
                  <c:v>78.61040510347725</c:v>
                </c:pt>
                <c:pt idx="6">
                  <c:v>72.0511089029322</c:v>
                </c:pt>
                <c:pt idx="7">
                  <c:v>64.1799534622781</c:v>
                </c:pt>
                <c:pt idx="8">
                  <c:v>54.99693878151505</c:v>
                </c:pt>
                <c:pt idx="9">
                  <c:v>44.5020648606431</c:v>
                </c:pt>
                <c:pt idx="10">
                  <c:v>32.85931410467533</c:v>
                </c:pt>
                <c:pt idx="11">
                  <c:v>5.48760970138931</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91.25903944444448</c:v>
                </c:pt>
                <c:pt idx="2">
                  <c:v>90.11250277777779</c:v>
                </c:pt>
                <c:pt idx="3">
                  <c:v>87.57192388888894</c:v>
                </c:pt>
                <c:pt idx="4">
                  <c:v>83.69157777777781</c:v>
                </c:pt>
                <c:pt idx="5">
                  <c:v>78.48558222222219</c:v>
                </c:pt>
                <c:pt idx="6">
                  <c:v>71.9595127777778</c:v>
                </c:pt>
                <c:pt idx="7">
                  <c:v>64.11613000000001</c:v>
                </c:pt>
                <c:pt idx="8">
                  <c:v>54.95699722222219</c:v>
                </c:pt>
                <c:pt idx="9">
                  <c:v>44.48308388888892</c:v>
                </c:pt>
                <c:pt idx="10">
                  <c:v>32.85026777777774</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87.57679777777773</c:v>
                </c:pt>
                <c:pt idx="4">
                  <c:v>83.69617277777773</c:v>
                </c:pt>
                <c:pt idx="5">
                  <c:v>78.48981555555554</c:v>
                </c:pt>
                <c:pt idx="6">
                  <c:v>71.96331</c:v>
                </c:pt>
                <c:pt idx="7">
                  <c:v>64.11942944444446</c:v>
                </c:pt>
                <c:pt idx="8">
                  <c:v>54.9597511111111</c:v>
                </c:pt>
                <c:pt idx="9">
                  <c:v>44.48525888888892</c:v>
                </c:pt>
                <c:pt idx="10">
                  <c:v>32.85185333333327</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90.08879111111099</c:v>
                </c:pt>
                <c:pt idx="3">
                  <c:v>87.54908666666665</c:v>
                </c:pt>
                <c:pt idx="4">
                  <c:v>83.67004722222214</c:v>
                </c:pt>
                <c:pt idx="5">
                  <c:v>78.46574999999998</c:v>
                </c:pt>
                <c:pt idx="6">
                  <c:v>71.94172277777776</c:v>
                </c:pt>
                <c:pt idx="7">
                  <c:v>64.10066944444446</c:v>
                </c:pt>
                <c:pt idx="8">
                  <c:v>54.94409222222221</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91.34018833333329</c:v>
                </c:pt>
                <c:pt idx="1">
                  <c:v>91.07873277777769</c:v>
                </c:pt>
                <c:pt idx="2">
                  <c:v>90.0230405555555</c:v>
                </c:pt>
                <c:pt idx="3">
                  <c:v>87.516015</c:v>
                </c:pt>
                <c:pt idx="4">
                  <c:v>83.6555972222222</c:v>
                </c:pt>
                <c:pt idx="5">
                  <c:v>78.46375555555558</c:v>
                </c:pt>
                <c:pt idx="6">
                  <c:v>71.94862055555556</c:v>
                </c:pt>
                <c:pt idx="7">
                  <c:v>64.11410444444446</c:v>
                </c:pt>
                <c:pt idx="8">
                  <c:v>54.96239555555557</c:v>
                </c:pt>
                <c:pt idx="9">
                  <c:v>44.49484333333334</c:v>
                </c:pt>
                <c:pt idx="10">
                  <c:v>32.85931444444449</c:v>
                </c:pt>
                <c:pt idx="11">
                  <c:v>5.487610000000005</c:v>
                </c:pt>
                <c:pt idx="12">
                  <c:v>0.0</c:v>
                </c:pt>
              </c:numCache>
            </c:numRef>
          </c:yVal>
          <c:smooth val="0"/>
        </c:ser>
        <c:dLbls>
          <c:showLegendKey val="0"/>
          <c:showVal val="0"/>
          <c:showCatName val="0"/>
          <c:showSerName val="0"/>
          <c:showPercent val="0"/>
          <c:showBubbleSize val="0"/>
        </c:dLbls>
        <c:axId val="2066769288"/>
        <c:axId val="2069349576"/>
      </c:scatterChart>
      <c:valAx>
        <c:axId val="2066769288"/>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069349576"/>
        <c:crossesAt val="0.0"/>
        <c:crossBetween val="midCat"/>
      </c:valAx>
      <c:valAx>
        <c:axId val="206934957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066769288"/>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CFF4F-39E4-D943-8004-5A97E6BE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4652</Words>
  <Characters>26520</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31110</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2</cp:revision>
  <cp:lastPrinted>2015-05-22T20:16:00Z</cp:lastPrinted>
  <dcterms:created xsi:type="dcterms:W3CDTF">2015-06-14T15:45:00Z</dcterms:created>
  <dcterms:modified xsi:type="dcterms:W3CDTF">2015-06-14T15:45:00Z</dcterms:modified>
</cp:coreProperties>
</file>