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9DBE9" w14:textId="345FB5CE" w:rsidR="001B024E" w:rsidRDefault="002F3383">
      <w:r>
        <w:rPr>
          <w:u w:val="single"/>
        </w:rPr>
        <w:t>Tentative</w:t>
      </w:r>
      <w:r>
        <w:t xml:space="preserve"> schedule for Ankar</w:t>
      </w:r>
      <w:bookmarkStart w:id="0" w:name="_GoBack"/>
      <w:bookmarkEnd w:id="0"/>
      <w:r>
        <w:t>a course on analysis of phylogenies</w:t>
      </w:r>
      <w:r w:rsidR="00EC7942">
        <w:t xml:space="preserve"> (</w:t>
      </w:r>
      <w:r w:rsidR="00F75047">
        <w:t>June 9</w:t>
      </w:r>
      <w:r w:rsidR="00EC7942">
        <w:t>, 2018)</w:t>
      </w:r>
    </w:p>
    <w:p w14:paraId="5116FE1E" w14:textId="77777777" w:rsidR="002F3383" w:rsidRPr="002F3383" w:rsidRDefault="002F3383"/>
    <w:tbl>
      <w:tblPr>
        <w:tblW w:w="936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58"/>
        <w:gridCol w:w="2119"/>
        <w:gridCol w:w="1283"/>
      </w:tblGrid>
      <w:tr w:rsidR="001B024E" w:rsidRPr="001B024E" w14:paraId="0C60E79C" w14:textId="77777777" w:rsidTr="001B024E">
        <w:trPr>
          <w:trHeight w:val="340"/>
        </w:trPr>
        <w:tc>
          <w:tcPr>
            <w:tcW w:w="595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  <w:shd w:val="clear" w:color="auto" w:fill="FFFFFF"/>
          </w:tcPr>
          <w:p w14:paraId="79865701" w14:textId="77777777" w:rsidR="001B024E" w:rsidRDefault="001B024E" w:rsidP="001B024E"/>
          <w:p w14:paraId="31C4A7A4" w14:textId="77777777" w:rsidR="001B024E" w:rsidRPr="001B024E" w:rsidRDefault="001B024E" w:rsidP="001B024E">
            <w:r>
              <w:t>Topic</w:t>
            </w:r>
          </w:p>
        </w:tc>
        <w:tc>
          <w:tcPr>
            <w:tcW w:w="2119" w:type="dxa"/>
            <w:tcBorders>
              <w:top w:val="single" w:sz="8" w:space="0" w:color="4E81BD"/>
              <w:bottom w:val="single" w:sz="8" w:space="0" w:color="4E81BD"/>
            </w:tcBorders>
            <w:shd w:val="clear" w:color="auto" w:fill="FFFFFF"/>
          </w:tcPr>
          <w:p w14:paraId="6060162B" w14:textId="77777777" w:rsidR="001B024E" w:rsidRDefault="001B024E" w:rsidP="001B024E"/>
          <w:p w14:paraId="613F566C" w14:textId="21C245AF" w:rsidR="001B024E" w:rsidRPr="001B024E" w:rsidRDefault="001B024E" w:rsidP="00D77A3C">
            <w:r>
              <w:t>Host</w:t>
            </w:r>
          </w:p>
        </w:tc>
        <w:tc>
          <w:tcPr>
            <w:tcW w:w="1283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FFFFFF"/>
          </w:tcPr>
          <w:p w14:paraId="55E34F2A" w14:textId="77777777" w:rsidR="001B024E" w:rsidRPr="001B024E" w:rsidRDefault="001B024E" w:rsidP="001B024E">
            <w:r>
              <w:t>Time allocated</w:t>
            </w:r>
          </w:p>
        </w:tc>
      </w:tr>
      <w:tr w:rsidR="001B024E" w:rsidRPr="001B024E" w14:paraId="7604EF90" w14:textId="77777777" w:rsidTr="001B024E">
        <w:trPr>
          <w:trHeight w:val="760"/>
        </w:trPr>
        <w:tc>
          <w:tcPr>
            <w:tcW w:w="595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  <w:shd w:val="clear" w:color="auto" w:fill="FFFFFF"/>
          </w:tcPr>
          <w:p w14:paraId="73206BA8" w14:textId="77777777" w:rsidR="0010601E" w:rsidRDefault="001B024E" w:rsidP="001B024E">
            <w:r w:rsidRPr="00D77A3C">
              <w:rPr>
                <w:b/>
              </w:rPr>
              <w:t>Introduction</w:t>
            </w:r>
            <w:r>
              <w:t xml:space="preserve">: </w:t>
            </w:r>
          </w:p>
          <w:p w14:paraId="39F47EA9" w14:textId="3DCEFD19" w:rsidR="001B024E" w:rsidRDefault="001B024E" w:rsidP="001B024E">
            <w:r>
              <w:t>What can phylogeny teach us about gypsophily?</w:t>
            </w:r>
          </w:p>
          <w:p w14:paraId="7CA20DFB" w14:textId="70AEA252" w:rsidR="002F3383" w:rsidRPr="001B024E" w:rsidRDefault="002F3383" w:rsidP="001B024E">
            <w:r>
              <w:t>–include</w:t>
            </w:r>
            <w:r w:rsidR="0010601E">
              <w:t>s</w:t>
            </w:r>
            <w:r>
              <w:t xml:space="preserve"> lots of specific, entertaining/useful examples</w:t>
            </w:r>
          </w:p>
        </w:tc>
        <w:tc>
          <w:tcPr>
            <w:tcW w:w="2119" w:type="dxa"/>
            <w:tcBorders>
              <w:top w:val="single" w:sz="8" w:space="0" w:color="4E81BD"/>
              <w:bottom w:val="single" w:sz="8" w:space="0" w:color="4E81BD"/>
            </w:tcBorders>
            <w:shd w:val="clear" w:color="auto" w:fill="FFFFFF"/>
          </w:tcPr>
          <w:p w14:paraId="6FFF4CDE" w14:textId="3CFC97DE" w:rsidR="001B024E" w:rsidRPr="001B024E" w:rsidRDefault="002F3383" w:rsidP="001B024E">
            <w:r>
              <w:t>Mike</w:t>
            </w:r>
          </w:p>
        </w:tc>
        <w:tc>
          <w:tcPr>
            <w:tcW w:w="1283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FFFFFF"/>
          </w:tcPr>
          <w:p w14:paraId="3034D610" w14:textId="41906A1F" w:rsidR="001B024E" w:rsidRPr="001B024E" w:rsidRDefault="002F3383" w:rsidP="00C74358">
            <w:r>
              <w:t>1:00</w:t>
            </w:r>
          </w:p>
        </w:tc>
      </w:tr>
      <w:tr w:rsidR="002F3383" w:rsidRPr="001B024E" w14:paraId="7442EA9B" w14:textId="77777777" w:rsidTr="001B024E">
        <w:trPr>
          <w:trHeight w:val="760"/>
        </w:trPr>
        <w:tc>
          <w:tcPr>
            <w:tcW w:w="595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  <w:shd w:val="clear" w:color="auto" w:fill="FFFFFF"/>
          </w:tcPr>
          <w:p w14:paraId="7491E317" w14:textId="361A611C" w:rsidR="009143E5" w:rsidRPr="009143E5" w:rsidRDefault="002F3383" w:rsidP="0010601E">
            <w:pPr>
              <w:rPr>
                <w:b/>
              </w:rPr>
            </w:pPr>
            <w:r w:rsidRPr="009143E5">
              <w:rPr>
                <w:b/>
              </w:rPr>
              <w:t>Part 1:  Phylogenetic study design</w:t>
            </w:r>
          </w:p>
          <w:p w14:paraId="49CECC5D" w14:textId="1BC1DFAB" w:rsidR="002F3383" w:rsidRDefault="002F3383" w:rsidP="0010601E">
            <w:r>
              <w:t>–</w:t>
            </w:r>
            <w:r w:rsidR="0010601E">
              <w:t xml:space="preserve">the relationship between </w:t>
            </w:r>
            <w:r>
              <w:t xml:space="preserve">goals </w:t>
            </w:r>
            <w:r w:rsidR="0010601E">
              <w:t>(</w:t>
            </w:r>
            <w:r>
              <w:t>questions to be addressed</w:t>
            </w:r>
            <w:r w:rsidR="0010601E">
              <w:t xml:space="preserve">) and </w:t>
            </w:r>
            <w:r>
              <w:t>sampling strategies</w:t>
            </w:r>
          </w:p>
          <w:p w14:paraId="04009A70" w14:textId="140E3DC4" w:rsidR="0010601E" w:rsidRDefault="009143E5" w:rsidP="0010601E">
            <w:r>
              <w:t>–considerations for sampling at different taxonomic levels</w:t>
            </w:r>
            <w:r w:rsidR="0010601E">
              <w:t xml:space="preserve"> (individuals, populations, species, and supra-specific taxa) </w:t>
            </w:r>
          </w:p>
          <w:p w14:paraId="35E73CB3" w14:textId="7DF90C61" w:rsidR="0010601E" w:rsidRPr="001B024E" w:rsidRDefault="009143E5" w:rsidP="00733878">
            <w:r>
              <w:t>–</w:t>
            </w:r>
            <w:r w:rsidR="0010601E">
              <w:t>character sampling (morpholog</w:t>
            </w:r>
            <w:r w:rsidR="00733878">
              <w:t>y</w:t>
            </w:r>
            <w:r w:rsidR="0010601E">
              <w:t xml:space="preserve"> and DNA)</w:t>
            </w:r>
          </w:p>
        </w:tc>
        <w:tc>
          <w:tcPr>
            <w:tcW w:w="2119" w:type="dxa"/>
            <w:tcBorders>
              <w:top w:val="single" w:sz="8" w:space="0" w:color="4E81BD"/>
              <w:bottom w:val="single" w:sz="8" w:space="0" w:color="4E81BD"/>
            </w:tcBorders>
            <w:shd w:val="clear" w:color="auto" w:fill="FFFFFF"/>
          </w:tcPr>
          <w:p w14:paraId="0310817D" w14:textId="032FD935" w:rsidR="002F3383" w:rsidRPr="001B024E" w:rsidRDefault="002F3383" w:rsidP="0010601E">
            <w:r>
              <w:t>Helga</w:t>
            </w:r>
          </w:p>
        </w:tc>
        <w:tc>
          <w:tcPr>
            <w:tcW w:w="1283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FFFFFF"/>
          </w:tcPr>
          <w:p w14:paraId="2B443F73" w14:textId="5DAC73F5" w:rsidR="002F3383" w:rsidRPr="001B024E" w:rsidRDefault="00733878" w:rsidP="00C74358">
            <w:r>
              <w:t>2</w:t>
            </w:r>
            <w:r w:rsidR="002F3383">
              <w:t>:00</w:t>
            </w:r>
          </w:p>
        </w:tc>
      </w:tr>
      <w:tr w:rsidR="002F3383" w:rsidRPr="001B024E" w14:paraId="25B7DA72" w14:textId="77777777" w:rsidTr="001B024E">
        <w:trPr>
          <w:trHeight w:val="760"/>
        </w:trPr>
        <w:tc>
          <w:tcPr>
            <w:tcW w:w="5958" w:type="dxa"/>
            <w:tcBorders>
              <w:top w:val="single" w:sz="8" w:space="0" w:color="4E81BD"/>
              <w:left w:val="single" w:sz="8" w:space="0" w:color="4E81BD"/>
              <w:bottom w:val="single" w:sz="8" w:space="0" w:color="4E81BD"/>
            </w:tcBorders>
            <w:shd w:val="clear" w:color="auto" w:fill="FFFFFF"/>
          </w:tcPr>
          <w:p w14:paraId="462F2642" w14:textId="565CDC26" w:rsidR="002F3383" w:rsidRPr="009143E5" w:rsidRDefault="002F3383" w:rsidP="001B024E">
            <w:pPr>
              <w:rPr>
                <w:b/>
              </w:rPr>
            </w:pPr>
            <w:r w:rsidRPr="009143E5">
              <w:rPr>
                <w:b/>
              </w:rPr>
              <w:t>Part 2:  Acquiring and storing material</w:t>
            </w:r>
          </w:p>
          <w:p w14:paraId="19DB85D3" w14:textId="08450CF1" w:rsidR="002F3383" w:rsidRDefault="002F3383" w:rsidP="001B024E">
            <w:r>
              <w:t xml:space="preserve">–recommendations for field sampling (including for molecular, anatomical, </w:t>
            </w:r>
            <w:r w:rsidR="00733878">
              <w:t xml:space="preserve">physiology, </w:t>
            </w:r>
            <w:r>
              <w:t>etc</w:t>
            </w:r>
            <w:r w:rsidR="004C5124">
              <w:t>. work</w:t>
            </w:r>
            <w:r>
              <w:t>)</w:t>
            </w:r>
          </w:p>
          <w:p w14:paraId="0B9BDFCA" w14:textId="77777777" w:rsidR="00733878" w:rsidRDefault="00733878" w:rsidP="00733878">
            <w:r>
              <w:t>–making voucher specimens, including duplicate specimens and good labeling practices</w:t>
            </w:r>
          </w:p>
          <w:p w14:paraId="15A9ACF2" w14:textId="5C0E2263" w:rsidR="002F3383" w:rsidRDefault="002F3383" w:rsidP="001B024E">
            <w:r>
              <w:t xml:space="preserve">–recommendations </w:t>
            </w:r>
            <w:r w:rsidR="00733878">
              <w:t xml:space="preserve">for </w:t>
            </w:r>
            <w:r>
              <w:t>herbarium specimens</w:t>
            </w:r>
            <w:r w:rsidR="00733878">
              <w:t xml:space="preserve"> sampling</w:t>
            </w:r>
          </w:p>
          <w:p w14:paraId="5E1C2E76" w14:textId="77777777" w:rsidR="002F3383" w:rsidRDefault="002F3383" w:rsidP="001B024E">
            <w:r>
              <w:t>–the importance of expert identification</w:t>
            </w:r>
          </w:p>
          <w:p w14:paraId="7A2F3DCE" w14:textId="276F7D4D" w:rsidR="002F3383" w:rsidRPr="001B024E" w:rsidRDefault="002F3383" w:rsidP="001B024E">
            <w:r>
              <w:t>–best practices for storing and shipping material</w:t>
            </w:r>
          </w:p>
        </w:tc>
        <w:tc>
          <w:tcPr>
            <w:tcW w:w="2119" w:type="dxa"/>
            <w:tcBorders>
              <w:top w:val="single" w:sz="8" w:space="0" w:color="4E81BD"/>
              <w:bottom w:val="single" w:sz="8" w:space="0" w:color="4E81BD"/>
            </w:tcBorders>
            <w:shd w:val="clear" w:color="auto" w:fill="FFFFFF"/>
          </w:tcPr>
          <w:p w14:paraId="0162F8FB" w14:textId="245E55E6" w:rsidR="002F3383" w:rsidRPr="001B024E" w:rsidRDefault="002F3383" w:rsidP="0010601E">
            <w:r>
              <w:t>Hilda</w:t>
            </w:r>
          </w:p>
        </w:tc>
        <w:tc>
          <w:tcPr>
            <w:tcW w:w="1283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FFFFFF"/>
          </w:tcPr>
          <w:p w14:paraId="4CF67373" w14:textId="5FA6DEC5" w:rsidR="002F3383" w:rsidRPr="001B024E" w:rsidRDefault="002F3383" w:rsidP="001B024E">
            <w:r>
              <w:t>2:00</w:t>
            </w:r>
          </w:p>
        </w:tc>
      </w:tr>
      <w:tr w:rsidR="002F3383" w:rsidRPr="001B024E" w14:paraId="5934DDB9" w14:textId="77777777" w:rsidTr="007E0171">
        <w:trPr>
          <w:trHeight w:val="568"/>
        </w:trPr>
        <w:tc>
          <w:tcPr>
            <w:tcW w:w="5958" w:type="dxa"/>
            <w:tcBorders>
              <w:top w:val="single" w:sz="8" w:space="0" w:color="4E81BD"/>
              <w:left w:val="single" w:sz="8" w:space="0" w:color="4E81BD"/>
              <w:bottom w:val="single" w:sz="4" w:space="0" w:color="auto"/>
            </w:tcBorders>
            <w:shd w:val="clear" w:color="auto" w:fill="FFFFFF"/>
          </w:tcPr>
          <w:p w14:paraId="6F359817" w14:textId="2D0C42B8" w:rsidR="002F3383" w:rsidRPr="009143E5" w:rsidRDefault="002F3383" w:rsidP="001B024E">
            <w:pPr>
              <w:rPr>
                <w:b/>
              </w:rPr>
            </w:pPr>
            <w:r w:rsidRPr="009143E5">
              <w:rPr>
                <w:b/>
              </w:rPr>
              <w:t>Part 3:  Collecting DNA sequence data</w:t>
            </w:r>
          </w:p>
          <w:p w14:paraId="3E5F6865" w14:textId="1F83586A" w:rsidR="002F3383" w:rsidRDefault="002F3383" w:rsidP="001B024E">
            <w:r>
              <w:t>–basic overview of collecting targeted sequence data</w:t>
            </w:r>
            <w:r w:rsidR="0010601E">
              <w:t xml:space="preserve"> (specific </w:t>
            </w:r>
            <w:r w:rsidR="009143E5">
              <w:t>loci/</w:t>
            </w:r>
            <w:r w:rsidR="0010601E">
              <w:t>markers, genomes, transcriptomes)</w:t>
            </w:r>
          </w:p>
          <w:p w14:paraId="01C43DEB" w14:textId="15D57428" w:rsidR="004C5124" w:rsidRDefault="009143E5" w:rsidP="001B024E">
            <w:r>
              <w:t>–</w:t>
            </w:r>
            <w:r w:rsidR="004C5124">
              <w:t>storage considerations</w:t>
            </w:r>
          </w:p>
          <w:p w14:paraId="1139241C" w14:textId="60EB87FF" w:rsidR="002F3383" w:rsidRPr="001B024E" w:rsidRDefault="002F3383" w:rsidP="0010601E">
            <w:r>
              <w:t>–cost considerations</w:t>
            </w:r>
          </w:p>
        </w:tc>
        <w:tc>
          <w:tcPr>
            <w:tcW w:w="2119" w:type="dxa"/>
            <w:tcBorders>
              <w:top w:val="single" w:sz="8" w:space="0" w:color="4E81BD"/>
              <w:bottom w:val="single" w:sz="8" w:space="0" w:color="4E81BD"/>
            </w:tcBorders>
            <w:shd w:val="clear" w:color="auto" w:fill="FFFFFF"/>
          </w:tcPr>
          <w:p w14:paraId="067B472B" w14:textId="43E6C775" w:rsidR="002F3383" w:rsidRPr="001B024E" w:rsidRDefault="002F3383" w:rsidP="004C5124">
            <w:r w:rsidRPr="001B024E">
              <w:t>Mike</w:t>
            </w:r>
          </w:p>
        </w:tc>
        <w:tc>
          <w:tcPr>
            <w:tcW w:w="1283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FFFFFF"/>
          </w:tcPr>
          <w:p w14:paraId="4265DF50" w14:textId="6B680D95" w:rsidR="002F3383" w:rsidRPr="001B024E" w:rsidRDefault="00733878" w:rsidP="001B024E">
            <w:r>
              <w:t>1</w:t>
            </w:r>
            <w:r w:rsidR="002F3383">
              <w:t>:00</w:t>
            </w:r>
          </w:p>
        </w:tc>
      </w:tr>
      <w:tr w:rsidR="002F3383" w:rsidRPr="001B024E" w14:paraId="0F769172" w14:textId="77777777" w:rsidTr="007E0171">
        <w:trPr>
          <w:trHeight w:val="568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5080836F" w14:textId="77777777" w:rsidR="00B80E70" w:rsidRDefault="00B80E70" w:rsidP="001B024E">
            <w:pPr>
              <w:rPr>
                <w:b/>
              </w:rPr>
            </w:pPr>
            <w:r>
              <w:rPr>
                <w:b/>
              </w:rPr>
              <w:t>Part 4:  DNA sequence alignment and Dating</w:t>
            </w:r>
          </w:p>
          <w:p w14:paraId="6D3F06CC" w14:textId="2AA6EA9D" w:rsidR="00B80E70" w:rsidRDefault="00C02BDE" w:rsidP="001B024E">
            <w:pPr>
              <w:rPr>
                <w:b/>
              </w:rPr>
            </w:pPr>
            <w:r>
              <w:rPr>
                <w:b/>
              </w:rPr>
              <w:t>To be added…</w:t>
            </w:r>
          </w:p>
          <w:p w14:paraId="5C2ADDFE" w14:textId="12DCCA32" w:rsidR="002F3383" w:rsidRPr="001B024E" w:rsidRDefault="002F3383" w:rsidP="0010601E"/>
        </w:tc>
        <w:tc>
          <w:tcPr>
            <w:tcW w:w="2119" w:type="dxa"/>
            <w:tcBorders>
              <w:top w:val="single" w:sz="8" w:space="0" w:color="4E81BD"/>
              <w:left w:val="nil"/>
              <w:bottom w:val="single" w:sz="8" w:space="0" w:color="4E81BD"/>
            </w:tcBorders>
            <w:shd w:val="clear" w:color="auto" w:fill="FFFFFF"/>
          </w:tcPr>
          <w:p w14:paraId="446473FE" w14:textId="181F40AD" w:rsidR="00B80E70" w:rsidRDefault="00B80E70" w:rsidP="00733878">
            <w:r>
              <w:t>Maria</w:t>
            </w:r>
          </w:p>
          <w:p w14:paraId="5CC2BB87" w14:textId="77777777" w:rsidR="00B80E70" w:rsidRDefault="00B80E70" w:rsidP="00733878"/>
          <w:p w14:paraId="62910D2E" w14:textId="774F5DC3" w:rsidR="002F3383" w:rsidRPr="001B024E" w:rsidRDefault="002F3383" w:rsidP="00733878"/>
        </w:tc>
        <w:tc>
          <w:tcPr>
            <w:tcW w:w="1283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FFFFFF"/>
          </w:tcPr>
          <w:p w14:paraId="71B38808" w14:textId="5ECAA1BE" w:rsidR="002F3383" w:rsidRPr="001B024E" w:rsidRDefault="00B80E70" w:rsidP="001B024E">
            <w:r>
              <w:t>1</w:t>
            </w:r>
            <w:r w:rsidR="002F3383">
              <w:t>:00</w:t>
            </w:r>
          </w:p>
        </w:tc>
      </w:tr>
      <w:tr w:rsidR="00B80E70" w:rsidRPr="001B024E" w14:paraId="61133CEE" w14:textId="77777777" w:rsidTr="007E0171">
        <w:trPr>
          <w:trHeight w:val="568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B45ABFE" w14:textId="1D5D1C9C" w:rsidR="00B80E70" w:rsidRPr="009143E5" w:rsidRDefault="00B80E70" w:rsidP="00B80E70">
            <w:pPr>
              <w:rPr>
                <w:b/>
              </w:rPr>
            </w:pPr>
            <w:r>
              <w:rPr>
                <w:b/>
              </w:rPr>
              <w:t>Part 5</w:t>
            </w:r>
            <w:r w:rsidRPr="009143E5">
              <w:rPr>
                <w:b/>
              </w:rPr>
              <w:t>:  Reconstructing phylogenies</w:t>
            </w:r>
          </w:p>
          <w:p w14:paraId="1835FB1C" w14:textId="4540F45D" w:rsidR="00B80E70" w:rsidRDefault="00C02BDE" w:rsidP="00C02BDE">
            <w:r>
              <w:t>-</w:t>
            </w:r>
            <w:proofErr w:type="gramStart"/>
            <w:r>
              <w:t>overview</w:t>
            </w:r>
            <w:proofErr w:type="gramEnd"/>
            <w:r>
              <w:t xml:space="preserve"> of tree reconstruction </w:t>
            </w:r>
            <w:r w:rsidR="00B80E70">
              <w:t>(parsimony, ML, Bayesian)</w:t>
            </w:r>
            <w:r>
              <w:t xml:space="preserve"> – if this wasn’t covered earlier.</w:t>
            </w:r>
          </w:p>
          <w:p w14:paraId="69EF0FDA" w14:textId="743C8005" w:rsidR="00B80E70" w:rsidRDefault="00B80E70" w:rsidP="00B80E70">
            <w:r>
              <w:t xml:space="preserve">–overview of some of the practical considerations/problems encountered in phylogenetic analyses (homology assessment, gene trees vs. species trees, </w:t>
            </w:r>
            <w:r w:rsidR="00EC54EC">
              <w:t>long branch attraction</w:t>
            </w:r>
            <w:r>
              <w:t>.)</w:t>
            </w:r>
          </w:p>
          <w:p w14:paraId="6D48F6B4" w14:textId="4530B12F" w:rsidR="00C02BDE" w:rsidRDefault="00C02BDE" w:rsidP="00B80E70">
            <w:r>
              <w:t>-provide handouts listing some relevant literature and software?</w:t>
            </w:r>
          </w:p>
          <w:p w14:paraId="45EA6CB8" w14:textId="63346389" w:rsidR="00B80E70" w:rsidRDefault="00C02BDE" w:rsidP="00C02BDE">
            <w:pPr>
              <w:rPr>
                <w:b/>
              </w:rPr>
            </w:pPr>
            <w:r>
              <w:t>-this late in the day, it would seem best to spend</w:t>
            </w:r>
            <w:r w:rsidR="00EC54EC">
              <w:t xml:space="preserve"> most of the</w:t>
            </w:r>
            <w:r>
              <w:t xml:space="preserve"> time on </w:t>
            </w:r>
            <w:r w:rsidR="00B80E70">
              <w:t>example</w:t>
            </w:r>
            <w:r>
              <w:t xml:space="preserve"> exercises for participants</w:t>
            </w:r>
            <w:r w:rsidR="00EC54EC">
              <w:t xml:space="preserve"> to be keep them engaged</w:t>
            </w:r>
            <w:r>
              <w:t xml:space="preserve"> (to include, </w:t>
            </w:r>
            <w:proofErr w:type="spellStart"/>
            <w:r>
              <w:t>monophyly</w:t>
            </w:r>
            <w:proofErr w:type="spellEnd"/>
            <w:r>
              <w:t xml:space="preserve">, dating, character reconstruction, biogeography, fossil placement, examples of incongruence and </w:t>
            </w:r>
            <w:proofErr w:type="spellStart"/>
            <w:r>
              <w:t>their</w:t>
            </w:r>
            <w:proofErr w:type="spellEnd"/>
            <w:r>
              <w:t xml:space="preserve"> interpretation,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119" w:type="dxa"/>
            <w:tcBorders>
              <w:top w:val="single" w:sz="8" w:space="0" w:color="4E81BD"/>
              <w:left w:val="nil"/>
              <w:bottom w:val="single" w:sz="8" w:space="0" w:color="4E81BD"/>
            </w:tcBorders>
            <w:shd w:val="clear" w:color="auto" w:fill="FFFFFF"/>
          </w:tcPr>
          <w:p w14:paraId="4D59A370" w14:textId="3ACCF24F" w:rsidR="00B80E70" w:rsidRDefault="00B80E70" w:rsidP="00733878">
            <w:r>
              <w:t>Donovan</w:t>
            </w:r>
          </w:p>
        </w:tc>
        <w:tc>
          <w:tcPr>
            <w:tcW w:w="1283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FFFFFF"/>
          </w:tcPr>
          <w:p w14:paraId="02DFDC4E" w14:textId="63788CE6" w:rsidR="00B80E70" w:rsidRDefault="00B80E70" w:rsidP="001B024E">
            <w:r>
              <w:t>1:00</w:t>
            </w:r>
          </w:p>
        </w:tc>
      </w:tr>
      <w:tr w:rsidR="00D77A3C" w:rsidRPr="001B024E" w14:paraId="4E8FF460" w14:textId="77777777" w:rsidTr="007E0171">
        <w:trPr>
          <w:trHeight w:val="568"/>
        </w:trPr>
        <w:tc>
          <w:tcPr>
            <w:tcW w:w="5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20704B17" w14:textId="06EAD5D7" w:rsidR="00D77A3C" w:rsidRPr="00D77A3C" w:rsidRDefault="00D77A3C" w:rsidP="001B024E">
            <w:pPr>
              <w:rPr>
                <w:b/>
              </w:rPr>
            </w:pPr>
            <w:r w:rsidRPr="00D77A3C">
              <w:rPr>
                <w:b/>
              </w:rPr>
              <w:t>Final considerations and conclusions</w:t>
            </w:r>
          </w:p>
        </w:tc>
        <w:tc>
          <w:tcPr>
            <w:tcW w:w="2119" w:type="dxa"/>
            <w:tcBorders>
              <w:top w:val="single" w:sz="8" w:space="0" w:color="4E81BD"/>
              <w:left w:val="nil"/>
              <w:bottom w:val="single" w:sz="8" w:space="0" w:color="4E81BD"/>
            </w:tcBorders>
            <w:shd w:val="clear" w:color="auto" w:fill="FFFFFF"/>
          </w:tcPr>
          <w:p w14:paraId="0EFD7E03" w14:textId="77777777" w:rsidR="00D77A3C" w:rsidRDefault="00D77A3C" w:rsidP="00733878"/>
        </w:tc>
        <w:tc>
          <w:tcPr>
            <w:tcW w:w="1283" w:type="dxa"/>
            <w:tcBorders>
              <w:top w:val="single" w:sz="8" w:space="0" w:color="4E81BD"/>
              <w:bottom w:val="single" w:sz="8" w:space="0" w:color="4E81BD"/>
              <w:right w:val="single" w:sz="8" w:space="0" w:color="4E81BD"/>
            </w:tcBorders>
            <w:shd w:val="clear" w:color="auto" w:fill="FFFFFF"/>
          </w:tcPr>
          <w:p w14:paraId="2DD7E599" w14:textId="77777777" w:rsidR="00D77A3C" w:rsidRDefault="00D77A3C" w:rsidP="001B024E"/>
        </w:tc>
      </w:tr>
    </w:tbl>
    <w:p w14:paraId="5A8D7F09" w14:textId="77777777" w:rsidR="00A04811" w:rsidRDefault="00A04811"/>
    <w:sectPr w:rsidR="00A04811" w:rsidSect="001B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A03014D"/>
    <w:multiLevelType w:val="hybridMultilevel"/>
    <w:tmpl w:val="70EC2D8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4E"/>
    <w:rsid w:val="0010601E"/>
    <w:rsid w:val="001B024E"/>
    <w:rsid w:val="002F3383"/>
    <w:rsid w:val="00380F33"/>
    <w:rsid w:val="004C5124"/>
    <w:rsid w:val="004C5C7F"/>
    <w:rsid w:val="00733878"/>
    <w:rsid w:val="00737A2A"/>
    <w:rsid w:val="007E0171"/>
    <w:rsid w:val="007E2CDD"/>
    <w:rsid w:val="009143E5"/>
    <w:rsid w:val="00935D50"/>
    <w:rsid w:val="00A04811"/>
    <w:rsid w:val="00A96282"/>
    <w:rsid w:val="00B80E70"/>
    <w:rsid w:val="00C02BDE"/>
    <w:rsid w:val="00C5088D"/>
    <w:rsid w:val="00C74358"/>
    <w:rsid w:val="00C947DF"/>
    <w:rsid w:val="00D34B75"/>
    <w:rsid w:val="00D77A3C"/>
    <w:rsid w:val="00DC0AED"/>
    <w:rsid w:val="00DC31A1"/>
    <w:rsid w:val="00E30CDD"/>
    <w:rsid w:val="00EC54EC"/>
    <w:rsid w:val="00EC7942"/>
    <w:rsid w:val="00F75047"/>
    <w:rsid w:val="00F8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2A65E"/>
  <w14:defaultImageDpi w14:val="300"/>
  <w15:docId w15:val="{67E1C5CB-BE28-4752-8CDA-D11B85C9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0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Oberlin College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Moore</dc:creator>
  <cp:lastModifiedBy>Student</cp:lastModifiedBy>
  <cp:revision>2</cp:revision>
  <dcterms:created xsi:type="dcterms:W3CDTF">2018-05-27T03:30:00Z</dcterms:created>
  <dcterms:modified xsi:type="dcterms:W3CDTF">2018-05-27T03:30:00Z</dcterms:modified>
</cp:coreProperties>
</file>