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00000"/>
          <w:sz w:val="18"/>
        </w:rPr>
        <w:t>MKTG 411  |  INSTRUCTOR COPY</w:t>
      </w:r>
    </w:p>
    <w:p>
      <w:pPr>
        <w:pStyle w:val="Title"/>
      </w:pPr>
      <w:r>
        <w:t>Knowledge Check 1 Alternate</w:t>
      </w:r>
    </w:p>
    <w:p>
      <w:r>
        <w:rPr>
          <w:rFonts w:ascii="Calibri" w:hAnsi="Calibri"/>
          <w:b/>
          <w:color w:val="000000"/>
          <w:sz w:val="30"/>
        </w:rPr>
        <w:t>Answer Key</w:t>
      </w:r>
    </w:p>
    <w:p>
      <w:pPr>
        <w:spacing w:after="200"/>
      </w:pPr>
      <w:r>
        <w:rPr>
          <w:rFonts w:ascii="Calibri" w:hAnsi="Calibri"/>
          <w:color w:val="000000"/>
          <w:sz w:val="20"/>
        </w:rPr>
        <w:t>20 points total | One point per question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40"/>
        <w:gridCol w:w="1080"/>
        <w:gridCol w:w="7740"/>
      </w:tblGrid>
      <w:tr>
        <w:trPr>
          <w:tblHeader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Answer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Correct response and reason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Use evidence with business goals and judgment; analytics informs decisions.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Mail: 120 purchases at 20%. Email: 90 purchases at 30%.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Grouped mutate() retains all 240 rows and adds each channel mean.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pipe passes a result into the next function call.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 inner join keeps the 90 customers present in both tables.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histogram shows the distribution and unusually large order values.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observation is a store-month, as defined by the row structure.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Adding a 0/1 indicator counts the 65 rows coded 1.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Both filter conditions must be true for a row to remain.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mutate() adds the row-level revenue column without collapsing rows.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True. Unmatched left-table rows remain; right-table fields are missing.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count() counts orders by channel; desc(n) puts the largest count first.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 aesthetic maps segment values to point colors.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unnest_tokens() creates individual word tokens in the output column.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alpha changes transparency; it does not move or average observations.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Explicit factor levels define the category order used by the plot.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False. Use a month column and a sales column, with one row per store-month.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Filter to 2024, sum revenue by store, then select the largest total.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unite() combines month then year with the requested underscore separator.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ymd() matches the year-month-day order in the input.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1 Alternate - Key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1 Alternate - Instructor Key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