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595959"/>
          <w:sz w:val="18"/>
        </w:rPr>
        <w:t>MKTG 411  |  INSTRUCTOR COPY</w:t>
      </w:r>
    </w:p>
    <w:p>
      <w:pPr>
        <w:spacing w:after="80"/>
      </w:pPr>
      <w:r>
        <w:rPr>
          <w:rFonts w:ascii="Calibri" w:hAnsi="Calibri"/>
          <w:b/>
          <w:color w:val="1F1F1F"/>
          <w:sz w:val="44"/>
        </w:rPr>
        <w:t>Knowledge Check 1 - Answer Key</w:t>
      </w:r>
    </w:p>
    <w:p>
      <w:pPr>
        <w:spacing w:after="240"/>
      </w:pPr>
      <w:r>
        <w:rPr>
          <w:rFonts w:ascii="Calibri" w:hAnsi="Calibri"/>
          <w:i/>
          <w:color w:val="595959"/>
          <w:sz w:val="21"/>
        </w:rPr>
        <w:t>20 points total | One point per question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720"/>
        <w:gridCol w:w="1080"/>
        <w:gridCol w:w="7560"/>
      </w:tblGrid>
      <w:tr>
        <w:trPr>
          <w:tblHeader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#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Answer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F1F1F"/>
                <w:sz w:val="20"/>
              </w:rPr>
              <w:t>Correct response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B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inform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2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The West has the larger target audience; the South has the higher target-audience percentage.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3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B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Four rows, with one average income for each region.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4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C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#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5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Left join the activity table onto the customer table using `customer_id`.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6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B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Side-by-side boxplots of individual customer incomes by region.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7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observations, variables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8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C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An indicator of whether the customer has a college degree.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9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customer_data |&gt; filter(state == "New Mexico") |&gt; summarise(n = n())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10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select(customer_data, customer_id, region, income)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11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B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12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customer_data |&gt; count(region) |&gt; arrange(n)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13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C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data, aesthetics, geom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14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data |&gt; unnest_tokens(word, text)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15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C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geom_jitter()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16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As categories, using a character or factor column, because ZIP codes identify groups.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17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True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18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A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store_transactions |&gt; filter(year(transaction_date) == 2007) |&gt; count(customer_id, sort = TRUE) |&gt; slice_head(n = 1)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19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B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separate(location, city_state, c("city", "state"), sep = ",")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20</w:t>
            </w:r>
          </w:p>
        </w:tc>
        <w:tc>
          <w:tcPr>
            <w:tcW w:type="dxa" w:w="108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1F1F"/>
                <w:sz w:val="20"/>
              </w:rPr>
              <w:t>B</w:t>
            </w:r>
          </w:p>
        </w:tc>
        <w:tc>
          <w:tcPr>
            <w:tcW w:type="dxa" w:w="7560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F1F1F"/>
                <w:sz w:val="20"/>
              </w:rPr>
              <w:t>dmy()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6840"/>
      <w:gridCol w:w="2520"/>
    </w:tblGrid>
    <w:tr>
      <w:tc>
        <w:tcPr>
          <w:tcW w:type="dxa" w:w="684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</w:pPr>
          <w:r>
            <w:rPr>
              <w:rFonts w:ascii="Calibri" w:hAnsi="Calibri"/>
              <w:color w:val="595959"/>
              <w:sz w:val="18"/>
            </w:rPr>
            <w:t>MKTG 411  |  Knowledge Check 1 - Key</w:t>
          </w:r>
        </w:p>
      </w:tc>
      <w:tc>
        <w:tcPr>
          <w:tcW w:type="dxa" w:w="252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  <w:jc w:val="right"/>
          </w:pPr>
          <w:r>
            <w:rPr>
              <w:rFonts w:ascii="Calibri" w:hAnsi="Calibri"/>
              <w:color w:val="595959"/>
              <w:sz w:val="18"/>
            </w:rPr>
            <w:t xml:space="preserve">Page </w:t>
          </w:r>
          <w:r>
            <w:rPr>
              <w:rFonts w:ascii="Calibri" w:hAnsi="Calibri"/>
              <w:color w:val="595959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MKTG 411 Knowledge Check 1 - Instructor Key</dc:title>
  <dc:subject>Printable in-class knowledge check</dc:subject>
  <dc:creator>MKTG 411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