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B3C0" w14:textId="164BFC9D" w:rsidR="006E147D" w:rsidRDefault="006E147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Need to review: 2008, 2014, 2004, 2003</w:t>
      </w:r>
    </w:p>
    <w:p w14:paraId="503C685C" w14:textId="77777777" w:rsidR="006E147D" w:rsidRDefault="006E147D">
      <w:pPr>
        <w:rPr>
          <w:rFonts w:ascii="Cambria" w:hAnsi="Cambria"/>
          <w:b/>
          <w:bCs/>
          <w:sz w:val="24"/>
          <w:szCs w:val="24"/>
        </w:rPr>
      </w:pPr>
    </w:p>
    <w:p w14:paraId="1877F164" w14:textId="07868F84" w:rsidR="00A12376" w:rsidRDefault="003E5E26">
      <w:pPr>
        <w:rPr>
          <w:rFonts w:ascii="Cambria" w:hAnsi="Cambria"/>
          <w:b/>
          <w:bCs/>
          <w:sz w:val="24"/>
          <w:szCs w:val="24"/>
        </w:rPr>
      </w:pPr>
      <w:proofErr w:type="spellStart"/>
      <w:r>
        <w:rPr>
          <w:rFonts w:ascii="Cambria" w:hAnsi="Cambria"/>
          <w:b/>
          <w:bCs/>
          <w:sz w:val="24"/>
          <w:szCs w:val="24"/>
        </w:rPr>
        <w:t>Monreale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, A. &amp; </w:t>
      </w:r>
      <w:proofErr w:type="spellStart"/>
      <w:r>
        <w:rPr>
          <w:rFonts w:ascii="Cambria" w:hAnsi="Cambria"/>
          <w:b/>
          <w:bCs/>
          <w:sz w:val="24"/>
          <w:szCs w:val="24"/>
        </w:rPr>
        <w:t>Pellungrini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, R. (2023). A Survey on Privacy in Human Mobility. </w:t>
      </w:r>
      <w:r>
        <w:rPr>
          <w:rFonts w:ascii="Cambria" w:hAnsi="Cambria"/>
          <w:b/>
          <w:bCs/>
          <w:i/>
          <w:iCs/>
          <w:sz w:val="24"/>
          <w:szCs w:val="24"/>
        </w:rPr>
        <w:t>Transactions on Data Privacy</w:t>
      </w:r>
      <w:r>
        <w:rPr>
          <w:rFonts w:ascii="Cambria" w:hAnsi="Cambria"/>
          <w:b/>
          <w:bCs/>
          <w:sz w:val="24"/>
          <w:szCs w:val="24"/>
        </w:rPr>
        <w:t>, 16, pp. 51-82.</w:t>
      </w:r>
    </w:p>
    <w:p w14:paraId="1FE24604" w14:textId="46A4B84E" w:rsidR="003E5E26" w:rsidRDefault="003E5E26">
      <w:pPr>
        <w:rPr>
          <w:rFonts w:ascii="Cambria" w:hAnsi="Cambria"/>
          <w:b/>
          <w:bCs/>
          <w:sz w:val="24"/>
          <w:szCs w:val="24"/>
        </w:rPr>
      </w:pPr>
    </w:p>
    <w:p w14:paraId="0498DD3B" w14:textId="60FBEB5B" w:rsidR="003E5E26" w:rsidRDefault="003E5E26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Summary</w:t>
      </w:r>
    </w:p>
    <w:p w14:paraId="3B80DE4C" w14:textId="5C01FE98" w:rsidR="00EB5F07" w:rsidRDefault="00EB5F07" w:rsidP="00EB5F0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Describes the privacy attacks and privacy models considered for mobility data</w:t>
      </w:r>
      <w:r w:rsidR="00CD0E96">
        <w:rPr>
          <w:rFonts w:ascii="Cambria" w:hAnsi="Cambria"/>
          <w:sz w:val="24"/>
          <w:szCs w:val="24"/>
        </w:rPr>
        <w:t xml:space="preserve"> – privacy preserving trajectory data publishing</w:t>
      </w:r>
    </w:p>
    <w:p w14:paraId="0A7230A8" w14:textId="4893EBA1" w:rsidR="00EB5F07" w:rsidRDefault="00EB5F07" w:rsidP="00EB5F0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Present frameworks for privacy risk assessment</w:t>
      </w:r>
    </w:p>
    <w:p w14:paraId="6DC3573A" w14:textId="4E8C4C30" w:rsidR="00EB5F07" w:rsidRDefault="00EB5F07" w:rsidP="00EB5F0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Discuss three types of privacy preserving strategies</w:t>
      </w:r>
    </w:p>
    <w:p w14:paraId="7753A3AD" w14:textId="6341E607" w:rsidR="00EB5F07" w:rsidRDefault="00EB5F07" w:rsidP="00EB5F07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Anonymization</w:t>
      </w:r>
    </w:p>
    <w:p w14:paraId="1AFEAE17" w14:textId="1620047C" w:rsidR="00EB5F07" w:rsidRDefault="00EB5F07" w:rsidP="00EB5F07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Differential privacy</w:t>
      </w:r>
    </w:p>
    <w:p w14:paraId="6558BCBF" w14:textId="15BFC250" w:rsidR="00EB5F07" w:rsidRPr="00EB5F07" w:rsidRDefault="00EB5F07" w:rsidP="00EB5F07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Generative models</w:t>
      </w:r>
    </w:p>
    <w:p w14:paraId="75591BF8" w14:textId="7734E66E" w:rsidR="003E5E26" w:rsidRDefault="003E5E26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Conclusions</w:t>
      </w:r>
    </w:p>
    <w:p w14:paraId="43790DAF" w14:textId="71BC1263" w:rsidR="002D0C59" w:rsidRDefault="002D0C59" w:rsidP="002D0C5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Many privacy attacks studied in the literature assume a worst-case scenario, </w:t>
      </w:r>
      <w:r>
        <w:rPr>
          <w:rFonts w:ascii="Cambria" w:hAnsi="Cambria"/>
          <w:i/>
          <w:iCs/>
          <w:sz w:val="24"/>
          <w:szCs w:val="24"/>
        </w:rPr>
        <w:t>e.g.,</w:t>
      </w:r>
      <w:r>
        <w:rPr>
          <w:rFonts w:ascii="Cambria" w:hAnsi="Cambria"/>
          <w:sz w:val="24"/>
          <w:szCs w:val="24"/>
        </w:rPr>
        <w:t xml:space="preserve"> the adversary has knowledge that in practice would be very difficult to collect – protecting against the worst case leads to lower data utility</w:t>
      </w:r>
    </w:p>
    <w:p w14:paraId="56140AE0" w14:textId="59D8348A" w:rsidR="002D0C59" w:rsidRPr="00CD0E96" w:rsidRDefault="002D0C59" w:rsidP="00CD0E9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There should be a focus on realistic adversarial attacks</w:t>
      </w:r>
    </w:p>
    <w:p w14:paraId="36320DC8" w14:textId="566470C4" w:rsidR="003E5E26" w:rsidRDefault="003E5E26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Relevant Details</w:t>
      </w:r>
    </w:p>
    <w:p w14:paraId="6646F8DA" w14:textId="6912E277" w:rsidR="00CD0E96" w:rsidRDefault="00764C0F" w:rsidP="00CD0E9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Private trajectory data should still serve as a proxy for human behavior – destroying this makes the data useless</w:t>
      </w:r>
    </w:p>
    <w:p w14:paraId="1486E55C" w14:textId="7309D98F" w:rsidR="00C7290C" w:rsidRDefault="00C7290C" w:rsidP="00CD0E9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PRIVACY ATTACKS</w:t>
      </w:r>
    </w:p>
    <w:p w14:paraId="11B2D273" w14:textId="61D8EA54" w:rsidR="00764C0F" w:rsidRPr="00165489" w:rsidRDefault="00165489" w:rsidP="00C7290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Record Linkage Attacks</w:t>
      </w:r>
    </w:p>
    <w:p w14:paraId="59A2708E" w14:textId="29FC1958" w:rsidR="00165489" w:rsidRPr="00165489" w:rsidRDefault="00165489" w:rsidP="00C7290C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Background knowledge attacks</w:t>
      </w:r>
    </w:p>
    <w:p w14:paraId="64B45AE3" w14:textId="0B436361" w:rsidR="00165489" w:rsidRDefault="00165489" w:rsidP="00C7290C">
      <w:pPr>
        <w:pStyle w:val="ListParagraph"/>
        <w:numPr>
          <w:ilvl w:val="3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Adversary has some knowledge concerning the target individual</w:t>
      </w:r>
    </w:p>
    <w:p w14:paraId="334836F0" w14:textId="3218E500" w:rsidR="00165489" w:rsidRDefault="00165489" w:rsidP="00C7290C">
      <w:pPr>
        <w:pStyle w:val="ListParagraph"/>
        <w:numPr>
          <w:ilvl w:val="4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Generally some data related to the individual collected through observation or separate data sources</w:t>
      </w:r>
    </w:p>
    <w:p w14:paraId="0015F364" w14:textId="1B8C4A17" w:rsidR="00165489" w:rsidRDefault="00165489" w:rsidP="00C7290C">
      <w:pPr>
        <w:pStyle w:val="ListParagraph"/>
        <w:numPr>
          <w:ilvl w:val="3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Adversary’s goal is to match the data in their possession to the anonymized data corresponding to the individual of interest</w:t>
      </w:r>
    </w:p>
    <w:p w14:paraId="70030D60" w14:textId="58F07F54" w:rsidR="00165489" w:rsidRDefault="00165489" w:rsidP="00C7290C">
      <w:pPr>
        <w:pStyle w:val="ListParagraph"/>
        <w:numPr>
          <w:ilvl w:val="3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Background knowledge assumes the data of the adversary is present in the anonymized data, and the attack can be simulated using sub-sampling</w:t>
      </w:r>
    </w:p>
    <w:p w14:paraId="1D51AFFB" w14:textId="2516E8D0" w:rsidR="00165489" w:rsidRPr="00165489" w:rsidRDefault="00165489" w:rsidP="00C7290C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External or Separate Data base attacks</w:t>
      </w:r>
    </w:p>
    <w:p w14:paraId="7AEE3B7E" w14:textId="220B1716" w:rsidR="00165489" w:rsidRDefault="00165489" w:rsidP="00C7290C">
      <w:pPr>
        <w:pStyle w:val="ListParagraph"/>
        <w:numPr>
          <w:ilvl w:val="3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Adversary attempts to cross-reference information for the same individual stored in different databases</w:t>
      </w:r>
    </w:p>
    <w:p w14:paraId="1E81706D" w14:textId="034268CC" w:rsidR="00165489" w:rsidRDefault="00165489" w:rsidP="00C7290C">
      <w:pPr>
        <w:pStyle w:val="ListParagraph"/>
        <w:numPr>
          <w:ilvl w:val="3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Examples include background knowledge extracted from social graphs or performing distance based record linkage across data bases which is commonly used for database integration</w:t>
      </w:r>
    </w:p>
    <w:p w14:paraId="25BB1CCC" w14:textId="2151EA46" w:rsidR="00165489" w:rsidRPr="00165489" w:rsidRDefault="00165489" w:rsidP="00C7290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Attribute Linkage Attacks</w:t>
      </w:r>
    </w:p>
    <w:p w14:paraId="5E954DA7" w14:textId="7E11F552" w:rsidR="00165489" w:rsidRDefault="00165489" w:rsidP="00C7290C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Also known as homogeneity attacks, where background knowledge is linked on quasi-identifiers but homogeneity of sensitive attributes enables a privacy breach</w:t>
      </w:r>
    </w:p>
    <w:p w14:paraId="62ADD431" w14:textId="77777777" w:rsidR="00C7290C" w:rsidRDefault="0036466D" w:rsidP="00C7290C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 be used to infer sensitive locations or sensitive attributes associated with the trajectory</w:t>
      </w:r>
    </w:p>
    <w:p w14:paraId="49275E8E" w14:textId="7DE8AFD1" w:rsidR="0036466D" w:rsidRPr="00C7290C" w:rsidRDefault="0036466D" w:rsidP="00C7290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C7290C">
        <w:rPr>
          <w:rFonts w:ascii="Cambria" w:hAnsi="Cambria"/>
          <w:b/>
          <w:bCs/>
          <w:sz w:val="24"/>
          <w:szCs w:val="24"/>
        </w:rPr>
        <w:t>Probabilistic or Inference Attacks</w:t>
      </w:r>
    </w:p>
    <w:p w14:paraId="7190F7CC" w14:textId="6278C0F4" w:rsidR="0036466D" w:rsidRDefault="0036466D" w:rsidP="00C7290C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Adversary tries to increase knowledge by accessing the target data base</w:t>
      </w:r>
    </w:p>
    <w:p w14:paraId="4D8F4767" w14:textId="1C6AF630" w:rsidR="0036466D" w:rsidRDefault="0036466D" w:rsidP="00C7290C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Accessing the data base should not reveal too much additional information than what is already known by the adversary</w:t>
      </w:r>
    </w:p>
    <w:p w14:paraId="4E734B28" w14:textId="3F9F9A93" w:rsidR="0036466D" w:rsidRDefault="0036466D" w:rsidP="00C7290C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 be viewed as a generalization of the attribute linkage attack since it measures the increase in knowledge</w:t>
      </w:r>
    </w:p>
    <w:p w14:paraId="64DF905D" w14:textId="77777777" w:rsidR="0036466D" w:rsidRDefault="0036466D" w:rsidP="00C7290C">
      <w:pPr>
        <w:pStyle w:val="ListParagraph"/>
        <w:numPr>
          <w:ilvl w:val="3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Examples:</w:t>
      </w:r>
    </w:p>
    <w:p w14:paraId="68F9C06F" w14:textId="0EB585ED" w:rsidR="0036466D" w:rsidRDefault="0036466D" w:rsidP="00C7290C">
      <w:pPr>
        <w:pStyle w:val="ListParagraph"/>
        <w:numPr>
          <w:ilvl w:val="4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number of additional locations acquired after the attack</w:t>
      </w:r>
    </w:p>
    <w:p w14:paraId="266E6CC7" w14:textId="0DB7FFC4" w:rsidR="0036466D" w:rsidRDefault="0036466D" w:rsidP="00C7290C">
      <w:pPr>
        <w:pStyle w:val="ListParagraph"/>
        <w:numPr>
          <w:ilvl w:val="4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similarity attack – if there are three individuals with same trajectories and different stomach diseases, adversary can still infer the individual has a stomach related problem</w:t>
      </w:r>
    </w:p>
    <w:p w14:paraId="66DBCCFB" w14:textId="0CE949C0" w:rsidR="00AF06C3" w:rsidRDefault="00AF06C3" w:rsidP="00C7290C">
      <w:pPr>
        <w:pStyle w:val="ListParagraph"/>
        <w:numPr>
          <w:ilvl w:val="4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Semantic attack: infer information based on the frequency of visiting regions with a lot of POIs, e.g., health status based on visits to hospital/doctors</w:t>
      </w:r>
    </w:p>
    <w:p w14:paraId="284A9DFC" w14:textId="2FF38FDA" w:rsidR="00AF06C3" w:rsidRDefault="00AF06C3" w:rsidP="00C7290C">
      <w:pPr>
        <w:pStyle w:val="ListParagraph"/>
        <w:numPr>
          <w:ilvl w:val="4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Activity attack: adversary estimates the probability of an activity trajectory</w:t>
      </w:r>
    </w:p>
    <w:p w14:paraId="2DE25C2A" w14:textId="6B7584F4" w:rsidR="00677D78" w:rsidRDefault="00677D78" w:rsidP="00677D7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PRIVACY MODELS</w:t>
      </w:r>
    </w:p>
    <w:p w14:paraId="167A80F3" w14:textId="73CB3391" w:rsidR="00677D78" w:rsidRDefault="00677D78" w:rsidP="00677D78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K-anonymity is used to counter record linkage attacks</w:t>
      </w:r>
    </w:p>
    <w:p w14:paraId="5586464C" w14:textId="6AE19F55" w:rsidR="00385382" w:rsidRDefault="00385382" w:rsidP="00385382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One of the most extensively applied techniques to trajectory anonymity</w:t>
      </w:r>
    </w:p>
    <w:p w14:paraId="30B27376" w14:textId="795894BD" w:rsidR="00677D78" w:rsidRDefault="00677D78" w:rsidP="00677D78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Assumes that the attributes in a data set are divided into sensitive and quasi identifiers</w:t>
      </w:r>
    </w:p>
    <w:p w14:paraId="564F1284" w14:textId="0216BD7F" w:rsidR="00677D78" w:rsidRDefault="00677D78" w:rsidP="00677D78">
      <w:pPr>
        <w:pStyle w:val="ListParagraph"/>
        <w:numPr>
          <w:ilvl w:val="3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Sensitive attributes need to be protected</w:t>
      </w:r>
    </w:p>
    <w:p w14:paraId="3D7074A6" w14:textId="34DC9245" w:rsidR="00677D78" w:rsidRDefault="00677D78" w:rsidP="00677D78">
      <w:pPr>
        <w:pStyle w:val="ListParagraph"/>
        <w:numPr>
          <w:ilvl w:val="3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Quasi-identifiers make be linked to external information for a linking attack</w:t>
      </w:r>
    </w:p>
    <w:p w14:paraId="0CE43D02" w14:textId="43B343A5" w:rsidR="00677D78" w:rsidRDefault="00C74EC5" w:rsidP="00C74EC5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L-diversity provides (some) protection against attribute linking attacks</w:t>
      </w:r>
    </w:p>
    <w:p w14:paraId="4F36DB32" w14:textId="039E95EB" w:rsidR="00C74EC5" w:rsidRDefault="00C74EC5" w:rsidP="00C74EC5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Every equivalence class should contain at least L well represented values for a sensitive attribute</w:t>
      </w:r>
    </w:p>
    <w:p w14:paraId="75EA1A74" w14:textId="311C7D69" w:rsidR="00C74EC5" w:rsidRDefault="00C74EC5" w:rsidP="00C74EC5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T-closeness provides additional protection against attribute linkage attacks</w:t>
      </w:r>
    </w:p>
    <w:p w14:paraId="2D03E0F0" w14:textId="7548B46E" w:rsidR="00C74EC5" w:rsidRDefault="00C74EC5" w:rsidP="00C74EC5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The distance between the distributions of a sensitive attribute in an equivalence class and the entire data set must be bounded by a threshold t</w:t>
      </w:r>
    </w:p>
    <w:p w14:paraId="013EC7BE" w14:textId="3B688240" w:rsidR="00C74EC5" w:rsidRPr="007113DD" w:rsidRDefault="00385382" w:rsidP="00C74EC5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For trajectory data, splitting the data into quasi-identifiers and sensitive attributes does not work – locations can be both QIs and sensitive</w:t>
      </w:r>
    </w:p>
    <w:p w14:paraId="33599656" w14:textId="2ADC69AA" w:rsidR="007113DD" w:rsidRPr="007113DD" w:rsidRDefault="007113DD" w:rsidP="007113DD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There are many k-anonymity based approaches, we can refer the reader here</w:t>
      </w:r>
    </w:p>
    <w:p w14:paraId="64CE6C3B" w14:textId="7A364D8E" w:rsidR="007113DD" w:rsidRPr="007113DD" w:rsidRDefault="007113DD" w:rsidP="007113DD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Approaches Based on Sensitive Information</w:t>
      </w:r>
    </w:p>
    <w:p w14:paraId="104A2F09" w14:textId="5DCC858B" w:rsidR="007113DD" w:rsidRDefault="007113DD" w:rsidP="007113DD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Approaches are generally designed to counter two situations</w:t>
      </w:r>
      <w:r w:rsidR="00022F6A">
        <w:rPr>
          <w:rFonts w:ascii="Cambria" w:hAnsi="Cambria"/>
          <w:sz w:val="24"/>
          <w:szCs w:val="24"/>
        </w:rPr>
        <w:t>:</w:t>
      </w:r>
    </w:p>
    <w:p w14:paraId="0A2C0F86" w14:textId="55458DDD" w:rsidR="00022F6A" w:rsidRDefault="00022F6A" w:rsidP="00022F6A">
      <w:pPr>
        <w:pStyle w:val="ListParagraph"/>
        <w:numPr>
          <w:ilvl w:val="3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Protecting against inferring sensitive information associated with trajectories</w:t>
      </w:r>
    </w:p>
    <w:p w14:paraId="68604D5F" w14:textId="2A376375" w:rsidR="00022F6A" w:rsidRDefault="00022F6A" w:rsidP="00022F6A">
      <w:pPr>
        <w:pStyle w:val="ListParagraph"/>
        <w:numPr>
          <w:ilvl w:val="3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Protecting against inferring sensitive location data</w:t>
      </w:r>
    </w:p>
    <w:p w14:paraId="29EF38E7" w14:textId="7FE3D9BC" w:rsidR="00022F6A" w:rsidRPr="00CD0E96" w:rsidRDefault="00661969" w:rsidP="00022F6A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i/>
          <w:iCs/>
          <w:sz w:val="24"/>
          <w:szCs w:val="24"/>
        </w:rPr>
        <w:t>Need to choose to protect against reasonable inference, i.e., what is likely to be inferred by an adversary from this data set</w:t>
      </w:r>
    </w:p>
    <w:p w14:paraId="72B3D98B" w14:textId="36E7FAD9" w:rsidR="003E5E26" w:rsidRDefault="003E5E26">
      <w:pPr>
        <w:rPr>
          <w:rFonts w:ascii="Cambria" w:hAnsi="Cambria"/>
          <w:i/>
          <w:iCs/>
          <w:sz w:val="24"/>
          <w:szCs w:val="24"/>
        </w:rPr>
      </w:pPr>
    </w:p>
    <w:p w14:paraId="7C8F21FB" w14:textId="1A17A182" w:rsidR="00E809B6" w:rsidRDefault="00E809B6">
      <w:pPr>
        <w:rPr>
          <w:rFonts w:ascii="Cambria" w:hAnsi="Cambria"/>
          <w:i/>
          <w:iCs/>
          <w:sz w:val="24"/>
          <w:szCs w:val="24"/>
        </w:rPr>
      </w:pPr>
    </w:p>
    <w:p w14:paraId="179BAD81" w14:textId="4A5BE6F5" w:rsidR="00E809B6" w:rsidRDefault="00E809B6">
      <w:pPr>
        <w:rPr>
          <w:rFonts w:ascii="Cambria" w:hAnsi="Cambria"/>
          <w:i/>
          <w:iCs/>
          <w:sz w:val="24"/>
          <w:szCs w:val="24"/>
        </w:rPr>
      </w:pPr>
    </w:p>
    <w:p w14:paraId="6B814FE4" w14:textId="49E4F8C9" w:rsidR="00FF3215" w:rsidRDefault="009C5968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Skinner, C.J. &amp; Elliot, M.J. (2002). A Measure of Disclosure Risk for Microdata. </w:t>
      </w:r>
      <w:r>
        <w:rPr>
          <w:rFonts w:ascii="Cambria" w:hAnsi="Cambria"/>
          <w:b/>
          <w:bCs/>
          <w:i/>
          <w:iCs/>
          <w:sz w:val="24"/>
          <w:szCs w:val="24"/>
        </w:rPr>
        <w:t>J.R. Statist. Soc. B</w:t>
      </w:r>
      <w:r>
        <w:rPr>
          <w:rFonts w:ascii="Cambria" w:hAnsi="Cambria"/>
          <w:b/>
          <w:bCs/>
          <w:sz w:val="24"/>
          <w:szCs w:val="24"/>
        </w:rPr>
        <w:t>, 64, part 4, pp. 855-867.</w:t>
      </w:r>
    </w:p>
    <w:p w14:paraId="70291726" w14:textId="736A0EBA" w:rsidR="009C5968" w:rsidRDefault="009C5968">
      <w:pPr>
        <w:rPr>
          <w:rFonts w:ascii="Cambria" w:hAnsi="Cambria"/>
          <w:b/>
          <w:bCs/>
          <w:sz w:val="24"/>
          <w:szCs w:val="24"/>
        </w:rPr>
      </w:pPr>
    </w:p>
    <w:p w14:paraId="46C3F493" w14:textId="43B4C1CB" w:rsidR="009C5968" w:rsidRDefault="009C5968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Summary</w:t>
      </w:r>
    </w:p>
    <w:p w14:paraId="087B5567" w14:textId="3442B249" w:rsidR="009C5968" w:rsidRPr="009C5968" w:rsidRDefault="009C5968" w:rsidP="009C596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Propose a measure of disclosure risk based on the probability that a unique match between a microdata record and a population unit is correct</w:t>
      </w:r>
    </w:p>
    <w:p w14:paraId="1ABB5B7E" w14:textId="6D435D60" w:rsidR="009C5968" w:rsidRDefault="009C5968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Conclusions</w:t>
      </w:r>
    </w:p>
    <w:p w14:paraId="4C6229E7" w14:textId="37C998EC" w:rsidR="009C5968" w:rsidRDefault="009C5968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Relevant Details</w:t>
      </w:r>
    </w:p>
    <w:p w14:paraId="4FD37CC4" w14:textId="04520DB2" w:rsidR="005E76ED" w:rsidRPr="005E76ED" w:rsidRDefault="005E76ED" w:rsidP="005E76ED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Population Uniqueness </w:t>
      </w:r>
      <m:oMath>
        <m:r>
          <w:rPr>
            <w:rFonts w:ascii="Cambria Math" w:hAnsi="Cambria Math"/>
            <w:sz w:val="24"/>
            <w:szCs w:val="24"/>
          </w:rPr>
          <m:t>Pr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PU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N</m:t>
        </m:r>
      </m:oMath>
    </w:p>
    <w:p w14:paraId="090C6F6F" w14:textId="14F89158" w:rsidR="005E76ED" w:rsidRDefault="00000000" w:rsidP="005E76ED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="005E76ED">
        <w:rPr>
          <w:rFonts w:ascii="Cambria" w:eastAsiaTheme="minorEastAsia" w:hAnsi="Cambria"/>
          <w:sz w:val="24"/>
          <w:szCs w:val="24"/>
        </w:rPr>
        <w:t xml:space="preserve"> = the proportion of units in the population which are population unique</w:t>
      </w:r>
    </w:p>
    <w:p w14:paraId="0EC8FA03" w14:textId="274A9A77" w:rsidR="005E76ED" w:rsidRDefault="005E76ED" w:rsidP="005E76ED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If an adversary can link an population unique unit to the microdata sample they would know that the match was correct</w:t>
      </w:r>
    </w:p>
    <w:p w14:paraId="20E0F2AF" w14:textId="248271BD" w:rsidR="005E76ED" w:rsidRDefault="005E76ED" w:rsidP="005E76ED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This is the probability that a unit is population unique when the intruder draws the target unit at random from the population</w:t>
      </w:r>
    </w:p>
    <w:p w14:paraId="3B523202" w14:textId="03CF5301" w:rsidR="005E76ED" w:rsidRPr="005E76ED" w:rsidRDefault="005E76ED" w:rsidP="005E76ED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Population and Sample Uniqueness </w:t>
      </w:r>
      <m:oMath>
        <m:r>
          <w:rPr>
            <w:rFonts w:ascii="Cambria Math" w:eastAsiaTheme="minorEastAsia" w:hAnsi="Cambria Math"/>
            <w:sz w:val="24"/>
            <w:szCs w:val="24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PU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SU</m:t>
            </m:r>
          </m:e>
        </m:d>
      </m:oMath>
    </w:p>
    <w:p w14:paraId="43B006AF" w14:textId="4F9C1A54" w:rsidR="005E76ED" w:rsidRDefault="005E76ED" w:rsidP="005E76ED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The probability that a sample unique unit is population unique when an adversary draws the unit at random from the sample unique units</w:t>
      </w:r>
    </w:p>
    <w:p w14:paraId="32AAE6A0" w14:textId="584A7F1F" w:rsidR="005E76ED" w:rsidRPr="005E76ED" w:rsidRDefault="005E76ED" w:rsidP="005E76ED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>Proposed measure</w:t>
      </w:r>
    </w:p>
    <w:p w14:paraId="3CFB9EA8" w14:textId="43A8F692" w:rsidR="005E76ED" w:rsidRDefault="005E76ED" w:rsidP="005E76ED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36"/>
          <w:szCs w:val="36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w:lastRenderedPageBreak/>
          <m:t>θ</m:t>
        </m:r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ub>
              <m:sup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up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=1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ub>
              <m:sup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=1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en>
        </m:f>
      </m:oMath>
    </w:p>
    <w:p w14:paraId="44082611" w14:textId="18AB2932" w:rsidR="005E76ED" w:rsidRDefault="005E76ED" w:rsidP="005E76ED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Interpreted as the probability that a unique match between the population and sample will be correct</w:t>
      </w:r>
    </w:p>
    <w:p w14:paraId="7958325C" w14:textId="3BAB139D" w:rsidR="005E76ED" w:rsidRDefault="005E76ED" w:rsidP="005E76ED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Denominator: the number of possible chosen units (from population) for which a unique match will exist</w:t>
      </w:r>
    </w:p>
    <w:p w14:paraId="2D1C51FE" w14:textId="0CD9EB05" w:rsidR="00694C4C" w:rsidRDefault="00694C4C" w:rsidP="005E76ED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Numerator: the number of these units for which the match is correct (for attribute combination j)</w:t>
      </w:r>
    </w:p>
    <w:p w14:paraId="1F19D631" w14:textId="52BA5031" w:rsidR="00694C4C" w:rsidRPr="00694C4C" w:rsidRDefault="00694C4C" w:rsidP="005E76ED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=Pr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correct  match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unique  match</m:t>
            </m:r>
          </m:e>
        </m:d>
      </m:oMath>
    </w:p>
    <w:p w14:paraId="35EB0228" w14:textId="3D3B566B" w:rsidR="00694C4C" w:rsidRPr="00A82A9B" w:rsidRDefault="00876985" w:rsidP="00876985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 xml:space="preserve">This relates to both singling out and </w:t>
      </w:r>
      <w:proofErr w:type="spellStart"/>
      <w:r>
        <w:rPr>
          <w:rFonts w:ascii="Cambria" w:eastAsiaTheme="minorEastAsia" w:hAnsi="Cambria"/>
          <w:b/>
          <w:bCs/>
          <w:sz w:val="24"/>
          <w:szCs w:val="24"/>
        </w:rPr>
        <w:t>linkability</w:t>
      </w:r>
      <w:proofErr w:type="spellEnd"/>
      <w:r>
        <w:rPr>
          <w:rFonts w:ascii="Cambria" w:eastAsiaTheme="minorEastAsia" w:hAnsi="Cambria"/>
          <w:b/>
          <w:bCs/>
          <w:sz w:val="24"/>
          <w:szCs w:val="24"/>
        </w:rPr>
        <w:t>. Singling out is concerned with whether the record is sample unique. If we have a sample unique record then we could still have a many-to-one linkage if there are multiple matching population records – however we won’t know this for sure</w:t>
      </w:r>
      <w:r w:rsidR="00E97C0D">
        <w:rPr>
          <w:rFonts w:ascii="Cambria" w:eastAsiaTheme="minorEastAsia" w:hAnsi="Cambria"/>
          <w:b/>
          <w:bCs/>
          <w:sz w:val="24"/>
          <w:szCs w:val="24"/>
        </w:rPr>
        <w:t xml:space="preserve"> – and, it is impossible to enumerate all combinations of identifying attributes – it is likely that with a few locations everyone is population unique</w:t>
      </w:r>
    </w:p>
    <w:p w14:paraId="286F2176" w14:textId="3E9E9B90" w:rsidR="00A82A9B" w:rsidRDefault="00A82A9B" w:rsidP="00A82A9B">
      <w:pPr>
        <w:rPr>
          <w:rFonts w:ascii="Cambria" w:eastAsiaTheme="minorEastAsia" w:hAnsi="Cambria"/>
          <w:sz w:val="24"/>
          <w:szCs w:val="24"/>
        </w:rPr>
      </w:pPr>
    </w:p>
    <w:p w14:paraId="65C2C791" w14:textId="00D66333" w:rsidR="00A82A9B" w:rsidRDefault="00A82A9B" w:rsidP="00A82A9B">
      <w:pPr>
        <w:rPr>
          <w:rFonts w:ascii="Cambria" w:eastAsiaTheme="minorEastAsia" w:hAnsi="Cambria"/>
          <w:sz w:val="24"/>
          <w:szCs w:val="24"/>
        </w:rPr>
      </w:pPr>
    </w:p>
    <w:p w14:paraId="3BA83DFF" w14:textId="405F2865" w:rsidR="00B7464D" w:rsidRDefault="00B7464D" w:rsidP="00A82A9B">
      <w:pPr>
        <w:rPr>
          <w:rFonts w:ascii="Cambria" w:eastAsiaTheme="minorEastAsia" w:hAnsi="Cambria"/>
          <w:sz w:val="24"/>
          <w:szCs w:val="24"/>
        </w:rPr>
      </w:pPr>
    </w:p>
    <w:p w14:paraId="1D9D77F2" w14:textId="10B2BF89" w:rsidR="00B7464D" w:rsidRDefault="00B7464D" w:rsidP="00A82A9B">
      <w:pPr>
        <w:rPr>
          <w:rFonts w:ascii="Cambria" w:eastAsiaTheme="minorEastAsia" w:hAnsi="Cambria"/>
          <w:b/>
          <w:bCs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 xml:space="preserve">Domingo-Ferrer, J. &amp; </w:t>
      </w:r>
      <w:proofErr w:type="spellStart"/>
      <w:r>
        <w:rPr>
          <w:rFonts w:ascii="Cambria" w:eastAsiaTheme="minorEastAsia" w:hAnsi="Cambria"/>
          <w:b/>
          <w:bCs/>
          <w:sz w:val="24"/>
          <w:szCs w:val="24"/>
        </w:rPr>
        <w:t>Torra</w:t>
      </w:r>
      <w:proofErr w:type="spellEnd"/>
      <w:r>
        <w:rPr>
          <w:rFonts w:ascii="Cambria" w:eastAsiaTheme="minorEastAsia" w:hAnsi="Cambria"/>
          <w:b/>
          <w:bCs/>
          <w:sz w:val="24"/>
          <w:szCs w:val="24"/>
        </w:rPr>
        <w:t xml:space="preserve">, V. (2003). Disclosure Risk Assessment in Statistical Microdata Protection via Advanced Record Linkage. </w:t>
      </w:r>
      <w:r>
        <w:rPr>
          <w:rFonts w:ascii="Cambria" w:eastAsiaTheme="minorEastAsia" w:hAnsi="Cambria"/>
          <w:b/>
          <w:bCs/>
          <w:i/>
          <w:iCs/>
          <w:sz w:val="24"/>
          <w:szCs w:val="24"/>
        </w:rPr>
        <w:t xml:space="preserve">Statistics and Computing, </w:t>
      </w:r>
      <w:r>
        <w:rPr>
          <w:rFonts w:ascii="Cambria" w:eastAsiaTheme="minorEastAsia" w:hAnsi="Cambria"/>
          <w:b/>
          <w:bCs/>
          <w:sz w:val="24"/>
          <w:szCs w:val="24"/>
        </w:rPr>
        <w:t>13, pp. 343-354.</w:t>
      </w:r>
    </w:p>
    <w:p w14:paraId="346AB3D3" w14:textId="7C81834F" w:rsidR="00B7464D" w:rsidRDefault="00B7464D" w:rsidP="00A82A9B">
      <w:pPr>
        <w:rPr>
          <w:rFonts w:ascii="Cambria" w:eastAsiaTheme="minorEastAsia" w:hAnsi="Cambria"/>
          <w:b/>
          <w:bCs/>
          <w:sz w:val="24"/>
          <w:szCs w:val="24"/>
        </w:rPr>
      </w:pPr>
    </w:p>
    <w:p w14:paraId="0F976FDA" w14:textId="3208C92E" w:rsidR="00B7464D" w:rsidRDefault="00B7464D" w:rsidP="00A82A9B">
      <w:pPr>
        <w:rPr>
          <w:rFonts w:ascii="Cambria" w:eastAsiaTheme="minorEastAsia" w:hAnsi="Cambria"/>
          <w:i/>
          <w:iCs/>
          <w:sz w:val="24"/>
          <w:szCs w:val="24"/>
        </w:rPr>
      </w:pPr>
      <w:r>
        <w:rPr>
          <w:rFonts w:ascii="Cambria" w:eastAsiaTheme="minorEastAsia" w:hAnsi="Cambria"/>
          <w:i/>
          <w:iCs/>
          <w:sz w:val="24"/>
          <w:szCs w:val="24"/>
        </w:rPr>
        <w:t>Summary</w:t>
      </w:r>
    </w:p>
    <w:p w14:paraId="161AA97A" w14:textId="73A6596B" w:rsidR="00B7464D" w:rsidRDefault="00B7464D" w:rsidP="00B7464D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One form of empirical disclosure risk assessment examines record linkage</w:t>
      </w:r>
    </w:p>
    <w:p w14:paraId="4FC14FE9" w14:textId="2FA46736" w:rsidR="00B7464D" w:rsidRPr="00B7464D" w:rsidRDefault="00B7464D" w:rsidP="00B7464D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This paper reviews record linkage and shows that it is still possible even without shared variables between data sets</w:t>
      </w:r>
    </w:p>
    <w:p w14:paraId="062CD0A2" w14:textId="3019A178" w:rsidR="00B7464D" w:rsidRDefault="00B7464D" w:rsidP="00A82A9B">
      <w:pPr>
        <w:rPr>
          <w:rFonts w:ascii="Cambria" w:eastAsiaTheme="minorEastAsia" w:hAnsi="Cambria"/>
          <w:i/>
          <w:iCs/>
          <w:sz w:val="24"/>
          <w:szCs w:val="24"/>
        </w:rPr>
      </w:pPr>
      <w:r>
        <w:rPr>
          <w:rFonts w:ascii="Cambria" w:eastAsiaTheme="minorEastAsia" w:hAnsi="Cambria"/>
          <w:i/>
          <w:iCs/>
          <w:sz w:val="24"/>
          <w:szCs w:val="24"/>
        </w:rPr>
        <w:t>Conclusions</w:t>
      </w:r>
    </w:p>
    <w:p w14:paraId="62543EA6" w14:textId="40F5BB82" w:rsidR="00B7464D" w:rsidRDefault="00B7464D" w:rsidP="00A82A9B">
      <w:pPr>
        <w:rPr>
          <w:rFonts w:ascii="Cambria" w:eastAsiaTheme="minorEastAsia" w:hAnsi="Cambria"/>
          <w:i/>
          <w:iCs/>
          <w:sz w:val="24"/>
          <w:szCs w:val="24"/>
        </w:rPr>
      </w:pPr>
      <w:r>
        <w:rPr>
          <w:rFonts w:ascii="Cambria" w:eastAsiaTheme="minorEastAsia" w:hAnsi="Cambria"/>
          <w:i/>
          <w:iCs/>
          <w:sz w:val="24"/>
          <w:szCs w:val="24"/>
        </w:rPr>
        <w:t>Relevant Details</w:t>
      </w:r>
    </w:p>
    <w:p w14:paraId="2E274EB5" w14:textId="716971CC" w:rsidR="0064114C" w:rsidRPr="0064114C" w:rsidRDefault="0064114C" w:rsidP="0064114C">
      <w:pPr>
        <w:pStyle w:val="ListParagraph"/>
        <w:numPr>
          <w:ilvl w:val="0"/>
          <w:numId w:val="1"/>
        </w:numPr>
        <w:rPr>
          <w:rFonts w:ascii="Cambria" w:eastAsiaTheme="minorEastAsia" w:hAnsi="Cambria"/>
          <w:i/>
          <w:iCs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>Authors assume two data sets corresponding to the same n individuals</w:t>
      </w:r>
    </w:p>
    <w:p w14:paraId="0C9C8607" w14:textId="3E0AF002" w:rsidR="00B7464D" w:rsidRDefault="00B7464D" w:rsidP="00B7464D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Traditional record linkage techniques assume a set of common variables between data sets</w:t>
      </w:r>
    </w:p>
    <w:p w14:paraId="44A6622E" w14:textId="01C00455" w:rsidR="00B7464D" w:rsidRDefault="0064114C" w:rsidP="00B7464D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The problem is that true matches often contain errors between the shared variables (e.g., measurement error)</w:t>
      </w:r>
    </w:p>
    <w:p w14:paraId="3E72F19E" w14:textId="5D96380B" w:rsidR="0064114C" w:rsidRDefault="0064114C" w:rsidP="00B7464D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Four linkage situations exist:</w:t>
      </w:r>
    </w:p>
    <w:p w14:paraId="66F0F548" w14:textId="74841BBA" w:rsidR="0064114C" w:rsidRDefault="0064114C" w:rsidP="0064114C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Same variables, same terms</w:t>
      </w:r>
    </w:p>
    <w:p w14:paraId="479875EB" w14:textId="1E2D9D77" w:rsidR="0064114C" w:rsidRDefault="0064114C" w:rsidP="0064114C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Same variables, different terms</w:t>
      </w:r>
    </w:p>
    <w:p w14:paraId="56FE98F9" w14:textId="282D8C4D" w:rsidR="0064114C" w:rsidRDefault="0064114C" w:rsidP="0064114C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lastRenderedPageBreak/>
        <w:t>Different variables, same terms</w:t>
      </w:r>
    </w:p>
    <w:p w14:paraId="766C3CA9" w14:textId="05A25DA3" w:rsidR="0064114C" w:rsidRDefault="0064114C" w:rsidP="0064114C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different variables, different terms</w:t>
      </w:r>
    </w:p>
    <w:p w14:paraId="40EEE93E" w14:textId="6826A427" w:rsidR="0064114C" w:rsidRPr="0064114C" w:rsidRDefault="0064114C" w:rsidP="0064114C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>How is record linkage performed?</w:t>
      </w:r>
    </w:p>
    <w:p w14:paraId="2D74610F" w14:textId="151AD1F7" w:rsidR="0064114C" w:rsidRDefault="0064114C" w:rsidP="0064114C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Benchmark methods</w:t>
      </w:r>
    </w:p>
    <w:p w14:paraId="521C4ED7" w14:textId="0B6D2F23" w:rsidR="0064114C" w:rsidRDefault="0064114C" w:rsidP="0064114C">
      <w:pPr>
        <w:pStyle w:val="ListParagraph"/>
        <w:numPr>
          <w:ilvl w:val="2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Random permutation</w:t>
      </w:r>
    </w:p>
    <w:p w14:paraId="76B61466" w14:textId="4D7B3A3F" w:rsidR="0064114C" w:rsidRDefault="0064114C" w:rsidP="0064114C">
      <w:pPr>
        <w:pStyle w:val="ListParagraph"/>
        <w:numPr>
          <w:ilvl w:val="2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Ranking based on a single dimensions (principal component, sum of z-scores)</w:t>
      </w:r>
    </w:p>
    <w:p w14:paraId="0B76651F" w14:textId="5E438BDE" w:rsidR="0064114C" w:rsidRDefault="004D6222" w:rsidP="0064114C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Commonly Used Methods</w:t>
      </w:r>
    </w:p>
    <w:p w14:paraId="6059A188" w14:textId="52508BF0" w:rsidR="004D6222" w:rsidRDefault="004D6222" w:rsidP="004D6222">
      <w:pPr>
        <w:pStyle w:val="ListParagraph"/>
        <w:numPr>
          <w:ilvl w:val="2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Probabilistic record linkage</w:t>
      </w:r>
    </w:p>
    <w:p w14:paraId="7B98CF70" w14:textId="072F8BF9" w:rsidR="004D6222" w:rsidRDefault="004D6222" w:rsidP="004D6222">
      <w:pPr>
        <w:pStyle w:val="ListParagraph"/>
        <w:numPr>
          <w:ilvl w:val="2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Distance based record linkage</w:t>
      </w:r>
    </w:p>
    <w:p w14:paraId="46198E79" w14:textId="20CF201B" w:rsidR="004D6222" w:rsidRPr="004D6222" w:rsidRDefault="004D6222" w:rsidP="004D6222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 xml:space="preserve">How do we justify our approach? Can we say that no matter the record linkage method performed, having at least </w:t>
      </w:r>
      <w:r>
        <w:rPr>
          <w:rFonts w:ascii="Cambria" w:eastAsiaTheme="minorEastAsia" w:hAnsi="Cambria"/>
          <w:b/>
          <w:bCs/>
          <w:i/>
          <w:iCs/>
          <w:sz w:val="24"/>
          <w:szCs w:val="24"/>
        </w:rPr>
        <w:t>k</w:t>
      </w:r>
      <w:r>
        <w:rPr>
          <w:rFonts w:ascii="Cambria" w:eastAsiaTheme="minorEastAsia" w:hAnsi="Cambria"/>
          <w:b/>
          <w:bCs/>
          <w:sz w:val="24"/>
          <w:szCs w:val="24"/>
        </w:rPr>
        <w:t xml:space="preserve"> individuals in an equivalence class means an external record is tied to at least </w:t>
      </w:r>
      <w:r>
        <w:rPr>
          <w:rFonts w:ascii="Cambria" w:eastAsiaTheme="minorEastAsia" w:hAnsi="Cambria"/>
          <w:b/>
          <w:bCs/>
          <w:i/>
          <w:iCs/>
          <w:sz w:val="24"/>
          <w:szCs w:val="24"/>
        </w:rPr>
        <w:t>k</w:t>
      </w:r>
      <w:r>
        <w:rPr>
          <w:rFonts w:ascii="Cambria" w:eastAsiaTheme="minorEastAsia" w:hAnsi="Cambria"/>
          <w:b/>
          <w:bCs/>
          <w:sz w:val="24"/>
          <w:szCs w:val="24"/>
        </w:rPr>
        <w:t xml:space="preserve"> records in the anonymized data?</w:t>
      </w:r>
    </w:p>
    <w:p w14:paraId="450F6C52" w14:textId="1D6D3D83" w:rsidR="004D6222" w:rsidRDefault="00A10907" w:rsidP="004D6222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Group-level vs. record-level reidentification</w:t>
      </w:r>
    </w:p>
    <w:p w14:paraId="3ED75B72" w14:textId="7CA58106" w:rsidR="00A10907" w:rsidRDefault="00A10907" w:rsidP="00A10907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The proposed approach based on clustering is meant for group-level reidentification: a mapping between groups of records between data sets</w:t>
      </w:r>
    </w:p>
    <w:p w14:paraId="7453AFF9" w14:textId="37BECA5F" w:rsidR="00A10907" w:rsidRDefault="00A10907" w:rsidP="00A10907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If a group contains a single record the approach may produce a many-to-one or a few-to-one linkage</w:t>
      </w:r>
    </w:p>
    <w:p w14:paraId="2D6679B3" w14:textId="7B780DCF" w:rsidR="00A10907" w:rsidRDefault="00A10907" w:rsidP="00A10907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Outliers are most likely to result in one-to-one linkage</w:t>
      </w:r>
    </w:p>
    <w:p w14:paraId="47B6AD9E" w14:textId="594692ED" w:rsidR="00AF6F77" w:rsidRPr="00AF6F77" w:rsidRDefault="00AF6F77" w:rsidP="00AF6F77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>Empirical Results</w:t>
      </w:r>
    </w:p>
    <w:p w14:paraId="037F713B" w14:textId="5176F0B1" w:rsidR="00AF6F77" w:rsidRDefault="00AF6F77" w:rsidP="00AF6F77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29/90 correct group-level reidentifications, 24 of which are record level (a single record in one data set) – 26.6% of record-level re-identifications are correct</w:t>
      </w:r>
    </w:p>
    <w:p w14:paraId="5AFC9156" w14:textId="38B8CAD8" w:rsidR="00AF6F77" w:rsidRDefault="00AF6F77" w:rsidP="00AF6F77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Benchmark one dimensional rankings correctly re-identified 5.5%</w:t>
      </w:r>
    </w:p>
    <w:p w14:paraId="244AA0AE" w14:textId="2CBEC4C7" w:rsidR="00AF6F77" w:rsidRPr="00A10907" w:rsidRDefault="00AF6F77" w:rsidP="00AF6F77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Permutation approach was negligible</w:t>
      </w:r>
    </w:p>
    <w:p w14:paraId="69B2E3BC" w14:textId="0ED79EB5" w:rsidR="00B7464D" w:rsidRDefault="00B7464D" w:rsidP="00A82A9B">
      <w:pPr>
        <w:rPr>
          <w:rFonts w:ascii="Cambria" w:eastAsiaTheme="minorEastAsia" w:hAnsi="Cambria"/>
          <w:sz w:val="24"/>
          <w:szCs w:val="24"/>
        </w:rPr>
      </w:pPr>
    </w:p>
    <w:p w14:paraId="00F03F74" w14:textId="1BBEF360" w:rsidR="00B7464D" w:rsidRDefault="00B7464D" w:rsidP="00A82A9B">
      <w:pPr>
        <w:rPr>
          <w:rFonts w:ascii="Cambria" w:eastAsiaTheme="minorEastAsia" w:hAnsi="Cambria"/>
          <w:sz w:val="24"/>
          <w:szCs w:val="24"/>
        </w:rPr>
      </w:pPr>
    </w:p>
    <w:p w14:paraId="078B6021" w14:textId="08F37E16" w:rsidR="00B7464D" w:rsidRDefault="00B7464D" w:rsidP="00A82A9B">
      <w:pPr>
        <w:rPr>
          <w:rFonts w:ascii="Cambria" w:eastAsiaTheme="minorEastAsia" w:hAnsi="Cambria"/>
          <w:sz w:val="24"/>
          <w:szCs w:val="24"/>
        </w:rPr>
      </w:pPr>
    </w:p>
    <w:p w14:paraId="0038D4A5" w14:textId="71A2863C" w:rsidR="00B7464D" w:rsidRDefault="00AF6F77" w:rsidP="00A82A9B">
      <w:pPr>
        <w:rPr>
          <w:rFonts w:ascii="Cambria" w:eastAsiaTheme="minorEastAsia" w:hAnsi="Cambria"/>
          <w:b/>
          <w:bCs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 xml:space="preserve">Domingo-Ferrer, J. &amp; </w:t>
      </w:r>
      <w:proofErr w:type="spellStart"/>
      <w:r>
        <w:rPr>
          <w:rFonts w:ascii="Cambria" w:eastAsiaTheme="minorEastAsia" w:hAnsi="Cambria"/>
          <w:b/>
          <w:bCs/>
          <w:sz w:val="24"/>
          <w:szCs w:val="24"/>
        </w:rPr>
        <w:t>Torra</w:t>
      </w:r>
      <w:proofErr w:type="spellEnd"/>
      <w:r>
        <w:rPr>
          <w:rFonts w:ascii="Cambria" w:eastAsiaTheme="minorEastAsia" w:hAnsi="Cambria"/>
          <w:b/>
          <w:bCs/>
          <w:sz w:val="24"/>
          <w:szCs w:val="24"/>
        </w:rPr>
        <w:t xml:space="preserve">, V. (2004). Disclosure risk assessment in statistical data protection. </w:t>
      </w:r>
      <w:r>
        <w:rPr>
          <w:rFonts w:ascii="Cambria" w:eastAsiaTheme="minorEastAsia" w:hAnsi="Cambria"/>
          <w:b/>
          <w:bCs/>
          <w:i/>
          <w:iCs/>
          <w:sz w:val="24"/>
          <w:szCs w:val="24"/>
        </w:rPr>
        <w:t>Journal of Computational and Applied Mathematics</w:t>
      </w:r>
      <w:r w:rsidR="00D0293C">
        <w:rPr>
          <w:rFonts w:ascii="Cambria" w:eastAsiaTheme="minorEastAsia" w:hAnsi="Cambria"/>
          <w:b/>
          <w:bCs/>
          <w:sz w:val="24"/>
          <w:szCs w:val="24"/>
        </w:rPr>
        <w:t>, 164-165, pp. 285-293.</w:t>
      </w:r>
    </w:p>
    <w:p w14:paraId="0304B1B3" w14:textId="6621C3EA" w:rsidR="00D0293C" w:rsidRDefault="00D0293C" w:rsidP="00A82A9B">
      <w:pPr>
        <w:rPr>
          <w:rFonts w:ascii="Cambria" w:eastAsiaTheme="minorEastAsia" w:hAnsi="Cambria"/>
          <w:b/>
          <w:bCs/>
          <w:sz w:val="24"/>
          <w:szCs w:val="24"/>
        </w:rPr>
      </w:pPr>
    </w:p>
    <w:p w14:paraId="3865E870" w14:textId="708EED2A" w:rsidR="00D0293C" w:rsidRDefault="00D0293C" w:rsidP="00A82A9B">
      <w:pPr>
        <w:rPr>
          <w:rFonts w:ascii="Cambria" w:eastAsiaTheme="minorEastAsia" w:hAnsi="Cambria"/>
          <w:i/>
          <w:iCs/>
          <w:sz w:val="24"/>
          <w:szCs w:val="24"/>
        </w:rPr>
      </w:pPr>
      <w:r>
        <w:rPr>
          <w:rFonts w:ascii="Cambria" w:eastAsiaTheme="minorEastAsia" w:hAnsi="Cambria"/>
          <w:i/>
          <w:iCs/>
          <w:sz w:val="24"/>
          <w:szCs w:val="24"/>
        </w:rPr>
        <w:t>Summary</w:t>
      </w:r>
    </w:p>
    <w:p w14:paraId="00271B78" w14:textId="532E9643" w:rsidR="0089334E" w:rsidRDefault="0089334E" w:rsidP="0089334E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Propose a unified approach to measuring disclosure risk for micro data using record linkage</w:t>
      </w:r>
    </w:p>
    <w:p w14:paraId="0D02EA1C" w14:textId="136D2875" w:rsidR="0089334E" w:rsidRPr="0089334E" w:rsidRDefault="0089334E" w:rsidP="0089334E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Shows that the most widely used rule for disclosure risk assessment in tabular data is flawed</w:t>
      </w:r>
    </w:p>
    <w:p w14:paraId="787CBA23" w14:textId="63FDBE2F" w:rsidR="0089334E" w:rsidRDefault="00D0293C" w:rsidP="00A82A9B">
      <w:pPr>
        <w:rPr>
          <w:rFonts w:ascii="Cambria" w:eastAsiaTheme="minorEastAsia" w:hAnsi="Cambria"/>
          <w:i/>
          <w:iCs/>
          <w:sz w:val="24"/>
          <w:szCs w:val="24"/>
        </w:rPr>
      </w:pPr>
      <w:r>
        <w:rPr>
          <w:rFonts w:ascii="Cambria" w:eastAsiaTheme="minorEastAsia" w:hAnsi="Cambria"/>
          <w:i/>
          <w:iCs/>
          <w:sz w:val="24"/>
          <w:szCs w:val="24"/>
        </w:rPr>
        <w:t>Relevant Details</w:t>
      </w:r>
    </w:p>
    <w:p w14:paraId="2D03E9ED" w14:textId="4A03162A" w:rsidR="0089334E" w:rsidRDefault="0089334E" w:rsidP="0089334E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2 data types: Micro data sets (individual respondent records) and t</w:t>
      </w:r>
      <w:r w:rsidRPr="0089334E">
        <w:rPr>
          <w:rFonts w:ascii="Cambria" w:eastAsiaTheme="minorEastAsia" w:hAnsi="Cambria"/>
          <w:sz w:val="24"/>
          <w:szCs w:val="24"/>
        </w:rPr>
        <w:t>abular data</w:t>
      </w:r>
    </w:p>
    <w:p w14:paraId="73761FB9" w14:textId="399FCA62" w:rsidR="0089334E" w:rsidRPr="0089334E" w:rsidRDefault="0089334E" w:rsidP="0089334E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lastRenderedPageBreak/>
        <w:t>An accurate utility assessment must take into account the specific data uses the user is interested in</w:t>
      </w:r>
    </w:p>
    <w:p w14:paraId="4223DC75" w14:textId="4872E092" w:rsidR="0089334E" w:rsidRDefault="0089334E" w:rsidP="0089334E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 xml:space="preserve">Uniqueness: </w:t>
      </w:r>
      <w:r>
        <w:rPr>
          <w:rFonts w:ascii="Cambria" w:eastAsiaTheme="minorEastAsia" w:hAnsi="Cambria"/>
          <w:sz w:val="24"/>
          <w:szCs w:val="24"/>
        </w:rPr>
        <w:t xml:space="preserve">Some disclosure risk measurement for micro data relates to </w:t>
      </w:r>
      <w:r>
        <w:rPr>
          <w:rFonts w:ascii="Cambria" w:eastAsiaTheme="minorEastAsia" w:hAnsi="Cambria"/>
          <w:i/>
          <w:iCs/>
          <w:sz w:val="24"/>
          <w:szCs w:val="24"/>
        </w:rPr>
        <w:t>nonperturbative</w:t>
      </w:r>
      <w:r>
        <w:rPr>
          <w:rFonts w:ascii="Cambria" w:eastAsiaTheme="minorEastAsia" w:hAnsi="Cambria"/>
          <w:sz w:val="24"/>
          <w:szCs w:val="24"/>
        </w:rPr>
        <w:t xml:space="preserve"> methods based on sampling: they measure the probability that a sample unique is a population unique. If sample is large relative to the population, a unique value in the sample is likely unique in the population and identification can occur</w:t>
      </w:r>
    </w:p>
    <w:p w14:paraId="7671D46C" w14:textId="4EE2CCF8" w:rsidR="0089334E" w:rsidRDefault="002A3867" w:rsidP="0089334E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 xml:space="preserve">Record linkage: </w:t>
      </w:r>
      <w:r>
        <w:rPr>
          <w:rFonts w:ascii="Cambria" w:eastAsiaTheme="minorEastAsia" w:hAnsi="Cambria"/>
          <w:sz w:val="24"/>
          <w:szCs w:val="24"/>
        </w:rPr>
        <w:t>used to assess disclosure risk for perturbative methods</w:t>
      </w:r>
    </w:p>
    <w:p w14:paraId="6DDE37E8" w14:textId="2BA8C7B8" w:rsidR="002A3867" w:rsidRDefault="002A3867" w:rsidP="002A3867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Distance based record linkage</w:t>
      </w:r>
    </w:p>
    <w:p w14:paraId="0502B25E" w14:textId="2186DEF0" w:rsidR="002A3867" w:rsidRDefault="00591D7E" w:rsidP="002A3867">
      <w:pPr>
        <w:pStyle w:val="ListParagraph"/>
        <w:numPr>
          <w:ilvl w:val="1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Probabilistic record linkage</w:t>
      </w:r>
    </w:p>
    <w:p w14:paraId="4E235BE7" w14:textId="7D4AA003" w:rsidR="000F5EB2" w:rsidRDefault="000F5EB2" w:rsidP="000F5EB2">
      <w:pPr>
        <w:rPr>
          <w:rFonts w:ascii="Cambria" w:eastAsiaTheme="minorEastAsia" w:hAnsi="Cambria"/>
          <w:sz w:val="24"/>
          <w:szCs w:val="24"/>
        </w:rPr>
      </w:pPr>
    </w:p>
    <w:p w14:paraId="32E993D1" w14:textId="45D8952A" w:rsidR="000F5EB2" w:rsidRDefault="000F5EB2" w:rsidP="000F5EB2">
      <w:pPr>
        <w:rPr>
          <w:rFonts w:ascii="Cambria" w:eastAsiaTheme="minorEastAsia" w:hAnsi="Cambria"/>
          <w:sz w:val="24"/>
          <w:szCs w:val="24"/>
        </w:rPr>
      </w:pPr>
    </w:p>
    <w:p w14:paraId="20DF36BD" w14:textId="2E43B944" w:rsidR="000F5EB2" w:rsidRDefault="000F5EB2" w:rsidP="000F5EB2">
      <w:pPr>
        <w:rPr>
          <w:rFonts w:ascii="Cambria" w:eastAsiaTheme="minorEastAsia" w:hAnsi="Cambria"/>
          <w:sz w:val="24"/>
          <w:szCs w:val="24"/>
        </w:rPr>
      </w:pPr>
    </w:p>
    <w:p w14:paraId="77273FEA" w14:textId="0A505AAA" w:rsidR="000F5EB2" w:rsidRDefault="000F5EB2" w:rsidP="000F5EB2">
      <w:pPr>
        <w:rPr>
          <w:rFonts w:ascii="Cambria" w:eastAsiaTheme="minorEastAsia" w:hAnsi="Cambria"/>
          <w:b/>
          <w:bCs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 xml:space="preserve">Winkler, William (2014). Matching and Record Linkage. </w:t>
      </w:r>
      <w:r>
        <w:rPr>
          <w:rFonts w:ascii="Cambria" w:eastAsiaTheme="minorEastAsia" w:hAnsi="Cambria"/>
          <w:b/>
          <w:bCs/>
          <w:i/>
          <w:iCs/>
          <w:sz w:val="24"/>
          <w:szCs w:val="24"/>
        </w:rPr>
        <w:t xml:space="preserve">WIREs </w:t>
      </w:r>
      <w:proofErr w:type="spellStart"/>
      <w:r>
        <w:rPr>
          <w:rFonts w:ascii="Cambria" w:eastAsiaTheme="minorEastAsia" w:hAnsi="Cambria"/>
          <w:b/>
          <w:bCs/>
          <w:i/>
          <w:iCs/>
          <w:sz w:val="24"/>
          <w:szCs w:val="24"/>
        </w:rPr>
        <w:t>Comput</w:t>
      </w:r>
      <w:proofErr w:type="spellEnd"/>
      <w:r>
        <w:rPr>
          <w:rFonts w:ascii="Cambria" w:eastAsiaTheme="minorEastAsia" w:hAnsi="Cambria"/>
          <w:b/>
          <w:bCs/>
          <w:i/>
          <w:iCs/>
          <w:sz w:val="24"/>
          <w:szCs w:val="24"/>
        </w:rPr>
        <w:t xml:space="preserve"> Stat, </w:t>
      </w:r>
      <w:r>
        <w:rPr>
          <w:rFonts w:ascii="Cambria" w:eastAsiaTheme="minorEastAsia" w:hAnsi="Cambria"/>
          <w:b/>
          <w:bCs/>
          <w:sz w:val="24"/>
          <w:szCs w:val="24"/>
        </w:rPr>
        <w:t>6, pp. 313-325. Doi:</w:t>
      </w:r>
      <w:r w:rsidRPr="000F5EB2">
        <w:rPr>
          <w:rFonts w:ascii="Cambria" w:eastAsiaTheme="minorEastAsia" w:hAnsi="Cambria"/>
          <w:b/>
          <w:bCs/>
          <w:sz w:val="24"/>
          <w:szCs w:val="24"/>
        </w:rPr>
        <w:t xml:space="preserve"> </w:t>
      </w:r>
      <w:r w:rsidRPr="000F5EB2">
        <w:rPr>
          <w:rFonts w:ascii="Cambria" w:eastAsiaTheme="minorEastAsia" w:hAnsi="Cambria"/>
          <w:b/>
          <w:bCs/>
          <w:sz w:val="24"/>
          <w:szCs w:val="24"/>
        </w:rPr>
        <w:t>10.1002/wics.1317</w:t>
      </w:r>
      <w:r>
        <w:rPr>
          <w:rFonts w:ascii="Cambria" w:eastAsiaTheme="minorEastAsia" w:hAnsi="Cambria"/>
          <w:b/>
          <w:bCs/>
          <w:sz w:val="24"/>
          <w:szCs w:val="24"/>
        </w:rPr>
        <w:t>.</w:t>
      </w:r>
    </w:p>
    <w:p w14:paraId="47B2E66D" w14:textId="353EC60E" w:rsidR="000F5EB2" w:rsidRDefault="000F5EB2" w:rsidP="000F5EB2">
      <w:pPr>
        <w:rPr>
          <w:rFonts w:ascii="Cambria" w:eastAsiaTheme="minorEastAsia" w:hAnsi="Cambria"/>
          <w:b/>
          <w:bCs/>
          <w:sz w:val="24"/>
          <w:szCs w:val="24"/>
        </w:rPr>
      </w:pPr>
    </w:p>
    <w:p w14:paraId="4440D47D" w14:textId="23AD0AFE" w:rsidR="000F5EB2" w:rsidRDefault="000F5EB2" w:rsidP="000F5EB2">
      <w:pPr>
        <w:rPr>
          <w:rFonts w:ascii="Cambria" w:eastAsiaTheme="minorEastAsia" w:hAnsi="Cambria"/>
          <w:i/>
          <w:iCs/>
          <w:sz w:val="24"/>
          <w:szCs w:val="24"/>
        </w:rPr>
      </w:pPr>
      <w:r>
        <w:rPr>
          <w:rFonts w:ascii="Cambria" w:eastAsiaTheme="minorEastAsia" w:hAnsi="Cambria"/>
          <w:i/>
          <w:iCs/>
          <w:sz w:val="24"/>
          <w:szCs w:val="24"/>
        </w:rPr>
        <w:t>Summary</w:t>
      </w:r>
    </w:p>
    <w:p w14:paraId="408B866B" w14:textId="27118B5D" w:rsidR="009A6B95" w:rsidRPr="009A6B95" w:rsidRDefault="009A6B95" w:rsidP="009A6B95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Provides background on the FS model of record linkage (probabilistic model)</w:t>
      </w:r>
    </w:p>
    <w:p w14:paraId="4C16EE54" w14:textId="0BB27BED" w:rsidR="000F5EB2" w:rsidRPr="000F5EB2" w:rsidRDefault="000F5EB2" w:rsidP="000F5EB2">
      <w:pPr>
        <w:rPr>
          <w:rFonts w:ascii="Cambria" w:eastAsiaTheme="minorEastAsia" w:hAnsi="Cambria"/>
          <w:i/>
          <w:iCs/>
          <w:sz w:val="24"/>
          <w:szCs w:val="24"/>
        </w:rPr>
      </w:pPr>
      <w:r>
        <w:rPr>
          <w:rFonts w:ascii="Cambria" w:eastAsiaTheme="minorEastAsia" w:hAnsi="Cambria"/>
          <w:i/>
          <w:iCs/>
          <w:sz w:val="24"/>
          <w:szCs w:val="24"/>
        </w:rPr>
        <w:t>Relevant Details</w:t>
      </w:r>
    </w:p>
    <w:p w14:paraId="5C2EDBD2" w14:textId="6C6CC421" w:rsidR="0062182B" w:rsidRPr="009A6B95" w:rsidRDefault="0062182B" w:rsidP="009A6B95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Appropriate standardization and pre-processing of data has a larger effect on record linkage success than improving models</w:t>
      </w:r>
    </w:p>
    <w:p w14:paraId="11831119" w14:textId="6C33ACBE" w:rsidR="00B7464D" w:rsidRDefault="00B7464D" w:rsidP="00A82A9B">
      <w:pPr>
        <w:rPr>
          <w:rFonts w:ascii="Cambria" w:eastAsiaTheme="minorEastAsia" w:hAnsi="Cambria"/>
          <w:sz w:val="24"/>
          <w:szCs w:val="24"/>
        </w:rPr>
      </w:pPr>
    </w:p>
    <w:p w14:paraId="44B55A4C" w14:textId="7C55F18B" w:rsidR="00A82A9B" w:rsidRDefault="00A82A9B" w:rsidP="00A82A9B">
      <w:pPr>
        <w:rPr>
          <w:rFonts w:ascii="Cambria" w:eastAsiaTheme="minorEastAsia" w:hAnsi="Cambria"/>
          <w:sz w:val="24"/>
          <w:szCs w:val="24"/>
        </w:rPr>
      </w:pPr>
    </w:p>
    <w:p w14:paraId="08205CD5" w14:textId="11F8208B" w:rsidR="00A82A9B" w:rsidRDefault="005C36B9" w:rsidP="00A82A9B">
      <w:pPr>
        <w:rPr>
          <w:rFonts w:ascii="Cambria" w:eastAsiaTheme="minorEastAsia" w:hAnsi="Cambria"/>
          <w:b/>
          <w:bCs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 xml:space="preserve">Skinner, Chris (2008). Assessing disclosure risk for record linkage. </w:t>
      </w:r>
      <w:r>
        <w:rPr>
          <w:rFonts w:ascii="Cambria" w:eastAsiaTheme="minorEastAsia" w:hAnsi="Cambria"/>
          <w:b/>
          <w:bCs/>
          <w:i/>
          <w:iCs/>
          <w:sz w:val="24"/>
          <w:szCs w:val="24"/>
        </w:rPr>
        <w:t>Privacy in Statistical Databases: UNESCO Chair in Data Privacy International Conference.</w:t>
      </w:r>
    </w:p>
    <w:p w14:paraId="0A4354D7" w14:textId="79C3FA40" w:rsidR="005C36B9" w:rsidRDefault="005C36B9" w:rsidP="00A82A9B">
      <w:pPr>
        <w:rPr>
          <w:rFonts w:ascii="Cambria" w:eastAsiaTheme="minorEastAsia" w:hAnsi="Cambria"/>
          <w:b/>
          <w:bCs/>
          <w:sz w:val="24"/>
          <w:szCs w:val="24"/>
        </w:rPr>
      </w:pPr>
    </w:p>
    <w:p w14:paraId="6E6459CA" w14:textId="22DB0B5B" w:rsidR="00AF5B04" w:rsidRDefault="00AF5B04" w:rsidP="00A82A9B">
      <w:pPr>
        <w:rPr>
          <w:rFonts w:ascii="Cambria" w:eastAsiaTheme="minorEastAsia" w:hAnsi="Cambria"/>
          <w:i/>
          <w:iCs/>
          <w:sz w:val="24"/>
          <w:szCs w:val="24"/>
        </w:rPr>
      </w:pPr>
      <w:r>
        <w:rPr>
          <w:rFonts w:ascii="Cambria" w:eastAsiaTheme="minorEastAsia" w:hAnsi="Cambria"/>
          <w:i/>
          <w:iCs/>
          <w:sz w:val="24"/>
          <w:szCs w:val="24"/>
        </w:rPr>
        <w:t>Summary</w:t>
      </w:r>
    </w:p>
    <w:p w14:paraId="484F5562" w14:textId="646CCC41" w:rsidR="00AF5B04" w:rsidRDefault="00AF5B04" w:rsidP="00AF5B04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Discusses estimating identification risk as the probability that a match between a microdata file and an external file is correct.</w:t>
      </w:r>
    </w:p>
    <w:p w14:paraId="3CE4B94C" w14:textId="33B18DF3" w:rsidR="00D829E5" w:rsidRPr="00AF5B04" w:rsidRDefault="00D829E5" w:rsidP="00AF5B04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>Matching takes place on ‘key’ variables – should we use this terminology? We need specific notation for the key variables.</w:t>
      </w:r>
    </w:p>
    <w:p w14:paraId="25DB6017" w14:textId="2D8FDBF0" w:rsidR="00AF5B04" w:rsidRDefault="00AF5B04" w:rsidP="00A82A9B">
      <w:pPr>
        <w:rPr>
          <w:rFonts w:ascii="Cambria" w:eastAsiaTheme="minorEastAsia" w:hAnsi="Cambria"/>
          <w:i/>
          <w:iCs/>
          <w:sz w:val="24"/>
          <w:szCs w:val="24"/>
        </w:rPr>
      </w:pPr>
      <w:r>
        <w:rPr>
          <w:rFonts w:ascii="Cambria" w:eastAsiaTheme="minorEastAsia" w:hAnsi="Cambria"/>
          <w:i/>
          <w:iCs/>
          <w:sz w:val="24"/>
          <w:szCs w:val="24"/>
        </w:rPr>
        <w:t>Conclusions</w:t>
      </w:r>
    </w:p>
    <w:p w14:paraId="6F14D540" w14:textId="0AD3951C" w:rsidR="00AF6F77" w:rsidRPr="00AF6F77" w:rsidRDefault="00AF6F77" w:rsidP="00AF6F77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lastRenderedPageBreak/>
        <w:t>Group and record level re-identification is possible without any shared variables between data sets</w:t>
      </w:r>
    </w:p>
    <w:p w14:paraId="2121C28B" w14:textId="4E24F30B" w:rsidR="00AF5B04" w:rsidRDefault="00AF5B04" w:rsidP="00A82A9B">
      <w:pPr>
        <w:rPr>
          <w:rFonts w:ascii="Cambria" w:eastAsiaTheme="minorEastAsia" w:hAnsi="Cambria"/>
          <w:i/>
          <w:iCs/>
          <w:sz w:val="24"/>
          <w:szCs w:val="24"/>
        </w:rPr>
      </w:pPr>
      <w:r>
        <w:rPr>
          <w:rFonts w:ascii="Cambria" w:eastAsiaTheme="minorEastAsia" w:hAnsi="Cambria"/>
          <w:i/>
          <w:iCs/>
          <w:sz w:val="24"/>
          <w:szCs w:val="24"/>
        </w:rPr>
        <w:t>Relevant Details</w:t>
      </w:r>
    </w:p>
    <w:p w14:paraId="7A8CBB25" w14:textId="37A4E0B4" w:rsidR="00AF5B04" w:rsidRDefault="00AF5B04" w:rsidP="00AF5B04">
      <w:pPr>
        <w:pStyle w:val="ListParagraph"/>
        <w:numPr>
          <w:ilvl w:val="0"/>
          <w:numId w:val="1"/>
        </w:numPr>
        <w:rPr>
          <w:rFonts w:ascii="Cambria" w:eastAsiaTheme="minorEastAsia" w:hAnsi="Cambria"/>
          <w:b/>
          <w:bCs/>
          <w:sz w:val="24"/>
          <w:szCs w:val="24"/>
        </w:rPr>
      </w:pPr>
      <w:r w:rsidRPr="00671A09">
        <w:rPr>
          <w:rFonts w:ascii="Cambria" w:eastAsiaTheme="minorEastAsia" w:hAnsi="Cambria"/>
          <w:b/>
          <w:bCs/>
          <w:sz w:val="24"/>
          <w:szCs w:val="24"/>
        </w:rPr>
        <w:t>Record linkage can be successfully performed even with masked data – risk is the proportion of matches which are correct, but this often uses the original (unmasked) data compared to the masked data – this is highly conservative and ignores the protection of sampling</w:t>
      </w:r>
    </w:p>
    <w:p w14:paraId="4B4D2BE3" w14:textId="0D256AF3" w:rsidR="00671A09" w:rsidRPr="00671A09" w:rsidRDefault="00671A09" w:rsidP="00AF5B04">
      <w:pPr>
        <w:pStyle w:val="ListParagraph"/>
        <w:numPr>
          <w:ilvl w:val="0"/>
          <w:numId w:val="1"/>
        </w:numPr>
        <w:rPr>
          <w:rFonts w:ascii="Cambria" w:eastAsiaTheme="minorEastAsia" w:hAnsi="Cambria"/>
          <w:b/>
          <w:bCs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>Also focuses on the probabilistic FS method for record linkage</w:t>
      </w:r>
    </w:p>
    <w:p w14:paraId="1FE66BF9" w14:textId="3E30FFD0" w:rsidR="00A35530" w:rsidRPr="00534F6C" w:rsidRDefault="00AF5B04" w:rsidP="00534F6C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Other things to note are that if, </w:t>
      </w:r>
      <w:r>
        <w:rPr>
          <w:rFonts w:ascii="Cambria" w:eastAsiaTheme="minorEastAsia" w:hAnsi="Cambria"/>
          <w:i/>
          <w:iCs/>
          <w:sz w:val="24"/>
          <w:szCs w:val="24"/>
        </w:rPr>
        <w:t>e.g.</w:t>
      </w:r>
      <w:r>
        <w:rPr>
          <w:rFonts w:ascii="Cambria" w:eastAsiaTheme="minorEastAsia" w:hAnsi="Cambria"/>
          <w:sz w:val="24"/>
          <w:szCs w:val="24"/>
        </w:rPr>
        <w:t>, only 5% of matches are correct but the adversary knows which 5% that is, then they can claim matches with 100% confidence (too high) – or, if the probability of a correct match varies across data subgroups then probabilities in some subgroups may be deemed too high</w:t>
      </w:r>
      <w:r w:rsidR="00A35530">
        <w:rPr>
          <w:rFonts w:ascii="Cambria" w:eastAsiaTheme="minorEastAsia" w:hAnsi="Cambria"/>
          <w:sz w:val="24"/>
          <w:szCs w:val="24"/>
        </w:rPr>
        <w:t>. Overall, it is unrealistic that the adversary will know the proportion of correct matches since it requires knowing the true identities of the records in the microdata)</w:t>
      </w:r>
    </w:p>
    <w:p w14:paraId="444AD48F" w14:textId="77777777" w:rsidR="005E76ED" w:rsidRPr="005E76ED" w:rsidRDefault="005E76ED" w:rsidP="005E76ED">
      <w:pPr>
        <w:ind w:left="1080"/>
        <w:rPr>
          <w:rFonts w:ascii="Cambria" w:eastAsiaTheme="minorEastAsia" w:hAnsi="Cambria"/>
          <w:sz w:val="24"/>
          <w:szCs w:val="24"/>
        </w:rPr>
      </w:pPr>
    </w:p>
    <w:sectPr w:rsidR="005E76ED" w:rsidRPr="005E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B7E3F"/>
    <w:multiLevelType w:val="hybridMultilevel"/>
    <w:tmpl w:val="06F07650"/>
    <w:lvl w:ilvl="0" w:tplc="F2FE8FD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29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26"/>
    <w:rsid w:val="00022F6A"/>
    <w:rsid w:val="000F5EB2"/>
    <w:rsid w:val="00165489"/>
    <w:rsid w:val="002A3867"/>
    <w:rsid w:val="002D0C59"/>
    <w:rsid w:val="0036466D"/>
    <w:rsid w:val="00385382"/>
    <w:rsid w:val="003E5E26"/>
    <w:rsid w:val="0048022B"/>
    <w:rsid w:val="004D6222"/>
    <w:rsid w:val="00534F6C"/>
    <w:rsid w:val="00591D7E"/>
    <w:rsid w:val="005C36B9"/>
    <w:rsid w:val="005E76ED"/>
    <w:rsid w:val="0062182B"/>
    <w:rsid w:val="0064114C"/>
    <w:rsid w:val="00661969"/>
    <w:rsid w:val="00671A09"/>
    <w:rsid w:val="00677D78"/>
    <w:rsid w:val="00694C4C"/>
    <w:rsid w:val="006E147D"/>
    <w:rsid w:val="007113DD"/>
    <w:rsid w:val="00764C0F"/>
    <w:rsid w:val="00833D85"/>
    <w:rsid w:val="00876985"/>
    <w:rsid w:val="0089334E"/>
    <w:rsid w:val="009A6B95"/>
    <w:rsid w:val="009C5968"/>
    <w:rsid w:val="00A10907"/>
    <w:rsid w:val="00A12376"/>
    <w:rsid w:val="00A35530"/>
    <w:rsid w:val="00A82A9B"/>
    <w:rsid w:val="00AF06C3"/>
    <w:rsid w:val="00AF5B04"/>
    <w:rsid w:val="00AF6F77"/>
    <w:rsid w:val="00B7464D"/>
    <w:rsid w:val="00C7290C"/>
    <w:rsid w:val="00C74EC5"/>
    <w:rsid w:val="00CA5515"/>
    <w:rsid w:val="00CD0E96"/>
    <w:rsid w:val="00CD3900"/>
    <w:rsid w:val="00D0293C"/>
    <w:rsid w:val="00D829E5"/>
    <w:rsid w:val="00DF71E9"/>
    <w:rsid w:val="00E338AB"/>
    <w:rsid w:val="00E809B6"/>
    <w:rsid w:val="00E97C0D"/>
    <w:rsid w:val="00EB5F07"/>
    <w:rsid w:val="00F44A99"/>
    <w:rsid w:val="00FF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C0E8"/>
  <w15:chartTrackingRefBased/>
  <w15:docId w15:val="{9515FD91-4FF3-40EA-8232-31DB9DF4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6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7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Bale,Cameron</dc:creator>
  <cp:keywords/>
  <dc:description/>
  <cp:lastModifiedBy>Bale,Cameron</cp:lastModifiedBy>
  <cp:revision>28</cp:revision>
  <dcterms:created xsi:type="dcterms:W3CDTF">2023-03-22T14:04:00Z</dcterms:created>
  <dcterms:modified xsi:type="dcterms:W3CDTF">2023-03-23T17:39:00Z</dcterms:modified>
</cp:coreProperties>
</file>