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D4F08" w14:textId="0EF93E91" w:rsidR="003728A7" w:rsidRDefault="003728A7">
      <w:pPr>
        <w:rPr>
          <w:rFonts w:ascii="Cambria" w:hAnsi="Cambria"/>
          <w:b/>
          <w:bCs/>
        </w:rPr>
      </w:pPr>
      <w:r>
        <w:rPr>
          <w:rFonts w:ascii="Cambria" w:hAnsi="Cambria"/>
          <w:b/>
          <w:bCs/>
        </w:rPr>
        <w:t>Summary of Results Analyzing k-</w:t>
      </w:r>
      <w:proofErr w:type="spellStart"/>
      <w:r>
        <w:rPr>
          <w:rFonts w:ascii="Cambria" w:hAnsi="Cambria"/>
          <w:b/>
          <w:bCs/>
        </w:rPr>
        <w:t>nTS</w:t>
      </w:r>
      <w:proofErr w:type="spellEnd"/>
      <w:r>
        <w:rPr>
          <w:rFonts w:ascii="Cambria" w:hAnsi="Cambria"/>
          <w:b/>
          <w:bCs/>
        </w:rPr>
        <w:t>+</w:t>
      </w:r>
      <w:r w:rsidR="00947213">
        <w:rPr>
          <w:rFonts w:ascii="Cambria" w:hAnsi="Cambria"/>
          <w:b/>
          <w:bCs/>
        </w:rPr>
        <w:t xml:space="preserve"> (k = 3)</w:t>
      </w:r>
      <w:r>
        <w:rPr>
          <w:rFonts w:ascii="Cambria" w:hAnsi="Cambria"/>
          <w:b/>
          <w:bCs/>
        </w:rPr>
        <w:t xml:space="preserve"> Performance on M3</w:t>
      </w:r>
    </w:p>
    <w:p w14:paraId="2315C27F" w14:textId="77777777" w:rsidR="003728A7" w:rsidRDefault="003728A7">
      <w:pPr>
        <w:rPr>
          <w:rFonts w:ascii="Cambria" w:hAnsi="Cambria"/>
          <w:b/>
          <w:bCs/>
        </w:rPr>
      </w:pPr>
    </w:p>
    <w:p w14:paraId="076BC650" w14:textId="2DE439D9" w:rsidR="003728A7" w:rsidRDefault="003728A7">
      <w:pPr>
        <w:rPr>
          <w:rFonts w:ascii="Cambria" w:hAnsi="Cambria"/>
        </w:rPr>
      </w:pPr>
      <w:r>
        <w:rPr>
          <w:rFonts w:ascii="Cambria" w:hAnsi="Cambria"/>
        </w:rPr>
        <w:t>Variants on k-</w:t>
      </w:r>
      <w:proofErr w:type="spellStart"/>
      <w:r>
        <w:rPr>
          <w:rFonts w:ascii="Cambria" w:hAnsi="Cambria"/>
        </w:rPr>
        <w:t>nTS</w:t>
      </w:r>
      <w:proofErr w:type="spellEnd"/>
      <w:r>
        <w:rPr>
          <w:rFonts w:ascii="Cambria" w:hAnsi="Cambria"/>
        </w:rPr>
        <w:t>+:</w:t>
      </w:r>
    </w:p>
    <w:p w14:paraId="401B6A5A" w14:textId="5DEA1A4E" w:rsidR="003728A7" w:rsidRDefault="003728A7" w:rsidP="003728A7">
      <w:pPr>
        <w:pStyle w:val="ListParagraph"/>
        <w:numPr>
          <w:ilvl w:val="0"/>
          <w:numId w:val="1"/>
        </w:numPr>
        <w:rPr>
          <w:rFonts w:ascii="Cambria" w:hAnsi="Cambria"/>
        </w:rPr>
      </w:pPr>
      <w:r>
        <w:rPr>
          <w:rFonts w:ascii="Cambria" w:hAnsi="Cambria"/>
        </w:rPr>
        <w:t>Version in original paper draft</w:t>
      </w:r>
    </w:p>
    <w:p w14:paraId="48C471A8" w14:textId="34841069" w:rsidR="003728A7" w:rsidRDefault="003728A7" w:rsidP="003728A7">
      <w:pPr>
        <w:pStyle w:val="ListParagraph"/>
        <w:numPr>
          <w:ilvl w:val="0"/>
          <w:numId w:val="1"/>
        </w:numPr>
        <w:rPr>
          <w:rFonts w:ascii="Cambria" w:hAnsi="Cambria"/>
        </w:rPr>
      </w:pPr>
      <w:r>
        <w:rPr>
          <w:rFonts w:ascii="Cambria" w:hAnsi="Cambria"/>
        </w:rPr>
        <w:t xml:space="preserve">With steps </w:t>
      </w:r>
      <w:proofErr w:type="gramStart"/>
      <w:r>
        <w:rPr>
          <w:rFonts w:ascii="Cambria" w:hAnsi="Cambria"/>
        </w:rPr>
        <w:t>similar to</w:t>
      </w:r>
      <w:proofErr w:type="gramEnd"/>
      <w:r>
        <w:rPr>
          <w:rFonts w:ascii="Cambria" w:hAnsi="Cambria"/>
        </w:rPr>
        <w:t xml:space="preserve"> </w:t>
      </w:r>
      <w:proofErr w:type="spellStart"/>
      <w:r>
        <w:rPr>
          <w:rFonts w:ascii="Cambria" w:hAnsi="Cambria"/>
        </w:rPr>
        <w:t>deja</w:t>
      </w:r>
      <w:proofErr w:type="spellEnd"/>
      <w:r>
        <w:rPr>
          <w:rFonts w:ascii="Cambria" w:hAnsi="Cambria"/>
        </w:rPr>
        <w:t>-vu paper: seasonal decomposition, loess smoothing, scaling by the point one period before the forecast origin</w:t>
      </w:r>
    </w:p>
    <w:p w14:paraId="4C69F04A" w14:textId="717F086F" w:rsidR="001A1541" w:rsidRDefault="001A1541" w:rsidP="003728A7">
      <w:pPr>
        <w:pStyle w:val="ListParagraph"/>
        <w:numPr>
          <w:ilvl w:val="0"/>
          <w:numId w:val="1"/>
        </w:numPr>
        <w:rPr>
          <w:rFonts w:ascii="Cambria" w:hAnsi="Cambria"/>
        </w:rPr>
      </w:pPr>
      <w:r>
        <w:rPr>
          <w:rFonts w:ascii="Cambria" w:hAnsi="Cambria"/>
        </w:rPr>
        <w:t xml:space="preserve">Same as above but with longer swapping </w:t>
      </w:r>
      <w:proofErr w:type="gramStart"/>
      <w:r>
        <w:rPr>
          <w:rFonts w:ascii="Cambria" w:hAnsi="Cambria"/>
        </w:rPr>
        <w:t>windows</w:t>
      </w:r>
      <w:proofErr w:type="gramEnd"/>
    </w:p>
    <w:p w14:paraId="055E3005" w14:textId="3A1620C2" w:rsidR="003728A7" w:rsidRDefault="003728A7" w:rsidP="003728A7">
      <w:pPr>
        <w:pStyle w:val="ListParagraph"/>
        <w:numPr>
          <w:ilvl w:val="0"/>
          <w:numId w:val="1"/>
        </w:numPr>
        <w:rPr>
          <w:rFonts w:ascii="Cambria" w:hAnsi="Cambria"/>
        </w:rPr>
      </w:pPr>
      <w:r>
        <w:rPr>
          <w:rFonts w:ascii="Cambria" w:hAnsi="Cambria"/>
        </w:rPr>
        <w:t xml:space="preserve">With scaling by the </w:t>
      </w:r>
      <w:r w:rsidR="001A1541">
        <w:rPr>
          <w:rFonts w:ascii="Cambria" w:hAnsi="Cambria"/>
        </w:rPr>
        <w:t xml:space="preserve">point one period before the </w:t>
      </w:r>
      <w:r>
        <w:rPr>
          <w:rFonts w:ascii="Cambria" w:hAnsi="Cambria"/>
        </w:rPr>
        <w:t xml:space="preserve">forecast origin and outlier </w:t>
      </w:r>
      <w:r w:rsidR="001A1541">
        <w:rPr>
          <w:rFonts w:ascii="Cambria" w:hAnsi="Cambria"/>
        </w:rPr>
        <w:t>replacement</w:t>
      </w:r>
      <w:r>
        <w:rPr>
          <w:rFonts w:ascii="Cambria" w:hAnsi="Cambria"/>
        </w:rPr>
        <w:t xml:space="preserve"> </w:t>
      </w:r>
      <w:r w:rsidR="001A1541">
        <w:rPr>
          <w:rFonts w:ascii="Cambria" w:hAnsi="Cambria"/>
        </w:rPr>
        <w:t>in</w:t>
      </w:r>
      <w:r>
        <w:rPr>
          <w:rFonts w:ascii="Cambria" w:hAnsi="Cambria"/>
        </w:rPr>
        <w:t xml:space="preserve"> protected versions</w:t>
      </w:r>
    </w:p>
    <w:p w14:paraId="260DEE93" w14:textId="26D00E23" w:rsidR="003728A7" w:rsidRDefault="003728A7" w:rsidP="003728A7">
      <w:pPr>
        <w:pStyle w:val="ListParagraph"/>
        <w:numPr>
          <w:ilvl w:val="0"/>
          <w:numId w:val="1"/>
        </w:numPr>
        <w:rPr>
          <w:rFonts w:ascii="Cambria" w:hAnsi="Cambria"/>
        </w:rPr>
      </w:pPr>
      <w:r>
        <w:rPr>
          <w:rFonts w:ascii="Cambria" w:hAnsi="Cambria"/>
        </w:rPr>
        <w:t xml:space="preserve">With data supplemented using synthetic time series (selected the 15 series most </w:t>
      </w:r>
      <w:proofErr w:type="gramStart"/>
      <w:r>
        <w:rPr>
          <w:rFonts w:ascii="Cambria" w:hAnsi="Cambria"/>
        </w:rPr>
        <w:t>similar to</w:t>
      </w:r>
      <w:proofErr w:type="gramEnd"/>
      <w:r>
        <w:rPr>
          <w:rFonts w:ascii="Cambria" w:hAnsi="Cambria"/>
        </w:rPr>
        <w:t xml:space="preserve"> each original series on the features chosen by </w:t>
      </w:r>
      <w:proofErr w:type="spellStart"/>
      <w:r>
        <w:rPr>
          <w:rFonts w:ascii="Cambria" w:hAnsi="Cambria"/>
        </w:rPr>
        <w:t>RReliefF</w:t>
      </w:r>
      <w:proofErr w:type="spellEnd"/>
      <w:r>
        <w:rPr>
          <w:rFonts w:ascii="Cambria" w:hAnsi="Cambria"/>
        </w:rPr>
        <w:t xml:space="preserve"> and RFE)</w:t>
      </w:r>
    </w:p>
    <w:p w14:paraId="5C86F97D" w14:textId="77777777" w:rsidR="003728A7" w:rsidRDefault="003728A7" w:rsidP="003728A7">
      <w:pPr>
        <w:rPr>
          <w:rFonts w:ascii="Cambria" w:hAnsi="Cambria"/>
        </w:rPr>
      </w:pPr>
    </w:p>
    <w:p w14:paraId="5217C808" w14:textId="6C9C7E6E" w:rsidR="003728A7" w:rsidRPr="00947213" w:rsidRDefault="003728A7" w:rsidP="003728A7">
      <w:pPr>
        <w:rPr>
          <w:rFonts w:ascii="Cambria" w:hAnsi="Cambria"/>
          <w:i/>
          <w:iCs/>
        </w:rPr>
      </w:pPr>
      <w:r w:rsidRPr="00947213">
        <w:rPr>
          <w:rFonts w:ascii="Cambria" w:hAnsi="Cambria"/>
          <w:i/>
          <w:iCs/>
        </w:rPr>
        <w:t>Privacy and Accuracy Results for k-</w:t>
      </w:r>
      <w:proofErr w:type="spellStart"/>
      <w:r w:rsidRPr="00947213">
        <w:rPr>
          <w:rFonts w:ascii="Cambria" w:hAnsi="Cambria"/>
          <w:i/>
          <w:iCs/>
        </w:rPr>
        <w:t>nTS</w:t>
      </w:r>
      <w:proofErr w:type="spellEnd"/>
      <w:r w:rsidRPr="00947213">
        <w:rPr>
          <w:rFonts w:ascii="Cambria" w:hAnsi="Cambria"/>
          <w:i/>
          <w:iCs/>
        </w:rPr>
        <w:t>+</w:t>
      </w:r>
      <w:r w:rsidR="00947213" w:rsidRPr="00947213">
        <w:rPr>
          <w:rFonts w:ascii="Cambria" w:hAnsi="Cambria"/>
          <w:i/>
          <w:iCs/>
        </w:rPr>
        <w:t xml:space="preserve"> (k = 3)</w:t>
      </w:r>
      <w:r w:rsidRPr="00947213">
        <w:rPr>
          <w:rFonts w:ascii="Cambria" w:hAnsi="Cambria"/>
          <w:i/>
          <w:iCs/>
        </w:rPr>
        <w:t xml:space="preserve"> variants</w:t>
      </w:r>
      <w:r w:rsidR="00947213" w:rsidRPr="00947213">
        <w:rPr>
          <w:rFonts w:ascii="Cambria" w:hAnsi="Cambria"/>
          <w:i/>
          <w:iCs/>
        </w:rPr>
        <w:t xml:space="preserve">. “% Change MAE” is the average percent change in absolute error across all protected series. “Change MASE” is the difference (Protected MASE – Original MASE) where the denominator is the in-sample error of the naïve/seasonal naïve model on the original version of the series. “Ident. Prop.” is the average proportion of time series which were correctly identified when an adversary had access to 10 confidential data points from each original series and used these to predict the identities of each series. This is then averaged across 20 simulations and a weighted average (based on the </w:t>
      </w:r>
      <w:proofErr w:type="gramStart"/>
      <w:r w:rsidR="00947213" w:rsidRPr="00947213">
        <w:rPr>
          <w:rFonts w:ascii="Cambria" w:hAnsi="Cambria"/>
          <w:i/>
          <w:iCs/>
        </w:rPr>
        <w:t>number</w:t>
      </w:r>
      <w:proofErr w:type="gramEnd"/>
      <w:r w:rsidR="00947213" w:rsidRPr="00947213">
        <w:rPr>
          <w:rFonts w:ascii="Cambria" w:hAnsi="Cambria"/>
          <w:i/>
          <w:iCs/>
        </w:rPr>
        <w:t xml:space="preserve"> of series in each data set) is then calculated.</w:t>
      </w:r>
    </w:p>
    <w:p w14:paraId="7DC9C137" w14:textId="77777777" w:rsidR="001A1541" w:rsidRDefault="001A1541" w:rsidP="003728A7">
      <w:pPr>
        <w:rPr>
          <w:rFonts w:ascii="Cambria" w:hAnsi="Cambria"/>
        </w:rPr>
      </w:pPr>
    </w:p>
    <w:tbl>
      <w:tblPr>
        <w:tblStyle w:val="TableGrid"/>
        <w:tblW w:w="0" w:type="auto"/>
        <w:tblLook w:val="04A0" w:firstRow="1" w:lastRow="0" w:firstColumn="1" w:lastColumn="0" w:noHBand="0" w:noVBand="1"/>
      </w:tblPr>
      <w:tblGrid>
        <w:gridCol w:w="1990"/>
        <w:gridCol w:w="1984"/>
        <w:gridCol w:w="1792"/>
        <w:gridCol w:w="1792"/>
      </w:tblGrid>
      <w:tr w:rsidR="001A1541" w14:paraId="164D4CC5" w14:textId="4FC20EC7" w:rsidTr="001A1541">
        <w:tc>
          <w:tcPr>
            <w:tcW w:w="1990" w:type="dxa"/>
          </w:tcPr>
          <w:p w14:paraId="6D175F31" w14:textId="7822E8AA" w:rsidR="001A1541" w:rsidRDefault="001A1541" w:rsidP="003728A7">
            <w:pPr>
              <w:rPr>
                <w:rFonts w:ascii="Cambria" w:hAnsi="Cambria"/>
              </w:rPr>
            </w:pPr>
            <w:r>
              <w:rPr>
                <w:rFonts w:ascii="Cambria" w:hAnsi="Cambria"/>
              </w:rPr>
              <w:t>Version</w:t>
            </w:r>
          </w:p>
        </w:tc>
        <w:tc>
          <w:tcPr>
            <w:tcW w:w="1984" w:type="dxa"/>
          </w:tcPr>
          <w:p w14:paraId="34ABCC51" w14:textId="6BA10B77" w:rsidR="001A1541" w:rsidRDefault="001A1541" w:rsidP="003728A7">
            <w:pPr>
              <w:rPr>
                <w:rFonts w:ascii="Cambria" w:hAnsi="Cambria"/>
              </w:rPr>
            </w:pPr>
            <w:r>
              <w:rPr>
                <w:rFonts w:ascii="Cambria" w:hAnsi="Cambria"/>
              </w:rPr>
              <w:t>% Change MAE</w:t>
            </w:r>
          </w:p>
        </w:tc>
        <w:tc>
          <w:tcPr>
            <w:tcW w:w="1792" w:type="dxa"/>
          </w:tcPr>
          <w:p w14:paraId="3DCA2075" w14:textId="760D9A98" w:rsidR="001A1541" w:rsidRDefault="001A1541" w:rsidP="003728A7">
            <w:pPr>
              <w:rPr>
                <w:rFonts w:ascii="Cambria" w:hAnsi="Cambria"/>
              </w:rPr>
            </w:pPr>
            <w:r>
              <w:rPr>
                <w:rFonts w:ascii="Cambria" w:hAnsi="Cambria"/>
              </w:rPr>
              <w:t>Change MASE</w:t>
            </w:r>
          </w:p>
        </w:tc>
        <w:tc>
          <w:tcPr>
            <w:tcW w:w="1792" w:type="dxa"/>
          </w:tcPr>
          <w:p w14:paraId="0E4C0AF7" w14:textId="3185DD5F" w:rsidR="001A1541" w:rsidRDefault="001A1541" w:rsidP="003728A7">
            <w:pPr>
              <w:rPr>
                <w:rFonts w:ascii="Cambria" w:hAnsi="Cambria"/>
              </w:rPr>
            </w:pPr>
            <w:r>
              <w:rPr>
                <w:rFonts w:ascii="Cambria" w:hAnsi="Cambria"/>
              </w:rPr>
              <w:t>Ident. Prop.</w:t>
            </w:r>
          </w:p>
        </w:tc>
      </w:tr>
      <w:tr w:rsidR="001A1541" w14:paraId="75311499" w14:textId="22F8D91B" w:rsidTr="001A1541">
        <w:tc>
          <w:tcPr>
            <w:tcW w:w="1990" w:type="dxa"/>
          </w:tcPr>
          <w:p w14:paraId="2E86ED65" w14:textId="4D52A34A" w:rsidR="001A1541" w:rsidRDefault="001A1541" w:rsidP="003728A7">
            <w:pPr>
              <w:rPr>
                <w:rFonts w:ascii="Cambria" w:hAnsi="Cambria"/>
              </w:rPr>
            </w:pPr>
            <w:r>
              <w:rPr>
                <w:rFonts w:ascii="Cambria" w:hAnsi="Cambria"/>
              </w:rPr>
              <w:t>Original k-</w:t>
            </w:r>
            <w:proofErr w:type="spellStart"/>
            <w:r>
              <w:rPr>
                <w:rFonts w:ascii="Cambria" w:hAnsi="Cambria"/>
              </w:rPr>
              <w:t>nTS</w:t>
            </w:r>
            <w:proofErr w:type="spellEnd"/>
            <w:r>
              <w:rPr>
                <w:rFonts w:ascii="Cambria" w:hAnsi="Cambria"/>
              </w:rPr>
              <w:t>+</w:t>
            </w:r>
          </w:p>
        </w:tc>
        <w:tc>
          <w:tcPr>
            <w:tcW w:w="1984" w:type="dxa"/>
          </w:tcPr>
          <w:p w14:paraId="094E0EA4" w14:textId="10D2EB22" w:rsidR="001A1541" w:rsidRDefault="001A1541" w:rsidP="003728A7">
            <w:pPr>
              <w:rPr>
                <w:rFonts w:ascii="Cambria" w:hAnsi="Cambria"/>
              </w:rPr>
            </w:pPr>
            <w:r>
              <w:rPr>
                <w:rFonts w:ascii="Cambria" w:hAnsi="Cambria"/>
              </w:rPr>
              <w:t>127%</w:t>
            </w:r>
          </w:p>
        </w:tc>
        <w:tc>
          <w:tcPr>
            <w:tcW w:w="1792" w:type="dxa"/>
          </w:tcPr>
          <w:p w14:paraId="12945FFB" w14:textId="0FF4B03D" w:rsidR="001A1541" w:rsidRDefault="001A1541" w:rsidP="003728A7">
            <w:pPr>
              <w:rPr>
                <w:rFonts w:ascii="Cambria" w:hAnsi="Cambria"/>
              </w:rPr>
            </w:pPr>
            <w:r>
              <w:rPr>
                <w:rFonts w:ascii="Cambria" w:hAnsi="Cambria"/>
              </w:rPr>
              <w:t>1.81</w:t>
            </w:r>
          </w:p>
        </w:tc>
        <w:tc>
          <w:tcPr>
            <w:tcW w:w="1792" w:type="dxa"/>
          </w:tcPr>
          <w:p w14:paraId="6132CEB6" w14:textId="647C12FE" w:rsidR="001A1541" w:rsidRDefault="001A1541" w:rsidP="003728A7">
            <w:pPr>
              <w:rPr>
                <w:rFonts w:ascii="Cambria" w:hAnsi="Cambria"/>
              </w:rPr>
            </w:pPr>
            <w:r>
              <w:rPr>
                <w:rFonts w:ascii="Cambria" w:hAnsi="Cambria"/>
              </w:rPr>
              <w:t>0.055</w:t>
            </w:r>
          </w:p>
        </w:tc>
      </w:tr>
      <w:tr w:rsidR="001A1541" w14:paraId="4ECC1385" w14:textId="03FB8538" w:rsidTr="001A1541">
        <w:tc>
          <w:tcPr>
            <w:tcW w:w="1990" w:type="dxa"/>
          </w:tcPr>
          <w:p w14:paraId="76F034C7" w14:textId="119F83AF" w:rsidR="001A1541" w:rsidRDefault="001A1541" w:rsidP="003728A7">
            <w:pPr>
              <w:rPr>
                <w:rFonts w:ascii="Cambria" w:hAnsi="Cambria"/>
              </w:rPr>
            </w:pPr>
            <w:r>
              <w:rPr>
                <w:rFonts w:ascii="Cambria" w:hAnsi="Cambria"/>
              </w:rPr>
              <w:t>k-</w:t>
            </w:r>
            <w:proofErr w:type="spellStart"/>
            <w:r>
              <w:rPr>
                <w:rFonts w:ascii="Cambria" w:hAnsi="Cambria"/>
              </w:rPr>
              <w:t>nTS</w:t>
            </w:r>
            <w:proofErr w:type="spellEnd"/>
            <w:r>
              <w:rPr>
                <w:rFonts w:ascii="Cambria" w:hAnsi="Cambria"/>
              </w:rPr>
              <w:t>+ with Preprocessing</w:t>
            </w:r>
          </w:p>
        </w:tc>
        <w:tc>
          <w:tcPr>
            <w:tcW w:w="1984" w:type="dxa"/>
          </w:tcPr>
          <w:p w14:paraId="7825B897" w14:textId="447720F5" w:rsidR="001A1541" w:rsidRDefault="001A1541" w:rsidP="003728A7">
            <w:pPr>
              <w:rPr>
                <w:rFonts w:ascii="Cambria" w:hAnsi="Cambria"/>
              </w:rPr>
            </w:pPr>
            <w:r>
              <w:rPr>
                <w:rFonts w:ascii="Cambria" w:hAnsi="Cambria"/>
              </w:rPr>
              <w:t>24%</w:t>
            </w:r>
          </w:p>
        </w:tc>
        <w:tc>
          <w:tcPr>
            <w:tcW w:w="1792" w:type="dxa"/>
          </w:tcPr>
          <w:p w14:paraId="5A277443" w14:textId="747C3A28" w:rsidR="001A1541" w:rsidRDefault="001A1541" w:rsidP="003728A7">
            <w:pPr>
              <w:rPr>
                <w:rFonts w:ascii="Cambria" w:hAnsi="Cambria"/>
              </w:rPr>
            </w:pPr>
            <w:r>
              <w:rPr>
                <w:rFonts w:ascii="Cambria" w:hAnsi="Cambria"/>
              </w:rPr>
              <w:t>0.25</w:t>
            </w:r>
          </w:p>
        </w:tc>
        <w:tc>
          <w:tcPr>
            <w:tcW w:w="1792" w:type="dxa"/>
          </w:tcPr>
          <w:p w14:paraId="36A40E79" w14:textId="7525A5EB" w:rsidR="001A1541" w:rsidRDefault="001A1541" w:rsidP="003728A7">
            <w:pPr>
              <w:rPr>
                <w:rFonts w:ascii="Cambria" w:hAnsi="Cambria"/>
              </w:rPr>
            </w:pPr>
            <w:r>
              <w:rPr>
                <w:rFonts w:ascii="Cambria" w:hAnsi="Cambria"/>
              </w:rPr>
              <w:t>0.482</w:t>
            </w:r>
          </w:p>
        </w:tc>
      </w:tr>
      <w:tr w:rsidR="001A1541" w14:paraId="133241B7" w14:textId="1D990CBC" w:rsidTr="001A1541">
        <w:tc>
          <w:tcPr>
            <w:tcW w:w="1990" w:type="dxa"/>
          </w:tcPr>
          <w:p w14:paraId="0615ADD0" w14:textId="0C442C5C" w:rsidR="001A1541" w:rsidRDefault="001A1541" w:rsidP="003728A7">
            <w:pPr>
              <w:rPr>
                <w:rFonts w:ascii="Cambria" w:hAnsi="Cambria"/>
              </w:rPr>
            </w:pPr>
            <w:r>
              <w:rPr>
                <w:rFonts w:ascii="Cambria" w:hAnsi="Cambria"/>
              </w:rPr>
              <w:t>k-</w:t>
            </w:r>
            <w:proofErr w:type="spellStart"/>
            <w:r>
              <w:rPr>
                <w:rFonts w:ascii="Cambria" w:hAnsi="Cambria"/>
              </w:rPr>
              <w:t>nTS</w:t>
            </w:r>
            <w:proofErr w:type="spellEnd"/>
            <w:r>
              <w:rPr>
                <w:rFonts w:ascii="Cambria" w:hAnsi="Cambria"/>
              </w:rPr>
              <w:t>+ with Preprocessing and longer windows</w:t>
            </w:r>
          </w:p>
        </w:tc>
        <w:tc>
          <w:tcPr>
            <w:tcW w:w="1984" w:type="dxa"/>
          </w:tcPr>
          <w:p w14:paraId="08B9A589" w14:textId="69FED3ED" w:rsidR="001A1541" w:rsidRDefault="001A1541" w:rsidP="003728A7">
            <w:pPr>
              <w:rPr>
                <w:rFonts w:ascii="Cambria" w:hAnsi="Cambria"/>
              </w:rPr>
            </w:pPr>
            <w:r>
              <w:rPr>
                <w:rFonts w:ascii="Cambria" w:hAnsi="Cambria"/>
              </w:rPr>
              <w:t>28%</w:t>
            </w:r>
          </w:p>
        </w:tc>
        <w:tc>
          <w:tcPr>
            <w:tcW w:w="1792" w:type="dxa"/>
          </w:tcPr>
          <w:p w14:paraId="5510293F" w14:textId="448AB754" w:rsidR="001A1541" w:rsidRDefault="001A1541" w:rsidP="003728A7">
            <w:pPr>
              <w:rPr>
                <w:rFonts w:ascii="Cambria" w:hAnsi="Cambria"/>
              </w:rPr>
            </w:pPr>
            <w:r>
              <w:rPr>
                <w:rFonts w:ascii="Cambria" w:hAnsi="Cambria"/>
              </w:rPr>
              <w:t>0.31</w:t>
            </w:r>
          </w:p>
        </w:tc>
        <w:tc>
          <w:tcPr>
            <w:tcW w:w="1792" w:type="dxa"/>
          </w:tcPr>
          <w:p w14:paraId="680B43BB" w14:textId="21929CF3" w:rsidR="001A1541" w:rsidRDefault="001A1541" w:rsidP="003728A7">
            <w:pPr>
              <w:rPr>
                <w:rFonts w:ascii="Cambria" w:hAnsi="Cambria"/>
              </w:rPr>
            </w:pPr>
            <w:r>
              <w:rPr>
                <w:rFonts w:ascii="Cambria" w:hAnsi="Cambria"/>
              </w:rPr>
              <w:t>0.384</w:t>
            </w:r>
          </w:p>
        </w:tc>
      </w:tr>
      <w:tr w:rsidR="001A1541" w14:paraId="4DF83AA6" w14:textId="3A6E7DBB" w:rsidTr="001A1541">
        <w:tc>
          <w:tcPr>
            <w:tcW w:w="1990" w:type="dxa"/>
          </w:tcPr>
          <w:p w14:paraId="0A0FC8B9" w14:textId="174DB321" w:rsidR="001A1541" w:rsidRDefault="001A1541" w:rsidP="003728A7">
            <w:pPr>
              <w:rPr>
                <w:rFonts w:ascii="Cambria" w:hAnsi="Cambria"/>
              </w:rPr>
            </w:pPr>
            <w:r>
              <w:rPr>
                <w:rFonts w:ascii="Cambria" w:hAnsi="Cambria"/>
              </w:rPr>
              <w:t>k-</w:t>
            </w:r>
            <w:proofErr w:type="spellStart"/>
            <w:r>
              <w:rPr>
                <w:rFonts w:ascii="Cambria" w:hAnsi="Cambria"/>
              </w:rPr>
              <w:t>nTS</w:t>
            </w:r>
            <w:proofErr w:type="spellEnd"/>
            <w:r>
              <w:rPr>
                <w:rFonts w:ascii="Cambria" w:hAnsi="Cambria"/>
              </w:rPr>
              <w:t>+ with scaling and outlier replacement</w:t>
            </w:r>
          </w:p>
        </w:tc>
        <w:tc>
          <w:tcPr>
            <w:tcW w:w="1984" w:type="dxa"/>
          </w:tcPr>
          <w:p w14:paraId="1A942060" w14:textId="7EF271C3" w:rsidR="001A1541" w:rsidRDefault="001A1541" w:rsidP="003728A7">
            <w:pPr>
              <w:rPr>
                <w:rFonts w:ascii="Cambria" w:hAnsi="Cambria"/>
              </w:rPr>
            </w:pPr>
            <w:r>
              <w:rPr>
                <w:rFonts w:ascii="Cambria" w:hAnsi="Cambria"/>
              </w:rPr>
              <w:t>34%</w:t>
            </w:r>
          </w:p>
        </w:tc>
        <w:tc>
          <w:tcPr>
            <w:tcW w:w="1792" w:type="dxa"/>
          </w:tcPr>
          <w:p w14:paraId="3FAABB12" w14:textId="631B7EF9" w:rsidR="001A1541" w:rsidRDefault="001A1541" w:rsidP="003728A7">
            <w:pPr>
              <w:rPr>
                <w:rFonts w:ascii="Cambria" w:hAnsi="Cambria"/>
              </w:rPr>
            </w:pPr>
            <w:r>
              <w:rPr>
                <w:rFonts w:ascii="Cambria" w:hAnsi="Cambria"/>
              </w:rPr>
              <w:t>0.37</w:t>
            </w:r>
          </w:p>
        </w:tc>
        <w:tc>
          <w:tcPr>
            <w:tcW w:w="1792" w:type="dxa"/>
          </w:tcPr>
          <w:p w14:paraId="13D78439" w14:textId="57AAB8B9" w:rsidR="001A1541" w:rsidRDefault="001A1541" w:rsidP="003728A7">
            <w:pPr>
              <w:rPr>
                <w:rFonts w:ascii="Cambria" w:hAnsi="Cambria"/>
              </w:rPr>
            </w:pPr>
            <w:r>
              <w:rPr>
                <w:rFonts w:ascii="Cambria" w:hAnsi="Cambria"/>
              </w:rPr>
              <w:t>0.324</w:t>
            </w:r>
          </w:p>
        </w:tc>
      </w:tr>
      <w:tr w:rsidR="001A1541" w14:paraId="58AD0DF8" w14:textId="77777777" w:rsidTr="001A1541">
        <w:tc>
          <w:tcPr>
            <w:tcW w:w="1990" w:type="dxa"/>
          </w:tcPr>
          <w:p w14:paraId="370B9046" w14:textId="0561A0A8" w:rsidR="001A1541" w:rsidRDefault="001A1541" w:rsidP="003728A7">
            <w:pPr>
              <w:rPr>
                <w:rFonts w:ascii="Cambria" w:hAnsi="Cambria"/>
              </w:rPr>
            </w:pPr>
            <w:r>
              <w:rPr>
                <w:rFonts w:ascii="Cambria" w:hAnsi="Cambria"/>
              </w:rPr>
              <w:t>k-</w:t>
            </w:r>
            <w:proofErr w:type="spellStart"/>
            <w:r>
              <w:rPr>
                <w:rFonts w:ascii="Cambria" w:hAnsi="Cambria"/>
              </w:rPr>
              <w:t>nTS</w:t>
            </w:r>
            <w:proofErr w:type="spellEnd"/>
            <w:r>
              <w:rPr>
                <w:rFonts w:ascii="Cambria" w:hAnsi="Cambria"/>
              </w:rPr>
              <w:t>+ augmented with synthetic series (GRATIS)</w:t>
            </w:r>
          </w:p>
        </w:tc>
        <w:tc>
          <w:tcPr>
            <w:tcW w:w="1984" w:type="dxa"/>
          </w:tcPr>
          <w:p w14:paraId="51AA986F" w14:textId="675BE593" w:rsidR="001A1541" w:rsidRDefault="001A1541" w:rsidP="003728A7">
            <w:pPr>
              <w:rPr>
                <w:rFonts w:ascii="Cambria" w:hAnsi="Cambria"/>
              </w:rPr>
            </w:pPr>
            <w:r>
              <w:rPr>
                <w:rFonts w:ascii="Cambria" w:hAnsi="Cambria"/>
              </w:rPr>
              <w:t>244%</w:t>
            </w:r>
          </w:p>
        </w:tc>
        <w:tc>
          <w:tcPr>
            <w:tcW w:w="1792" w:type="dxa"/>
          </w:tcPr>
          <w:p w14:paraId="18A6AD59" w14:textId="5F8053AE" w:rsidR="001A1541" w:rsidRDefault="001A1541" w:rsidP="003728A7">
            <w:pPr>
              <w:rPr>
                <w:rFonts w:ascii="Cambria" w:hAnsi="Cambria"/>
              </w:rPr>
            </w:pPr>
            <w:r>
              <w:rPr>
                <w:rFonts w:ascii="Cambria" w:hAnsi="Cambria"/>
              </w:rPr>
              <w:t>4.12</w:t>
            </w:r>
          </w:p>
        </w:tc>
        <w:tc>
          <w:tcPr>
            <w:tcW w:w="1792" w:type="dxa"/>
          </w:tcPr>
          <w:p w14:paraId="4D54ECB3" w14:textId="69438CB7" w:rsidR="001A1541" w:rsidRDefault="001A1541" w:rsidP="003728A7">
            <w:pPr>
              <w:rPr>
                <w:rFonts w:ascii="Cambria" w:hAnsi="Cambria"/>
              </w:rPr>
            </w:pPr>
            <w:r>
              <w:rPr>
                <w:rFonts w:ascii="Cambria" w:hAnsi="Cambria"/>
              </w:rPr>
              <w:t>0.095</w:t>
            </w:r>
          </w:p>
        </w:tc>
      </w:tr>
    </w:tbl>
    <w:p w14:paraId="4C6108CA" w14:textId="77777777" w:rsidR="001A1541" w:rsidRDefault="001A1541" w:rsidP="003728A7">
      <w:pPr>
        <w:rPr>
          <w:rFonts w:ascii="Cambria" w:hAnsi="Cambria"/>
        </w:rPr>
      </w:pPr>
    </w:p>
    <w:p w14:paraId="0084772E" w14:textId="67095C4F" w:rsidR="001A1541" w:rsidRDefault="001A1541" w:rsidP="003728A7">
      <w:pPr>
        <w:rPr>
          <w:rFonts w:ascii="Cambria" w:hAnsi="Cambria"/>
        </w:rPr>
      </w:pPr>
      <w:r>
        <w:rPr>
          <w:rFonts w:ascii="Cambria" w:hAnsi="Cambria"/>
        </w:rPr>
        <w:t>The protected series from the original version of k-</w:t>
      </w:r>
      <w:proofErr w:type="spellStart"/>
      <w:r>
        <w:rPr>
          <w:rFonts w:ascii="Cambria" w:hAnsi="Cambria"/>
        </w:rPr>
        <w:t>nTS</w:t>
      </w:r>
      <w:proofErr w:type="spellEnd"/>
      <w:r>
        <w:rPr>
          <w:rFonts w:ascii="Cambria" w:hAnsi="Cambria"/>
        </w:rPr>
        <w:t xml:space="preserve">+ were identified a similar proportion of the time across </w:t>
      </w:r>
      <w:proofErr w:type="gramStart"/>
      <w:r>
        <w:rPr>
          <w:rFonts w:ascii="Cambria" w:hAnsi="Cambria"/>
        </w:rPr>
        <w:t>all of</w:t>
      </w:r>
      <w:proofErr w:type="gramEnd"/>
      <w:r>
        <w:rPr>
          <w:rFonts w:ascii="Cambria" w:hAnsi="Cambria"/>
        </w:rPr>
        <w:t xml:space="preserve"> the M3 data compared to our previous results on the just the M3 monthly micro data (5.5% compared to 3.3%).</w:t>
      </w:r>
      <w:r w:rsidR="00947213">
        <w:rPr>
          <w:rFonts w:ascii="Cambria" w:hAnsi="Cambria"/>
        </w:rPr>
        <w:t xml:space="preserve"> </w:t>
      </w:r>
      <w:r w:rsidR="00605BA3">
        <w:rPr>
          <w:rFonts w:ascii="Cambria" w:hAnsi="Cambria"/>
        </w:rPr>
        <w:t>These p</w:t>
      </w:r>
      <w:r w:rsidR="00947213">
        <w:rPr>
          <w:rFonts w:ascii="Cambria" w:hAnsi="Cambria"/>
        </w:rPr>
        <w:t xml:space="preserve">rivacy results are where we want them, but accuracy is unacceptable (127% increase in MAE on average, and an average increase in MASE of 1.81. On the other hand, if we take measures to improve the forecast accuracy by performing seasonal decomposition, smoothing, scaling the swapped values to the original series, and adding the seasonal component, our accuracy improves </w:t>
      </w:r>
      <w:r w:rsidR="00947213">
        <w:rPr>
          <w:rFonts w:ascii="Cambria" w:hAnsi="Cambria"/>
        </w:rPr>
        <w:lastRenderedPageBreak/>
        <w:t>significantly (a 24% increase in MAE and 0.25 increase in MASE) but our privacy results are unacceptable</w:t>
      </w:r>
      <w:r w:rsidR="00605BA3">
        <w:rPr>
          <w:rFonts w:ascii="Cambria" w:hAnsi="Cambria"/>
        </w:rPr>
        <w:t xml:space="preserve">: </w:t>
      </w:r>
      <w:r w:rsidR="00AC2C38">
        <w:rPr>
          <w:rFonts w:ascii="Cambria" w:hAnsi="Cambria"/>
        </w:rPr>
        <w:t>48</w:t>
      </w:r>
      <w:r w:rsidR="00947213">
        <w:rPr>
          <w:rFonts w:ascii="Cambria" w:hAnsi="Cambria"/>
        </w:rPr>
        <w:t xml:space="preserve">% of series are correctly identified on average. Increasing the length of the swapping windows reduces accuracy (28% increase in MAE and 0.31 increase in MASE) </w:t>
      </w:r>
      <w:r w:rsidR="00605BA3">
        <w:rPr>
          <w:rFonts w:ascii="Cambria" w:hAnsi="Cambria"/>
        </w:rPr>
        <w:t>and improves privacy to 38% identified series (which is still unacceptable). If we do not perform the seasonal decomposition or smoothing, and instead only perform the scaling and replace any outliers, we still have about 32% of series identified on average, with accuracy results that are worse than with the full pre-processing steps. The results using synthetic time series are inconsistent, since privacy is slightly worse than under the original k-</w:t>
      </w:r>
      <w:proofErr w:type="spellStart"/>
      <w:r w:rsidR="00605BA3">
        <w:rPr>
          <w:rFonts w:ascii="Cambria" w:hAnsi="Cambria"/>
        </w:rPr>
        <w:t>nTS</w:t>
      </w:r>
      <w:proofErr w:type="spellEnd"/>
      <w:r w:rsidR="00605BA3">
        <w:rPr>
          <w:rFonts w:ascii="Cambria" w:hAnsi="Cambria"/>
        </w:rPr>
        <w:t>+ (9.5% compared to 5.5% identified) but forecast accuracy is significantly worse (244% increase in MAE).</w:t>
      </w:r>
    </w:p>
    <w:p w14:paraId="12087A17" w14:textId="77777777" w:rsidR="00AC2C38" w:rsidRDefault="00AC2C38" w:rsidP="003728A7">
      <w:pPr>
        <w:rPr>
          <w:rFonts w:ascii="Cambria" w:hAnsi="Cambria"/>
        </w:rPr>
      </w:pPr>
    </w:p>
    <w:p w14:paraId="47D465F2" w14:textId="16B2AD17" w:rsidR="00AC2C38" w:rsidRDefault="00AC2C38" w:rsidP="003728A7">
      <w:pPr>
        <w:rPr>
          <w:rFonts w:ascii="Cambria" w:hAnsi="Cambria"/>
        </w:rPr>
      </w:pPr>
      <w:r>
        <w:rPr>
          <w:rFonts w:ascii="Cambria" w:hAnsi="Cambria"/>
        </w:rPr>
        <w:t>The original k-</w:t>
      </w:r>
      <w:proofErr w:type="spellStart"/>
      <w:r>
        <w:rPr>
          <w:rFonts w:ascii="Cambria" w:hAnsi="Cambria"/>
        </w:rPr>
        <w:t>nTS</w:t>
      </w:r>
      <w:proofErr w:type="spellEnd"/>
      <w:r>
        <w:rPr>
          <w:rFonts w:ascii="Cambria" w:hAnsi="Cambria"/>
        </w:rPr>
        <w:t xml:space="preserve">+ likely provides the best privacy protection because exact confidential values are swapped across all series. </w:t>
      </w:r>
      <w:proofErr w:type="gramStart"/>
      <w:r>
        <w:rPr>
          <w:rFonts w:ascii="Cambria" w:hAnsi="Cambria"/>
        </w:rPr>
        <w:t>So</w:t>
      </w:r>
      <w:proofErr w:type="gramEnd"/>
      <w:r>
        <w:rPr>
          <w:rFonts w:ascii="Cambria" w:hAnsi="Cambria"/>
        </w:rPr>
        <w:t xml:space="preserve"> the adversary has difficulty distinguishing the identities of protected series since the known confidential values could match multiple protected series. The versions of k-</w:t>
      </w:r>
      <w:proofErr w:type="spellStart"/>
      <w:r>
        <w:rPr>
          <w:rFonts w:ascii="Cambria" w:hAnsi="Cambria"/>
        </w:rPr>
        <w:t>nTS</w:t>
      </w:r>
      <w:proofErr w:type="spellEnd"/>
      <w:r>
        <w:rPr>
          <w:rFonts w:ascii="Cambria" w:hAnsi="Cambria"/>
        </w:rPr>
        <w:t>+ with preprocessing apply scaling to the swapped values to improve their similarity to the values of the original series, hence privacy is worse, not to mention the pre-processing step that preserved the seasonality of the original series.</w:t>
      </w:r>
    </w:p>
    <w:p w14:paraId="23BC0C5D" w14:textId="77777777" w:rsidR="00AC2C38" w:rsidRDefault="00AC2C38" w:rsidP="003728A7">
      <w:pPr>
        <w:pBdr>
          <w:bottom w:val="single" w:sz="6" w:space="1" w:color="auto"/>
        </w:pBdr>
        <w:rPr>
          <w:rFonts w:ascii="Cambria" w:hAnsi="Cambria"/>
        </w:rPr>
      </w:pPr>
    </w:p>
    <w:p w14:paraId="152D178D" w14:textId="77777777" w:rsidR="003F5AF3" w:rsidRDefault="003F5AF3" w:rsidP="003728A7">
      <w:pPr>
        <w:rPr>
          <w:rFonts w:ascii="Cambria" w:hAnsi="Cambria"/>
        </w:rPr>
      </w:pPr>
    </w:p>
    <w:p w14:paraId="2DC04203" w14:textId="2F22A854" w:rsidR="003F5AF3" w:rsidRDefault="003F5AF3" w:rsidP="003728A7">
      <w:pPr>
        <w:rPr>
          <w:rFonts w:ascii="Cambria" w:hAnsi="Cambria"/>
        </w:rPr>
      </w:pPr>
      <w:r>
        <w:rPr>
          <w:rFonts w:ascii="Cambria" w:hAnsi="Cambria"/>
        </w:rPr>
        <w:t>I did another analysis operating under the hypothesis that data sets with series that have different feature values will have worse forecast accuracy under k-</w:t>
      </w:r>
      <w:proofErr w:type="spellStart"/>
      <w:r>
        <w:rPr>
          <w:rFonts w:ascii="Cambria" w:hAnsi="Cambria"/>
        </w:rPr>
        <w:t>nTS</w:t>
      </w:r>
      <w:proofErr w:type="spellEnd"/>
      <w:r>
        <w:rPr>
          <w:rFonts w:ascii="Cambria" w:hAnsi="Cambria"/>
        </w:rPr>
        <w:t xml:space="preserve">+. </w:t>
      </w:r>
    </w:p>
    <w:p w14:paraId="288F7FBE" w14:textId="77777777" w:rsidR="003F5AF3" w:rsidRDefault="003F5AF3" w:rsidP="003728A7">
      <w:pPr>
        <w:rPr>
          <w:rFonts w:ascii="Cambria" w:hAnsi="Cambria"/>
        </w:rPr>
      </w:pPr>
    </w:p>
    <w:p w14:paraId="2B95A506" w14:textId="2A0FAD96" w:rsidR="003F5AF3" w:rsidRPr="003F5AF3" w:rsidRDefault="003F5AF3" w:rsidP="003F5AF3">
      <w:pPr>
        <w:rPr>
          <w:rFonts w:ascii="Cambria" w:hAnsi="Cambria"/>
        </w:rPr>
      </w:pPr>
      <w:r w:rsidRPr="003F5AF3">
        <w:rPr>
          <w:rFonts w:ascii="Cambria" w:hAnsi="Cambria"/>
        </w:rPr>
        <w:t>Our goal is to understand why our method performed so well on the M3 monthly micro data, but so poorly on the rest of the M3 data sets. My theory is that the similarity (based on features) and the spectral entropies (proxying for how well the original series can be forecast) will help determine when our method will perform well and when it won't.</w:t>
      </w:r>
      <w:r>
        <w:rPr>
          <w:rFonts w:ascii="Cambria" w:hAnsi="Cambria"/>
        </w:rPr>
        <w:t xml:space="preserve"> O</w:t>
      </w:r>
      <w:r w:rsidRPr="003F5AF3">
        <w:rPr>
          <w:rFonts w:ascii="Cambria" w:hAnsi="Cambria"/>
        </w:rPr>
        <w:t>ur method is selecting a few features that are not only more likely to vary across time series with different forecast accuracies (</w:t>
      </w:r>
      <w:proofErr w:type="spellStart"/>
      <w:r w:rsidRPr="003F5AF3">
        <w:rPr>
          <w:rFonts w:ascii="Cambria" w:hAnsi="Cambria"/>
        </w:rPr>
        <w:t>RReliefF</w:t>
      </w:r>
      <w:proofErr w:type="spellEnd"/>
      <w:r w:rsidRPr="003F5AF3">
        <w:rPr>
          <w:rFonts w:ascii="Cambria" w:hAnsi="Cambria"/>
        </w:rPr>
        <w:t>), but they are also almost as predictive as using all selected features to predict forecast accuracy across the original and baseline protected data sets (RFE). So, if we include these features in the swapping process, we should maintain their values (assuming there are similar series to swap with) and thereby maintain forecast accuracy. HOWEVER, we saw in the previous M3 monthly micro results that the spectral entropies of the protected series tended to be higher than those of the original series. This makes sense - even though we are preserving features that are important/predictive for forecast accuracy, we are</w:t>
      </w:r>
      <w:r>
        <w:rPr>
          <w:rFonts w:ascii="Cambria" w:hAnsi="Cambria"/>
        </w:rPr>
        <w:t xml:space="preserve"> </w:t>
      </w:r>
      <w:r w:rsidRPr="003F5AF3">
        <w:rPr>
          <w:rFonts w:ascii="Cambria" w:hAnsi="Cambria"/>
        </w:rPr>
        <w:t>introducing randomness into the time series, which reduces autocorrelation, which increases spectral entropy. Past research (</w:t>
      </w:r>
      <w:proofErr w:type="spellStart"/>
      <w:r w:rsidRPr="003F5AF3">
        <w:rPr>
          <w:rFonts w:ascii="Cambria" w:hAnsi="Cambria"/>
        </w:rPr>
        <w:t>Spiliotis</w:t>
      </w:r>
      <w:proofErr w:type="spellEnd"/>
      <w:r w:rsidRPr="003F5AF3">
        <w:rPr>
          <w:rFonts w:ascii="Cambria" w:hAnsi="Cambria"/>
        </w:rPr>
        <w:t xml:space="preserve"> et al. 2020) shows through multiple linear regression that, holding many other features constant (strength of trend, strength of seasonality, skewness, kurtosis, etc.) an increase in spectral entropy is associated with an increase in the MASE of the forecasted M4 time series at a statistically significant level.</w:t>
      </w:r>
      <w:r>
        <w:rPr>
          <w:rFonts w:ascii="Cambria" w:hAnsi="Cambria"/>
        </w:rPr>
        <w:t xml:space="preserve"> I assume this result would extend to other time series as well.</w:t>
      </w:r>
    </w:p>
    <w:p w14:paraId="26E897D8" w14:textId="77777777" w:rsidR="003F5AF3" w:rsidRPr="003F5AF3" w:rsidRDefault="003F5AF3" w:rsidP="003F5AF3">
      <w:pPr>
        <w:rPr>
          <w:rFonts w:ascii="Cambria" w:hAnsi="Cambria"/>
        </w:rPr>
      </w:pPr>
    </w:p>
    <w:p w14:paraId="441609F1" w14:textId="6492DAEF" w:rsidR="003F5AF3" w:rsidRPr="003F5AF3" w:rsidRDefault="003F5AF3" w:rsidP="003F5AF3">
      <w:pPr>
        <w:rPr>
          <w:rFonts w:ascii="Cambria" w:hAnsi="Cambria"/>
        </w:rPr>
      </w:pPr>
      <w:r w:rsidRPr="003F5AF3">
        <w:rPr>
          <w:rFonts w:ascii="Cambria" w:hAnsi="Cambria"/>
        </w:rPr>
        <w:t xml:space="preserve">Based on these findings, I </w:t>
      </w:r>
      <w:r w:rsidR="00F2244D">
        <w:rPr>
          <w:rFonts w:ascii="Cambria" w:hAnsi="Cambria"/>
        </w:rPr>
        <w:t>wanted to see whether</w:t>
      </w:r>
      <w:r w:rsidRPr="003F5AF3">
        <w:rPr>
          <w:rFonts w:ascii="Cambria" w:hAnsi="Cambria"/>
        </w:rPr>
        <w:t xml:space="preserve"> data sets with time series that (1) are highly similar on the selected features, and (2) have high</w:t>
      </w:r>
    </w:p>
    <w:p w14:paraId="24859F93" w14:textId="4309DFDD" w:rsidR="003F5AF3" w:rsidRDefault="003F5AF3" w:rsidP="003F5AF3">
      <w:pPr>
        <w:rPr>
          <w:rFonts w:ascii="Cambria" w:hAnsi="Cambria"/>
        </w:rPr>
      </w:pPr>
      <w:r w:rsidRPr="003F5AF3">
        <w:rPr>
          <w:rFonts w:ascii="Cambria" w:hAnsi="Cambria"/>
        </w:rPr>
        <w:lastRenderedPageBreak/>
        <w:t>spectral entropy will have the best results from k-</w:t>
      </w:r>
      <w:proofErr w:type="spellStart"/>
      <w:r w:rsidRPr="003F5AF3">
        <w:rPr>
          <w:rFonts w:ascii="Cambria" w:hAnsi="Cambria"/>
        </w:rPr>
        <w:t>nTS</w:t>
      </w:r>
      <w:proofErr w:type="spellEnd"/>
      <w:r w:rsidRPr="003F5AF3">
        <w:rPr>
          <w:rFonts w:ascii="Cambria" w:hAnsi="Cambria"/>
        </w:rPr>
        <w:t xml:space="preserve">+. Data sets with series that </w:t>
      </w:r>
      <w:r w:rsidR="007354EB">
        <w:rPr>
          <w:rFonts w:ascii="Cambria" w:hAnsi="Cambria"/>
        </w:rPr>
        <w:t>are</w:t>
      </w:r>
      <w:r w:rsidRPr="003F5AF3">
        <w:rPr>
          <w:rFonts w:ascii="Cambria" w:hAnsi="Cambria"/>
        </w:rPr>
        <w:t xml:space="preserve"> less similar on the important features </w:t>
      </w:r>
      <w:r w:rsidR="007354EB">
        <w:rPr>
          <w:rFonts w:ascii="Cambria" w:hAnsi="Cambria"/>
        </w:rPr>
        <w:t>may</w:t>
      </w:r>
      <w:r w:rsidRPr="003F5AF3">
        <w:rPr>
          <w:rFonts w:ascii="Cambria" w:hAnsi="Cambria"/>
        </w:rPr>
        <w:t xml:space="preserve"> not be</w:t>
      </w:r>
      <w:r>
        <w:rPr>
          <w:rFonts w:ascii="Cambria" w:hAnsi="Cambria"/>
        </w:rPr>
        <w:t xml:space="preserve"> </w:t>
      </w:r>
      <w:r w:rsidRPr="003F5AF3">
        <w:rPr>
          <w:rFonts w:ascii="Cambria" w:hAnsi="Cambria"/>
        </w:rPr>
        <w:t xml:space="preserve">able to swap values without destroying forecast accuracy. And, even if </w:t>
      </w:r>
      <w:r w:rsidR="007354EB">
        <w:rPr>
          <w:rFonts w:ascii="Cambria" w:hAnsi="Cambria"/>
        </w:rPr>
        <w:t>a data set</w:t>
      </w:r>
      <w:r w:rsidRPr="003F5AF3">
        <w:rPr>
          <w:rFonts w:ascii="Cambria" w:hAnsi="Cambria"/>
        </w:rPr>
        <w:t xml:space="preserve"> </w:t>
      </w:r>
      <w:r w:rsidR="007354EB">
        <w:rPr>
          <w:rFonts w:ascii="Cambria" w:hAnsi="Cambria"/>
        </w:rPr>
        <w:t>has</w:t>
      </w:r>
      <w:r w:rsidRPr="003F5AF3">
        <w:rPr>
          <w:rFonts w:ascii="Cambria" w:hAnsi="Cambria"/>
        </w:rPr>
        <w:t xml:space="preserve"> time series with very similar features, the forecast accuracy for series with low spectral entropies may still be unacceptable since we are introducing randomness.</w:t>
      </w:r>
    </w:p>
    <w:p w14:paraId="526963FE" w14:textId="77777777" w:rsidR="003F5AF3" w:rsidRDefault="003F5AF3" w:rsidP="003F5AF3">
      <w:pPr>
        <w:rPr>
          <w:rFonts w:ascii="Cambria" w:hAnsi="Cambria"/>
        </w:rPr>
      </w:pPr>
    </w:p>
    <w:p w14:paraId="6A055402" w14:textId="776A3EF2" w:rsidR="003F5AF3" w:rsidRDefault="003F5AF3" w:rsidP="003F5AF3">
      <w:pPr>
        <w:rPr>
          <w:rFonts w:ascii="Cambria" w:hAnsi="Cambria"/>
        </w:rPr>
      </w:pPr>
      <w:r>
        <w:rPr>
          <w:rFonts w:ascii="Cambria" w:hAnsi="Cambria"/>
        </w:rPr>
        <w:t xml:space="preserve">Kang et al. (2020) suggest using t-SNE to visualize the feature similarity of time series since linear dimension reduction techniques (PCA) can produce misleading results when many potentially non-linearly correlated features are present. Note that we compute feature similarity within the data subsets </w:t>
      </w:r>
      <w:r w:rsidR="003F477F">
        <w:rPr>
          <w:rFonts w:ascii="Cambria" w:hAnsi="Cambria"/>
        </w:rPr>
        <w:t>with series that have the same length.</w:t>
      </w:r>
      <w:r>
        <w:rPr>
          <w:rFonts w:ascii="Cambria" w:hAnsi="Cambria"/>
        </w:rPr>
        <w:t xml:space="preserve"> </w:t>
      </w:r>
    </w:p>
    <w:p w14:paraId="7B466DAF" w14:textId="77777777" w:rsidR="003F5AF3" w:rsidRDefault="003F5AF3" w:rsidP="003F5AF3">
      <w:pPr>
        <w:rPr>
          <w:rFonts w:ascii="Cambria" w:hAnsi="Cambria"/>
        </w:rPr>
      </w:pPr>
    </w:p>
    <w:p w14:paraId="6800BE50" w14:textId="0B902398" w:rsidR="003F5AF3" w:rsidRPr="003F5AF3" w:rsidRDefault="003F5AF3" w:rsidP="003F5AF3">
      <w:pPr>
        <w:rPr>
          <w:rFonts w:ascii="Cambria" w:hAnsi="Cambria"/>
          <w:i/>
          <w:iCs/>
        </w:rPr>
      </w:pPr>
      <w:r w:rsidRPr="003F5AF3">
        <w:rPr>
          <w:rFonts w:ascii="Cambria" w:hAnsi="Cambria"/>
          <w:b/>
          <w:bCs/>
          <w:i/>
          <w:iCs/>
        </w:rPr>
        <w:t xml:space="preserve">Fig 1: </w:t>
      </w:r>
      <w:r w:rsidRPr="003F5AF3">
        <w:rPr>
          <w:rFonts w:ascii="Cambria" w:hAnsi="Cambria"/>
          <w:i/>
          <w:iCs/>
        </w:rPr>
        <w:t xml:space="preserve">plots of t-SNE dimension reduced feature vectors. The </w:t>
      </w:r>
      <w:r>
        <w:rPr>
          <w:rFonts w:ascii="Cambria" w:hAnsi="Cambria"/>
          <w:i/>
          <w:iCs/>
        </w:rPr>
        <w:t xml:space="preserve">original </w:t>
      </w:r>
      <w:r w:rsidRPr="003F5AF3">
        <w:rPr>
          <w:rFonts w:ascii="Cambria" w:hAnsi="Cambria"/>
          <w:i/>
          <w:iCs/>
        </w:rPr>
        <w:t>feature vectors of each data subset contain</w:t>
      </w:r>
      <w:r>
        <w:rPr>
          <w:rFonts w:ascii="Cambria" w:hAnsi="Cambria"/>
          <w:i/>
          <w:iCs/>
        </w:rPr>
        <w:t>ed</w:t>
      </w:r>
      <w:r w:rsidRPr="003F5AF3">
        <w:rPr>
          <w:rFonts w:ascii="Cambria" w:hAnsi="Cambria"/>
          <w:i/>
          <w:iCs/>
        </w:rPr>
        <w:t xml:space="preserve"> only the features that were chosen using our feature selection method.</w:t>
      </w:r>
      <w:r>
        <w:rPr>
          <w:rFonts w:ascii="Cambria" w:hAnsi="Cambria"/>
          <w:i/>
          <w:iCs/>
        </w:rPr>
        <w:t xml:space="preserve"> Points are colored by the spectral entropy of the original series.</w:t>
      </w:r>
    </w:p>
    <w:p w14:paraId="3171DFE5" w14:textId="140F6BE6" w:rsidR="003F5AF3" w:rsidRDefault="003F5AF3" w:rsidP="003F5AF3">
      <w:pPr>
        <w:rPr>
          <w:rFonts w:ascii="Cambria" w:hAnsi="Cambria"/>
        </w:rPr>
      </w:pPr>
      <w:r w:rsidRPr="003F5AF3">
        <w:rPr>
          <w:rFonts w:ascii="Cambria" w:hAnsi="Cambria"/>
        </w:rPr>
        <w:drawing>
          <wp:inline distT="0" distB="0" distL="0" distR="0" wp14:anchorId="29A5A5ED" wp14:editId="6A2E0FA8">
            <wp:extent cx="5943600" cy="5577840"/>
            <wp:effectExtent l="0" t="0" r="0" b="0"/>
            <wp:docPr id="1" name="Picture 1" descr="A graph of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different types of numbers&#10;&#10;Description automatically generated with medium confidence"/>
                    <pic:cNvPicPr/>
                  </pic:nvPicPr>
                  <pic:blipFill>
                    <a:blip r:embed="rId5"/>
                    <a:stretch>
                      <a:fillRect/>
                    </a:stretch>
                  </pic:blipFill>
                  <pic:spPr>
                    <a:xfrm>
                      <a:off x="0" y="0"/>
                      <a:ext cx="5955553" cy="5589057"/>
                    </a:xfrm>
                    <a:prstGeom prst="rect">
                      <a:avLst/>
                    </a:prstGeom>
                  </pic:spPr>
                </pic:pic>
              </a:graphicData>
            </a:graphic>
          </wp:inline>
        </w:drawing>
      </w:r>
    </w:p>
    <w:p w14:paraId="3C040134" w14:textId="2D0D9A35" w:rsidR="003F5AF3" w:rsidRDefault="003F5AF3" w:rsidP="003F5AF3">
      <w:pPr>
        <w:rPr>
          <w:rFonts w:ascii="Cambria" w:hAnsi="Cambria"/>
        </w:rPr>
      </w:pPr>
    </w:p>
    <w:p w14:paraId="575C9C2F" w14:textId="32151D0A" w:rsidR="003F5AF3" w:rsidRDefault="003F5AF3" w:rsidP="003F5AF3">
      <w:pPr>
        <w:rPr>
          <w:rFonts w:ascii="Cambria" w:hAnsi="Cambria"/>
        </w:rPr>
      </w:pPr>
      <w:r>
        <w:rPr>
          <w:rFonts w:ascii="Cambria" w:hAnsi="Cambria"/>
        </w:rPr>
        <w:t>Figure 1 shows that there is a lot of variation in the feature similarity across the data subsets.</w:t>
      </w:r>
      <w:r w:rsidR="003F477F">
        <w:rPr>
          <w:rFonts w:ascii="Cambria" w:hAnsi="Cambria"/>
        </w:rPr>
        <w:t xml:space="preserve"> Even within the monthly micro subsets, subsets 2 and 3 contain series that are much more </w:t>
      </w:r>
      <w:proofErr w:type="gramStart"/>
      <w:r w:rsidR="003F477F">
        <w:rPr>
          <w:rFonts w:ascii="Cambria" w:hAnsi="Cambria"/>
        </w:rPr>
        <w:t>similar to</w:t>
      </w:r>
      <w:proofErr w:type="gramEnd"/>
      <w:r w:rsidR="003F477F">
        <w:rPr>
          <w:rFonts w:ascii="Cambria" w:hAnsi="Cambria"/>
        </w:rPr>
        <w:t xml:space="preserve"> each other relative to subset 1. These subsets also have some of the highest spectral entropies (on average).</w:t>
      </w:r>
    </w:p>
    <w:p w14:paraId="0A0A1948" w14:textId="77777777" w:rsidR="003F477F" w:rsidRDefault="003F477F" w:rsidP="003F5AF3">
      <w:pPr>
        <w:rPr>
          <w:rFonts w:ascii="Cambria" w:hAnsi="Cambria"/>
        </w:rPr>
      </w:pPr>
    </w:p>
    <w:p w14:paraId="6F8F40A3" w14:textId="0D630979" w:rsidR="003F477F" w:rsidRPr="003F477F" w:rsidRDefault="003F477F" w:rsidP="003F5AF3">
      <w:pPr>
        <w:rPr>
          <w:rFonts w:ascii="Cambria" w:hAnsi="Cambria"/>
          <w:i/>
          <w:iCs/>
        </w:rPr>
      </w:pPr>
      <w:r>
        <w:rPr>
          <w:rFonts w:ascii="Cambria" w:hAnsi="Cambria"/>
          <w:i/>
          <w:iCs/>
        </w:rPr>
        <w:t>Table 2: Data subsets with the ten highest average spectral entropies (calculated across the original time series).</w:t>
      </w:r>
    </w:p>
    <w:p w14:paraId="185DBE48" w14:textId="41EA8F24" w:rsidR="003F477F" w:rsidRDefault="003F477F" w:rsidP="003F5AF3">
      <w:pPr>
        <w:rPr>
          <w:rFonts w:ascii="Cambria" w:hAnsi="Cambria"/>
        </w:rPr>
      </w:pPr>
    </w:p>
    <w:tbl>
      <w:tblPr>
        <w:tblStyle w:val="TableGrid"/>
        <w:tblW w:w="0" w:type="auto"/>
        <w:tblLook w:val="04A0" w:firstRow="1" w:lastRow="0" w:firstColumn="1" w:lastColumn="0" w:noHBand="0" w:noVBand="1"/>
      </w:tblPr>
      <w:tblGrid>
        <w:gridCol w:w="3468"/>
        <w:gridCol w:w="3187"/>
        <w:gridCol w:w="2695"/>
      </w:tblGrid>
      <w:tr w:rsidR="00283AF6" w14:paraId="3EC97522" w14:textId="7059A7F6" w:rsidTr="00283AF6">
        <w:tc>
          <w:tcPr>
            <w:tcW w:w="3468" w:type="dxa"/>
          </w:tcPr>
          <w:p w14:paraId="04F5A3CC" w14:textId="10D06EA6" w:rsidR="00283AF6" w:rsidRPr="003F477F" w:rsidRDefault="00283AF6" w:rsidP="003F5AF3">
            <w:pPr>
              <w:rPr>
                <w:rFonts w:ascii="Cambria" w:hAnsi="Cambria"/>
                <w:b/>
                <w:bCs/>
              </w:rPr>
            </w:pPr>
            <w:r w:rsidRPr="003F477F">
              <w:rPr>
                <w:rFonts w:ascii="Cambria" w:hAnsi="Cambria"/>
                <w:b/>
                <w:bCs/>
              </w:rPr>
              <w:t>Data Subset</w:t>
            </w:r>
          </w:p>
        </w:tc>
        <w:tc>
          <w:tcPr>
            <w:tcW w:w="3187" w:type="dxa"/>
          </w:tcPr>
          <w:p w14:paraId="5E996BCD" w14:textId="698452AD" w:rsidR="00283AF6" w:rsidRPr="003F477F" w:rsidRDefault="00283AF6" w:rsidP="003F5AF3">
            <w:pPr>
              <w:rPr>
                <w:rFonts w:ascii="Cambria" w:hAnsi="Cambria"/>
                <w:b/>
                <w:bCs/>
              </w:rPr>
            </w:pPr>
            <w:r w:rsidRPr="003F477F">
              <w:rPr>
                <w:rFonts w:ascii="Cambria" w:hAnsi="Cambria"/>
                <w:b/>
                <w:bCs/>
              </w:rPr>
              <w:t>Average Spectral Entropy</w:t>
            </w:r>
          </w:p>
        </w:tc>
        <w:tc>
          <w:tcPr>
            <w:tcW w:w="2695" w:type="dxa"/>
          </w:tcPr>
          <w:p w14:paraId="3A8D7F47" w14:textId="7F05E517" w:rsidR="00283AF6" w:rsidRPr="003F477F" w:rsidRDefault="00283AF6" w:rsidP="003F5AF3">
            <w:pPr>
              <w:rPr>
                <w:rFonts w:ascii="Cambria" w:hAnsi="Cambria"/>
                <w:b/>
                <w:bCs/>
              </w:rPr>
            </w:pPr>
            <w:r>
              <w:rPr>
                <w:rFonts w:ascii="Cambria" w:hAnsi="Cambria"/>
                <w:b/>
                <w:bCs/>
              </w:rPr>
              <w:t>Percent Change MAE</w:t>
            </w:r>
          </w:p>
        </w:tc>
      </w:tr>
      <w:tr w:rsidR="00283AF6" w14:paraId="3DC6EC81" w14:textId="6158AAD2" w:rsidTr="00283AF6">
        <w:tc>
          <w:tcPr>
            <w:tcW w:w="3468" w:type="dxa"/>
            <w:vAlign w:val="center"/>
          </w:tcPr>
          <w:p w14:paraId="519F7523" w14:textId="634357C5" w:rsidR="00283AF6" w:rsidRDefault="00283AF6" w:rsidP="003F477F">
            <w:pPr>
              <w:jc w:val="right"/>
              <w:rPr>
                <w:rFonts w:ascii="Cambria" w:hAnsi="Cambria"/>
              </w:rPr>
            </w:pPr>
            <w:r w:rsidRPr="003F477F">
              <w:rPr>
                <w:rFonts w:ascii="Cambria" w:hAnsi="Cambria"/>
              </w:rPr>
              <w:t>monthly-MICRO1</w:t>
            </w:r>
          </w:p>
        </w:tc>
        <w:tc>
          <w:tcPr>
            <w:tcW w:w="3187" w:type="dxa"/>
            <w:vAlign w:val="center"/>
          </w:tcPr>
          <w:p w14:paraId="6D5DAD1C" w14:textId="071604BC" w:rsidR="00283AF6" w:rsidRDefault="00283AF6" w:rsidP="003F477F">
            <w:pPr>
              <w:jc w:val="right"/>
              <w:rPr>
                <w:rFonts w:ascii="Cambria" w:hAnsi="Cambria"/>
              </w:rPr>
            </w:pPr>
            <w:r w:rsidRPr="003F477F">
              <w:rPr>
                <w:rFonts w:ascii="Cambria" w:hAnsi="Cambria"/>
              </w:rPr>
              <w:t>0.9623388</w:t>
            </w:r>
          </w:p>
        </w:tc>
        <w:tc>
          <w:tcPr>
            <w:tcW w:w="2695" w:type="dxa"/>
          </w:tcPr>
          <w:p w14:paraId="219E26F0" w14:textId="13B7C2EE" w:rsidR="00283AF6" w:rsidRPr="003F477F" w:rsidRDefault="00283AF6" w:rsidP="003F477F">
            <w:pPr>
              <w:jc w:val="right"/>
              <w:rPr>
                <w:rFonts w:ascii="Cambria" w:hAnsi="Cambria"/>
              </w:rPr>
            </w:pPr>
            <w:r>
              <w:rPr>
                <w:rFonts w:ascii="Cambria" w:hAnsi="Cambria"/>
              </w:rPr>
              <w:t>-7.53</w:t>
            </w:r>
          </w:p>
        </w:tc>
      </w:tr>
      <w:tr w:rsidR="00283AF6" w14:paraId="0B88CAD4" w14:textId="4B488733" w:rsidTr="00283AF6">
        <w:tc>
          <w:tcPr>
            <w:tcW w:w="3468" w:type="dxa"/>
            <w:vAlign w:val="center"/>
          </w:tcPr>
          <w:p w14:paraId="136BE8E8" w14:textId="298B12AF" w:rsidR="00283AF6" w:rsidRDefault="00283AF6" w:rsidP="003F477F">
            <w:pPr>
              <w:jc w:val="right"/>
              <w:rPr>
                <w:rFonts w:ascii="Cambria" w:hAnsi="Cambria"/>
              </w:rPr>
            </w:pPr>
            <w:r w:rsidRPr="003F477F">
              <w:rPr>
                <w:rFonts w:ascii="Cambria" w:hAnsi="Cambria"/>
              </w:rPr>
              <w:t>monthly-MICRO2</w:t>
            </w:r>
          </w:p>
        </w:tc>
        <w:tc>
          <w:tcPr>
            <w:tcW w:w="3187" w:type="dxa"/>
            <w:vAlign w:val="center"/>
          </w:tcPr>
          <w:p w14:paraId="2DD2D02B" w14:textId="72C06441" w:rsidR="00283AF6" w:rsidRDefault="00283AF6" w:rsidP="003F477F">
            <w:pPr>
              <w:jc w:val="right"/>
              <w:rPr>
                <w:rFonts w:ascii="Cambria" w:hAnsi="Cambria"/>
              </w:rPr>
            </w:pPr>
            <w:r w:rsidRPr="003F477F">
              <w:rPr>
                <w:rFonts w:ascii="Cambria" w:hAnsi="Cambria"/>
              </w:rPr>
              <w:t>0.8624881</w:t>
            </w:r>
          </w:p>
        </w:tc>
        <w:tc>
          <w:tcPr>
            <w:tcW w:w="2695" w:type="dxa"/>
          </w:tcPr>
          <w:p w14:paraId="38778A57" w14:textId="1A466B31" w:rsidR="00283AF6" w:rsidRPr="003F477F" w:rsidRDefault="00283AF6" w:rsidP="003F477F">
            <w:pPr>
              <w:jc w:val="right"/>
              <w:rPr>
                <w:rFonts w:ascii="Cambria" w:hAnsi="Cambria"/>
              </w:rPr>
            </w:pPr>
            <w:r>
              <w:rPr>
                <w:rFonts w:ascii="Cambria" w:hAnsi="Cambria"/>
              </w:rPr>
              <w:t>19.72</w:t>
            </w:r>
          </w:p>
        </w:tc>
      </w:tr>
      <w:tr w:rsidR="00283AF6" w14:paraId="096227E5" w14:textId="5D030B23" w:rsidTr="00283AF6">
        <w:tc>
          <w:tcPr>
            <w:tcW w:w="3468" w:type="dxa"/>
            <w:vAlign w:val="center"/>
          </w:tcPr>
          <w:p w14:paraId="19D9EC41" w14:textId="57588F8D" w:rsidR="00283AF6" w:rsidRDefault="00283AF6" w:rsidP="003F477F">
            <w:pPr>
              <w:jc w:val="right"/>
              <w:rPr>
                <w:rFonts w:ascii="Cambria" w:hAnsi="Cambria"/>
              </w:rPr>
            </w:pPr>
            <w:r w:rsidRPr="003F477F">
              <w:rPr>
                <w:rFonts w:ascii="Cambria" w:hAnsi="Cambria"/>
              </w:rPr>
              <w:t>quarterly-FINANCE1</w:t>
            </w:r>
          </w:p>
        </w:tc>
        <w:tc>
          <w:tcPr>
            <w:tcW w:w="3187" w:type="dxa"/>
            <w:vAlign w:val="center"/>
          </w:tcPr>
          <w:p w14:paraId="584926CB" w14:textId="59D30826" w:rsidR="00283AF6" w:rsidRDefault="00283AF6" w:rsidP="003F477F">
            <w:pPr>
              <w:jc w:val="right"/>
              <w:rPr>
                <w:rFonts w:ascii="Cambria" w:hAnsi="Cambria"/>
              </w:rPr>
            </w:pPr>
            <w:r w:rsidRPr="003F477F">
              <w:rPr>
                <w:rFonts w:ascii="Cambria" w:hAnsi="Cambria"/>
              </w:rPr>
              <w:t>0.6836378</w:t>
            </w:r>
          </w:p>
        </w:tc>
        <w:tc>
          <w:tcPr>
            <w:tcW w:w="2695" w:type="dxa"/>
          </w:tcPr>
          <w:p w14:paraId="58CF2E42" w14:textId="77777777" w:rsidR="00283AF6" w:rsidRPr="003F477F" w:rsidRDefault="00283AF6" w:rsidP="003F477F">
            <w:pPr>
              <w:jc w:val="right"/>
              <w:rPr>
                <w:rFonts w:ascii="Cambria" w:hAnsi="Cambria"/>
              </w:rPr>
            </w:pPr>
          </w:p>
        </w:tc>
      </w:tr>
      <w:tr w:rsidR="00283AF6" w14:paraId="4ECFB47B" w14:textId="1F2E6D13" w:rsidTr="00283AF6">
        <w:tc>
          <w:tcPr>
            <w:tcW w:w="3468" w:type="dxa"/>
            <w:vAlign w:val="center"/>
          </w:tcPr>
          <w:p w14:paraId="15A1301F" w14:textId="7B87F51A" w:rsidR="00283AF6" w:rsidRDefault="00283AF6" w:rsidP="003F477F">
            <w:pPr>
              <w:jc w:val="right"/>
              <w:rPr>
                <w:rFonts w:ascii="Cambria" w:hAnsi="Cambria"/>
              </w:rPr>
            </w:pPr>
            <w:r w:rsidRPr="003F477F">
              <w:rPr>
                <w:rFonts w:ascii="Cambria" w:hAnsi="Cambria"/>
              </w:rPr>
              <w:t>monthly-INDUSTRY1</w:t>
            </w:r>
          </w:p>
        </w:tc>
        <w:tc>
          <w:tcPr>
            <w:tcW w:w="3187" w:type="dxa"/>
            <w:vAlign w:val="center"/>
          </w:tcPr>
          <w:p w14:paraId="63BFC404" w14:textId="0FEC8149" w:rsidR="00283AF6" w:rsidRDefault="00283AF6" w:rsidP="003F477F">
            <w:pPr>
              <w:jc w:val="right"/>
              <w:rPr>
                <w:rFonts w:ascii="Cambria" w:hAnsi="Cambria"/>
              </w:rPr>
            </w:pPr>
            <w:r w:rsidRPr="003F477F">
              <w:rPr>
                <w:rFonts w:ascii="Cambria" w:hAnsi="Cambria"/>
              </w:rPr>
              <w:t>0.6148396</w:t>
            </w:r>
          </w:p>
        </w:tc>
        <w:tc>
          <w:tcPr>
            <w:tcW w:w="2695" w:type="dxa"/>
          </w:tcPr>
          <w:p w14:paraId="531B363C" w14:textId="77777777" w:rsidR="00283AF6" w:rsidRPr="003F477F" w:rsidRDefault="00283AF6" w:rsidP="003F477F">
            <w:pPr>
              <w:jc w:val="right"/>
              <w:rPr>
                <w:rFonts w:ascii="Cambria" w:hAnsi="Cambria"/>
              </w:rPr>
            </w:pPr>
          </w:p>
        </w:tc>
      </w:tr>
      <w:tr w:rsidR="00283AF6" w14:paraId="46363BC0" w14:textId="55FC8ED0" w:rsidTr="00283AF6">
        <w:tc>
          <w:tcPr>
            <w:tcW w:w="3468" w:type="dxa"/>
            <w:vAlign w:val="center"/>
          </w:tcPr>
          <w:p w14:paraId="114BA329" w14:textId="29D2E154" w:rsidR="00283AF6" w:rsidRDefault="00283AF6" w:rsidP="003F477F">
            <w:pPr>
              <w:jc w:val="right"/>
              <w:rPr>
                <w:rFonts w:ascii="Cambria" w:hAnsi="Cambria"/>
              </w:rPr>
            </w:pPr>
            <w:r w:rsidRPr="003F477F">
              <w:rPr>
                <w:rFonts w:ascii="Cambria" w:hAnsi="Cambria"/>
              </w:rPr>
              <w:t>monthly-MICRO3</w:t>
            </w:r>
          </w:p>
        </w:tc>
        <w:tc>
          <w:tcPr>
            <w:tcW w:w="3187" w:type="dxa"/>
            <w:vAlign w:val="center"/>
          </w:tcPr>
          <w:p w14:paraId="1DBF1285" w14:textId="7F287B13" w:rsidR="00283AF6" w:rsidRDefault="00283AF6" w:rsidP="003F477F">
            <w:pPr>
              <w:jc w:val="right"/>
              <w:rPr>
                <w:rFonts w:ascii="Cambria" w:hAnsi="Cambria"/>
              </w:rPr>
            </w:pPr>
            <w:r w:rsidRPr="003F477F">
              <w:rPr>
                <w:rFonts w:ascii="Cambria" w:hAnsi="Cambria"/>
              </w:rPr>
              <w:t>0.6110978</w:t>
            </w:r>
          </w:p>
        </w:tc>
        <w:tc>
          <w:tcPr>
            <w:tcW w:w="2695" w:type="dxa"/>
          </w:tcPr>
          <w:p w14:paraId="54FF946F" w14:textId="7DF7B1FE" w:rsidR="00283AF6" w:rsidRPr="003F477F" w:rsidRDefault="00283AF6" w:rsidP="003F477F">
            <w:pPr>
              <w:jc w:val="right"/>
              <w:rPr>
                <w:rFonts w:ascii="Cambria" w:hAnsi="Cambria"/>
              </w:rPr>
            </w:pPr>
            <w:r>
              <w:rPr>
                <w:rFonts w:ascii="Cambria" w:hAnsi="Cambria"/>
              </w:rPr>
              <w:t>10.36</w:t>
            </w:r>
          </w:p>
        </w:tc>
      </w:tr>
      <w:tr w:rsidR="00283AF6" w14:paraId="624269C1" w14:textId="6BEE3C1D" w:rsidTr="00283AF6">
        <w:tc>
          <w:tcPr>
            <w:tcW w:w="3468" w:type="dxa"/>
            <w:vAlign w:val="center"/>
          </w:tcPr>
          <w:p w14:paraId="299F20E0" w14:textId="1A1B2929" w:rsidR="00283AF6" w:rsidRDefault="00283AF6" w:rsidP="003F477F">
            <w:pPr>
              <w:jc w:val="right"/>
              <w:rPr>
                <w:rFonts w:ascii="Cambria" w:hAnsi="Cambria"/>
              </w:rPr>
            </w:pPr>
            <w:r w:rsidRPr="003F477F">
              <w:rPr>
                <w:rFonts w:ascii="Cambria" w:hAnsi="Cambria"/>
              </w:rPr>
              <w:t>yearly-MICRO1</w:t>
            </w:r>
          </w:p>
        </w:tc>
        <w:tc>
          <w:tcPr>
            <w:tcW w:w="3187" w:type="dxa"/>
            <w:vAlign w:val="center"/>
          </w:tcPr>
          <w:p w14:paraId="58BCE8F8" w14:textId="4F067286" w:rsidR="00283AF6" w:rsidRDefault="00283AF6" w:rsidP="003F477F">
            <w:pPr>
              <w:jc w:val="right"/>
              <w:rPr>
                <w:rFonts w:ascii="Cambria" w:hAnsi="Cambria"/>
              </w:rPr>
            </w:pPr>
            <w:r w:rsidRPr="003F477F">
              <w:rPr>
                <w:rFonts w:ascii="Cambria" w:hAnsi="Cambria"/>
              </w:rPr>
              <w:t>0.5943620</w:t>
            </w:r>
          </w:p>
        </w:tc>
        <w:tc>
          <w:tcPr>
            <w:tcW w:w="2695" w:type="dxa"/>
          </w:tcPr>
          <w:p w14:paraId="2D8523EA" w14:textId="77777777" w:rsidR="00283AF6" w:rsidRPr="003F477F" w:rsidRDefault="00283AF6" w:rsidP="003F477F">
            <w:pPr>
              <w:jc w:val="right"/>
              <w:rPr>
                <w:rFonts w:ascii="Cambria" w:hAnsi="Cambria"/>
              </w:rPr>
            </w:pPr>
          </w:p>
        </w:tc>
      </w:tr>
      <w:tr w:rsidR="00283AF6" w14:paraId="776D1FF7" w14:textId="67BF99C1" w:rsidTr="00283AF6">
        <w:tc>
          <w:tcPr>
            <w:tcW w:w="3468" w:type="dxa"/>
            <w:vAlign w:val="center"/>
          </w:tcPr>
          <w:p w14:paraId="28DFEE07" w14:textId="1F06D4FA" w:rsidR="00283AF6" w:rsidRDefault="00283AF6" w:rsidP="003F477F">
            <w:pPr>
              <w:jc w:val="right"/>
              <w:rPr>
                <w:rFonts w:ascii="Cambria" w:hAnsi="Cambria"/>
              </w:rPr>
            </w:pPr>
            <w:r w:rsidRPr="003F477F">
              <w:rPr>
                <w:rFonts w:ascii="Cambria" w:hAnsi="Cambria"/>
              </w:rPr>
              <w:t>monthly-INDUSTRY2</w:t>
            </w:r>
          </w:p>
        </w:tc>
        <w:tc>
          <w:tcPr>
            <w:tcW w:w="3187" w:type="dxa"/>
            <w:vAlign w:val="center"/>
          </w:tcPr>
          <w:p w14:paraId="31BB3F03" w14:textId="45646ACD" w:rsidR="00283AF6" w:rsidRDefault="00283AF6" w:rsidP="003F477F">
            <w:pPr>
              <w:jc w:val="right"/>
              <w:rPr>
                <w:rFonts w:ascii="Cambria" w:hAnsi="Cambria"/>
              </w:rPr>
            </w:pPr>
            <w:r w:rsidRPr="003F477F">
              <w:rPr>
                <w:rFonts w:ascii="Cambria" w:hAnsi="Cambria"/>
              </w:rPr>
              <w:t>0.5933019</w:t>
            </w:r>
          </w:p>
        </w:tc>
        <w:tc>
          <w:tcPr>
            <w:tcW w:w="2695" w:type="dxa"/>
          </w:tcPr>
          <w:p w14:paraId="3C7A6179" w14:textId="77777777" w:rsidR="00283AF6" w:rsidRPr="003F477F" w:rsidRDefault="00283AF6" w:rsidP="003F477F">
            <w:pPr>
              <w:jc w:val="right"/>
              <w:rPr>
                <w:rFonts w:ascii="Cambria" w:hAnsi="Cambria"/>
              </w:rPr>
            </w:pPr>
          </w:p>
        </w:tc>
      </w:tr>
      <w:tr w:rsidR="00283AF6" w14:paraId="4F094A6B" w14:textId="3DFA2910" w:rsidTr="00283AF6">
        <w:tc>
          <w:tcPr>
            <w:tcW w:w="3468" w:type="dxa"/>
            <w:vAlign w:val="center"/>
          </w:tcPr>
          <w:p w14:paraId="310E539A" w14:textId="64252E72" w:rsidR="00283AF6" w:rsidRDefault="00283AF6" w:rsidP="003F477F">
            <w:pPr>
              <w:jc w:val="right"/>
              <w:rPr>
                <w:rFonts w:ascii="Cambria" w:hAnsi="Cambria"/>
              </w:rPr>
            </w:pPr>
            <w:r w:rsidRPr="003F477F">
              <w:rPr>
                <w:rFonts w:ascii="Cambria" w:hAnsi="Cambria"/>
              </w:rPr>
              <w:t>monthly-INDUSTRY3</w:t>
            </w:r>
          </w:p>
        </w:tc>
        <w:tc>
          <w:tcPr>
            <w:tcW w:w="3187" w:type="dxa"/>
            <w:vAlign w:val="center"/>
          </w:tcPr>
          <w:p w14:paraId="0DAA0833" w14:textId="3862186F" w:rsidR="00283AF6" w:rsidRDefault="00283AF6" w:rsidP="003F477F">
            <w:pPr>
              <w:jc w:val="right"/>
              <w:rPr>
                <w:rFonts w:ascii="Cambria" w:hAnsi="Cambria"/>
              </w:rPr>
            </w:pPr>
            <w:r w:rsidRPr="003F477F">
              <w:rPr>
                <w:rFonts w:ascii="Cambria" w:hAnsi="Cambria"/>
              </w:rPr>
              <w:t>0.5850340</w:t>
            </w:r>
          </w:p>
        </w:tc>
        <w:tc>
          <w:tcPr>
            <w:tcW w:w="2695" w:type="dxa"/>
          </w:tcPr>
          <w:p w14:paraId="410616F1" w14:textId="77777777" w:rsidR="00283AF6" w:rsidRPr="003F477F" w:rsidRDefault="00283AF6" w:rsidP="003F477F">
            <w:pPr>
              <w:jc w:val="right"/>
              <w:rPr>
                <w:rFonts w:ascii="Cambria" w:hAnsi="Cambria"/>
              </w:rPr>
            </w:pPr>
          </w:p>
        </w:tc>
      </w:tr>
      <w:tr w:rsidR="00283AF6" w14:paraId="652145EC" w14:textId="21AAE402" w:rsidTr="00283AF6">
        <w:tc>
          <w:tcPr>
            <w:tcW w:w="3468" w:type="dxa"/>
            <w:vAlign w:val="center"/>
          </w:tcPr>
          <w:p w14:paraId="329ECFCE" w14:textId="0173AB07" w:rsidR="00283AF6" w:rsidRDefault="00283AF6" w:rsidP="003F477F">
            <w:pPr>
              <w:jc w:val="right"/>
              <w:rPr>
                <w:rFonts w:ascii="Cambria" w:hAnsi="Cambria"/>
              </w:rPr>
            </w:pPr>
            <w:r w:rsidRPr="003F477F">
              <w:rPr>
                <w:rFonts w:ascii="Cambria" w:hAnsi="Cambria"/>
              </w:rPr>
              <w:t>yearly-DEMOGRAPHIC1</w:t>
            </w:r>
          </w:p>
        </w:tc>
        <w:tc>
          <w:tcPr>
            <w:tcW w:w="3187" w:type="dxa"/>
            <w:vAlign w:val="center"/>
          </w:tcPr>
          <w:p w14:paraId="1196E6CF" w14:textId="26502BA0" w:rsidR="00283AF6" w:rsidRDefault="00283AF6" w:rsidP="003F477F">
            <w:pPr>
              <w:jc w:val="right"/>
              <w:rPr>
                <w:rFonts w:ascii="Cambria" w:hAnsi="Cambria"/>
              </w:rPr>
            </w:pPr>
            <w:r w:rsidRPr="003F477F">
              <w:rPr>
                <w:rFonts w:ascii="Cambria" w:hAnsi="Cambria"/>
              </w:rPr>
              <w:t>0.5657703</w:t>
            </w:r>
          </w:p>
        </w:tc>
        <w:tc>
          <w:tcPr>
            <w:tcW w:w="2695" w:type="dxa"/>
          </w:tcPr>
          <w:p w14:paraId="33F9ED01" w14:textId="77777777" w:rsidR="00283AF6" w:rsidRPr="003F477F" w:rsidRDefault="00283AF6" w:rsidP="003F477F">
            <w:pPr>
              <w:jc w:val="right"/>
              <w:rPr>
                <w:rFonts w:ascii="Cambria" w:hAnsi="Cambria"/>
              </w:rPr>
            </w:pPr>
          </w:p>
        </w:tc>
      </w:tr>
      <w:tr w:rsidR="00283AF6" w14:paraId="0FA8D21B" w14:textId="160615C2" w:rsidTr="00283AF6">
        <w:tc>
          <w:tcPr>
            <w:tcW w:w="3468" w:type="dxa"/>
            <w:vAlign w:val="center"/>
          </w:tcPr>
          <w:p w14:paraId="0AA6A2F4" w14:textId="4D74D654" w:rsidR="00283AF6" w:rsidRDefault="00283AF6" w:rsidP="003F477F">
            <w:pPr>
              <w:jc w:val="right"/>
              <w:rPr>
                <w:rFonts w:ascii="Cambria" w:hAnsi="Cambria"/>
              </w:rPr>
            </w:pPr>
            <w:r w:rsidRPr="003F477F">
              <w:rPr>
                <w:rFonts w:ascii="Cambria" w:hAnsi="Cambria"/>
              </w:rPr>
              <w:t>yearly-DEMOGRAPHIC2</w:t>
            </w:r>
          </w:p>
        </w:tc>
        <w:tc>
          <w:tcPr>
            <w:tcW w:w="3187" w:type="dxa"/>
            <w:vAlign w:val="center"/>
          </w:tcPr>
          <w:p w14:paraId="35C6333F" w14:textId="6CA64FAC" w:rsidR="00283AF6" w:rsidRDefault="00283AF6" w:rsidP="003F477F">
            <w:pPr>
              <w:jc w:val="right"/>
              <w:rPr>
                <w:rFonts w:ascii="Cambria" w:hAnsi="Cambria"/>
              </w:rPr>
            </w:pPr>
            <w:r w:rsidRPr="003F477F">
              <w:rPr>
                <w:rFonts w:ascii="Cambria" w:hAnsi="Cambria"/>
              </w:rPr>
              <w:t>0.5383269</w:t>
            </w:r>
          </w:p>
        </w:tc>
        <w:tc>
          <w:tcPr>
            <w:tcW w:w="2695" w:type="dxa"/>
          </w:tcPr>
          <w:p w14:paraId="027D7784" w14:textId="77777777" w:rsidR="00283AF6" w:rsidRPr="003F477F" w:rsidRDefault="00283AF6" w:rsidP="003F477F">
            <w:pPr>
              <w:jc w:val="right"/>
              <w:rPr>
                <w:rFonts w:ascii="Cambria" w:hAnsi="Cambria"/>
              </w:rPr>
            </w:pPr>
          </w:p>
        </w:tc>
      </w:tr>
    </w:tbl>
    <w:p w14:paraId="41355366" w14:textId="77777777" w:rsidR="003F477F" w:rsidRDefault="003F477F" w:rsidP="003F5AF3">
      <w:pPr>
        <w:rPr>
          <w:rFonts w:ascii="Cambria" w:hAnsi="Cambria"/>
        </w:rPr>
      </w:pPr>
    </w:p>
    <w:p w14:paraId="5DD67046" w14:textId="6457E30B" w:rsidR="001705B2" w:rsidRDefault="003F477F" w:rsidP="003F5AF3">
      <w:pPr>
        <w:rPr>
          <w:rFonts w:ascii="Cambria" w:hAnsi="Cambria"/>
        </w:rPr>
      </w:pPr>
      <w:r>
        <w:rPr>
          <w:rFonts w:ascii="Cambria" w:hAnsi="Cambria"/>
        </w:rPr>
        <w:t xml:space="preserve">At this point, I wanted to see whether there was a measurable statistical relationship between the </w:t>
      </w:r>
      <w:r w:rsidR="007517FB">
        <w:rPr>
          <w:rFonts w:ascii="Cambria" w:hAnsi="Cambria"/>
        </w:rPr>
        <w:t>spectral entropy of a time series, the distance of a time series from its nearest neighbors based on features, and the forecast accuracy of the protected series.</w:t>
      </w:r>
      <w:r w:rsidR="001705B2">
        <w:rPr>
          <w:rFonts w:ascii="Cambria" w:hAnsi="Cambria"/>
        </w:rPr>
        <w:t xml:space="preserve"> For this, I calculated the average distance between each time series and its three nearest neighbors using the t-SNE features and regressed the protected forecast accuracy (absolute error) on this distance, the spectral entropy, </w:t>
      </w:r>
      <w:r w:rsidR="00915432">
        <w:rPr>
          <w:rFonts w:ascii="Cambria" w:hAnsi="Cambria"/>
        </w:rPr>
        <w:t xml:space="preserve">their interaction, </w:t>
      </w:r>
      <w:r w:rsidR="001705B2">
        <w:rPr>
          <w:rFonts w:ascii="Cambria" w:hAnsi="Cambria"/>
        </w:rPr>
        <w:t xml:space="preserve">and the original absolute error of the series. This allows us to interpret how changes in spectral entropy and feature similarity would affect the protected forecast accuracy holding the original accuracy constant. So that we capture variation in forecast accuracy due to these quantities and </w:t>
      </w:r>
      <w:r w:rsidR="001705B2">
        <w:rPr>
          <w:rFonts w:ascii="Cambria" w:hAnsi="Cambria"/>
          <w:i/>
          <w:iCs/>
        </w:rPr>
        <w:t xml:space="preserve">not </w:t>
      </w:r>
      <w:r w:rsidR="001705B2">
        <w:rPr>
          <w:rFonts w:ascii="Cambria" w:hAnsi="Cambria"/>
        </w:rPr>
        <w:t>differences in model performance, I ran one regression for each model. Results are in Table 3 below.</w:t>
      </w:r>
    </w:p>
    <w:p w14:paraId="47FB41B4" w14:textId="77777777" w:rsidR="001705B2" w:rsidRDefault="001705B2" w:rsidP="003F5AF3">
      <w:pPr>
        <w:rPr>
          <w:rFonts w:ascii="Cambria" w:hAnsi="Cambria"/>
        </w:rPr>
      </w:pPr>
    </w:p>
    <w:p w14:paraId="6666FEFB" w14:textId="24875A7F" w:rsidR="001705B2" w:rsidRPr="00915432" w:rsidRDefault="00915432" w:rsidP="003F5AF3">
      <w:pPr>
        <w:rPr>
          <w:rFonts w:ascii="Cambria" w:eastAsiaTheme="minorEastAsia" w:hAnsi="Cambria"/>
        </w:rPr>
      </w:pPr>
      <m:oMathPara>
        <m:oMath>
          <m:r>
            <w:rPr>
              <w:rFonts w:ascii="Cambria Math" w:hAnsi="Cambria Math"/>
            </w:rPr>
            <m:t>ProtectedAbsoluteErro</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OriginalAbsoluteErro</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SpecEntrop</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w:rPr>
              <w:rFonts w:ascii="Cambria Math" w:hAnsi="Cambria Math"/>
            </w:rPr>
            <m:t>AvgNeighborDistanc</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4</m:t>
              </m:r>
            </m:sub>
          </m:sSub>
          <m:d>
            <m:dPr>
              <m:ctrlPr>
                <w:rPr>
                  <w:rFonts w:ascii="Cambria Math" w:hAnsi="Cambria Math"/>
                  <w:i/>
                </w:rPr>
              </m:ctrlPr>
            </m:dPr>
            <m:e>
              <m:r>
                <w:rPr>
                  <w:rFonts w:ascii="Cambria Math" w:hAnsi="Cambria Math"/>
                </w:rPr>
                <m:t>SpecEntropy</m:t>
              </m:r>
              <m:r>
                <m:rPr>
                  <m:sty m:val="p"/>
                </m:rPr>
                <w:rPr>
                  <w:rFonts w:ascii="Cambria Math" w:hAnsi="Cambria Math"/>
                </w:rPr>
                <m:t>×</m:t>
              </m:r>
              <m:r>
                <w:rPr>
                  <w:rFonts w:ascii="Cambria Math" w:hAnsi="Cambria Math"/>
                </w:rPr>
                <m:t>AvgNeighborDistanc</m:t>
              </m:r>
              <m:sSub>
                <m:sSubPr>
                  <m:ctrlPr>
                    <w:rPr>
                      <w:rFonts w:ascii="Cambria Math" w:hAnsi="Cambria Math"/>
                      <w:i/>
                    </w:rPr>
                  </m:ctrlPr>
                </m:sSubPr>
                <m:e>
                  <m:r>
                    <w:rPr>
                      <w:rFonts w:ascii="Cambria Math" w:hAnsi="Cambria Math"/>
                    </w:rPr>
                    <m:t>e</m:t>
                  </m:r>
                </m:e>
                <m:sub>
                  <m:r>
                    <w:rPr>
                      <w:rFonts w:ascii="Cambria Math" w:hAnsi="Cambria Math"/>
                    </w:rPr>
                    <m:t>j</m:t>
                  </m:r>
                </m:sub>
              </m:sSub>
            </m:e>
          </m:d>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j</m:t>
              </m:r>
            </m:sub>
          </m:sSub>
        </m:oMath>
      </m:oMathPara>
    </w:p>
    <w:p w14:paraId="77DD9D57" w14:textId="77777777" w:rsidR="00915432" w:rsidRPr="00915432" w:rsidRDefault="00915432" w:rsidP="003F5AF3">
      <w:pPr>
        <w:rPr>
          <w:rFonts w:ascii="Cambria" w:eastAsiaTheme="minorEastAsia" w:hAnsi="Cambria"/>
        </w:rPr>
      </w:pPr>
    </w:p>
    <w:p w14:paraId="14F0B9C2" w14:textId="77777777" w:rsidR="001705B2" w:rsidRDefault="001705B2" w:rsidP="003F5AF3">
      <w:pPr>
        <w:rPr>
          <w:rFonts w:ascii="Cambria" w:hAnsi="Cambria"/>
        </w:rPr>
      </w:pPr>
    </w:p>
    <w:p w14:paraId="5DBC2E1A" w14:textId="77777777" w:rsidR="001705B2" w:rsidRDefault="001705B2" w:rsidP="003F5AF3">
      <w:pPr>
        <w:rPr>
          <w:rFonts w:ascii="Cambria" w:hAnsi="Cambria"/>
        </w:rPr>
      </w:pPr>
    </w:p>
    <w:p w14:paraId="4A05CC19" w14:textId="77777777" w:rsidR="001705B2" w:rsidRDefault="001705B2" w:rsidP="003F5AF3">
      <w:pPr>
        <w:rPr>
          <w:rFonts w:ascii="Cambria" w:hAnsi="Cambria"/>
        </w:rPr>
      </w:pPr>
    </w:p>
    <w:p w14:paraId="023E0469" w14:textId="77777777" w:rsidR="001705B2" w:rsidRDefault="001705B2" w:rsidP="003F5AF3">
      <w:pPr>
        <w:rPr>
          <w:rFonts w:ascii="Cambria" w:hAnsi="Cambria"/>
        </w:rPr>
      </w:pPr>
    </w:p>
    <w:p w14:paraId="31E07BBC" w14:textId="77777777" w:rsidR="001705B2" w:rsidRDefault="001705B2" w:rsidP="003F5AF3">
      <w:pPr>
        <w:rPr>
          <w:rFonts w:ascii="Cambria" w:hAnsi="Cambria"/>
        </w:rPr>
      </w:pPr>
    </w:p>
    <w:p w14:paraId="36888CEF" w14:textId="77777777" w:rsidR="001705B2" w:rsidRDefault="001705B2" w:rsidP="003F5AF3">
      <w:pPr>
        <w:rPr>
          <w:rFonts w:ascii="Cambria" w:hAnsi="Cambria"/>
        </w:rPr>
      </w:pPr>
    </w:p>
    <w:p w14:paraId="48E16218" w14:textId="77777777" w:rsidR="001705B2" w:rsidRDefault="001705B2" w:rsidP="003F5AF3">
      <w:pPr>
        <w:rPr>
          <w:rFonts w:ascii="Cambria" w:hAnsi="Cambria"/>
        </w:rPr>
      </w:pPr>
    </w:p>
    <w:p w14:paraId="015A3E2A" w14:textId="77777777" w:rsidR="001705B2" w:rsidRDefault="001705B2" w:rsidP="003F5AF3">
      <w:pPr>
        <w:rPr>
          <w:rFonts w:ascii="Cambria" w:hAnsi="Cambria"/>
        </w:rPr>
      </w:pPr>
    </w:p>
    <w:p w14:paraId="655D3F84" w14:textId="5006DF31" w:rsidR="00C3750F" w:rsidRPr="00C3750F" w:rsidRDefault="00C3750F" w:rsidP="003F5AF3">
      <w:pPr>
        <w:rPr>
          <w:rFonts w:ascii="Cambria" w:hAnsi="Cambria"/>
          <w:i/>
          <w:iCs/>
        </w:rPr>
      </w:pPr>
      <w:r>
        <w:rPr>
          <w:rFonts w:ascii="Cambria" w:hAnsi="Cambria"/>
          <w:b/>
          <w:bCs/>
          <w:i/>
          <w:iCs/>
        </w:rPr>
        <w:lastRenderedPageBreak/>
        <w:t>Table 3</w:t>
      </w:r>
      <w:r>
        <w:rPr>
          <w:rFonts w:ascii="Cambria" w:hAnsi="Cambria"/>
        </w:rPr>
        <w:t xml:space="preserve">: </w:t>
      </w:r>
      <w:r>
        <w:rPr>
          <w:rFonts w:ascii="Cambria" w:hAnsi="Cambria"/>
          <w:i/>
          <w:iCs/>
        </w:rPr>
        <w:t>coefficients from regression of the absolute error from forecasting a protected time series on the absolute error from forecasting the original version of that time series, the spectral entropy of the original time series, the average distance of the original time series to its three closest neighbors based on the two t-SNE variables, and the interaction of spectral entropy and average neighbor distance.</w:t>
      </w:r>
    </w:p>
    <w:p w14:paraId="32E5A32C" w14:textId="77777777" w:rsidR="001705B2" w:rsidRDefault="001705B2" w:rsidP="003F5AF3">
      <w:pPr>
        <w:rPr>
          <w:rFonts w:ascii="Cambria" w:hAnsi="Cambria"/>
        </w:rPr>
      </w:pPr>
    </w:p>
    <w:tbl>
      <w:tblPr>
        <w:tblStyle w:val="TableGrid"/>
        <w:tblW w:w="10849" w:type="dxa"/>
        <w:tblInd w:w="-864" w:type="dxa"/>
        <w:tblLook w:val="04A0" w:firstRow="1" w:lastRow="0" w:firstColumn="1" w:lastColumn="0" w:noHBand="0" w:noVBand="1"/>
      </w:tblPr>
      <w:tblGrid>
        <w:gridCol w:w="990"/>
        <w:gridCol w:w="1350"/>
        <w:gridCol w:w="1440"/>
        <w:gridCol w:w="1440"/>
        <w:gridCol w:w="1530"/>
        <w:gridCol w:w="2250"/>
        <w:gridCol w:w="1849"/>
      </w:tblGrid>
      <w:tr w:rsidR="00C3750F" w14:paraId="5A3F3BD0" w14:textId="6C670706" w:rsidTr="00460599">
        <w:tc>
          <w:tcPr>
            <w:tcW w:w="990" w:type="dxa"/>
          </w:tcPr>
          <w:p w14:paraId="79DD8C1A" w14:textId="6ECD9652" w:rsidR="00C3750F" w:rsidRDefault="00C3750F" w:rsidP="003F5AF3">
            <w:pPr>
              <w:rPr>
                <w:rFonts w:ascii="Cambria" w:hAnsi="Cambria"/>
              </w:rPr>
            </w:pPr>
          </w:p>
        </w:tc>
        <w:tc>
          <w:tcPr>
            <w:tcW w:w="8010" w:type="dxa"/>
            <w:gridSpan w:val="5"/>
          </w:tcPr>
          <w:p w14:paraId="65CBE5E4" w14:textId="3E459276" w:rsidR="00C3750F" w:rsidRDefault="00C3750F" w:rsidP="003F5AF3">
            <w:pPr>
              <w:rPr>
                <w:rFonts w:ascii="Cambria" w:hAnsi="Cambria"/>
              </w:rPr>
            </w:pPr>
            <w:r>
              <w:rPr>
                <w:rFonts w:ascii="Cambria" w:hAnsi="Cambria"/>
              </w:rPr>
              <w:t>Regression Coefficients (*=10% significant, **=5% significance, ***=1% significance)</w:t>
            </w:r>
          </w:p>
        </w:tc>
        <w:tc>
          <w:tcPr>
            <w:tcW w:w="1849" w:type="dxa"/>
          </w:tcPr>
          <w:p w14:paraId="47855B6E" w14:textId="77777777" w:rsidR="00C3750F" w:rsidRDefault="00C3750F" w:rsidP="003F5AF3">
            <w:pPr>
              <w:rPr>
                <w:rFonts w:ascii="Cambria" w:hAnsi="Cambria"/>
              </w:rPr>
            </w:pPr>
          </w:p>
        </w:tc>
      </w:tr>
      <w:tr w:rsidR="00C3750F" w14:paraId="2F7D91AF" w14:textId="6211542A" w:rsidTr="00460599">
        <w:tc>
          <w:tcPr>
            <w:tcW w:w="990" w:type="dxa"/>
          </w:tcPr>
          <w:p w14:paraId="1383DC1B" w14:textId="600CAEF7" w:rsidR="00C3750F" w:rsidRPr="001705B2" w:rsidRDefault="00C3750F" w:rsidP="003F5AF3">
            <w:pPr>
              <w:rPr>
                <w:rFonts w:ascii="Cambria" w:hAnsi="Cambria"/>
                <w:i/>
                <w:iCs/>
              </w:rPr>
            </w:pPr>
            <w:r w:rsidRPr="001705B2">
              <w:rPr>
                <w:rFonts w:ascii="Cambria" w:hAnsi="Cambria"/>
                <w:i/>
                <w:iCs/>
              </w:rPr>
              <w:t>Model</w:t>
            </w:r>
          </w:p>
        </w:tc>
        <w:tc>
          <w:tcPr>
            <w:tcW w:w="1350" w:type="dxa"/>
          </w:tcPr>
          <w:p w14:paraId="449FB806" w14:textId="67832D9D" w:rsidR="00C3750F" w:rsidRPr="00C3750F" w:rsidRDefault="00C3750F" w:rsidP="003F5AF3">
            <w:pPr>
              <w:rPr>
                <w:rFonts w:ascii="Cambria" w:hAnsi="Cambria"/>
                <w:i/>
                <w:iCs/>
              </w:rPr>
            </w:pPr>
            <w:r w:rsidRPr="00C3750F">
              <w:rPr>
                <w:rFonts w:ascii="Cambria" w:hAnsi="Cambria"/>
                <w:i/>
                <w:iCs/>
              </w:rPr>
              <w:t>Intercept</w:t>
            </w:r>
          </w:p>
        </w:tc>
        <w:tc>
          <w:tcPr>
            <w:tcW w:w="1440" w:type="dxa"/>
          </w:tcPr>
          <w:p w14:paraId="3E638B35" w14:textId="3E9898EB" w:rsidR="00C3750F" w:rsidRPr="00C3750F" w:rsidRDefault="00C3750F" w:rsidP="003F5AF3">
            <w:pPr>
              <w:rPr>
                <w:rFonts w:ascii="Cambria" w:hAnsi="Cambria"/>
                <w:i/>
                <w:iCs/>
              </w:rPr>
            </w:pPr>
            <w:r w:rsidRPr="00C3750F">
              <w:rPr>
                <w:rFonts w:ascii="Cambria" w:hAnsi="Cambria"/>
                <w:i/>
                <w:iCs/>
              </w:rPr>
              <w:t>Original Absolute Error</w:t>
            </w:r>
          </w:p>
        </w:tc>
        <w:tc>
          <w:tcPr>
            <w:tcW w:w="1440" w:type="dxa"/>
          </w:tcPr>
          <w:p w14:paraId="0BE03F9B" w14:textId="0F8BB444" w:rsidR="00C3750F" w:rsidRPr="001705B2" w:rsidRDefault="00C3750F" w:rsidP="003F5AF3">
            <w:pPr>
              <w:rPr>
                <w:rFonts w:ascii="Cambria" w:hAnsi="Cambria"/>
                <w:i/>
                <w:iCs/>
              </w:rPr>
            </w:pPr>
            <w:r>
              <w:rPr>
                <w:rFonts w:ascii="Cambria" w:hAnsi="Cambria"/>
                <w:i/>
                <w:iCs/>
              </w:rPr>
              <w:t>Spectral Entropy</w:t>
            </w:r>
          </w:p>
        </w:tc>
        <w:tc>
          <w:tcPr>
            <w:tcW w:w="1530" w:type="dxa"/>
          </w:tcPr>
          <w:p w14:paraId="34F4DE7F" w14:textId="6CF5C90F" w:rsidR="00C3750F" w:rsidRPr="001705B2" w:rsidRDefault="00C3750F" w:rsidP="003F5AF3">
            <w:pPr>
              <w:rPr>
                <w:rFonts w:ascii="Cambria" w:hAnsi="Cambria"/>
                <w:i/>
                <w:iCs/>
              </w:rPr>
            </w:pPr>
            <w:r>
              <w:rPr>
                <w:rFonts w:ascii="Cambria" w:hAnsi="Cambria"/>
                <w:i/>
                <w:iCs/>
              </w:rPr>
              <w:t>Average Neighbor Distance</w:t>
            </w:r>
          </w:p>
        </w:tc>
        <w:tc>
          <w:tcPr>
            <w:tcW w:w="2250" w:type="dxa"/>
          </w:tcPr>
          <w:p w14:paraId="31088907" w14:textId="19FD4C4E" w:rsidR="00C3750F" w:rsidRPr="001705B2" w:rsidRDefault="00C3750F" w:rsidP="003F5AF3">
            <w:pPr>
              <w:rPr>
                <w:rFonts w:ascii="Cambria" w:hAnsi="Cambria"/>
                <w:i/>
                <w:iCs/>
              </w:rPr>
            </w:pPr>
            <w:proofErr w:type="gramStart"/>
            <w:r>
              <w:rPr>
                <w:rFonts w:ascii="Cambria" w:hAnsi="Cambria"/>
                <w:i/>
                <w:iCs/>
              </w:rPr>
              <w:t>Interaction(</w:t>
            </w:r>
            <w:proofErr w:type="gramEnd"/>
            <w:r>
              <w:rPr>
                <w:rFonts w:ascii="Cambria" w:hAnsi="Cambria"/>
                <w:i/>
                <w:iCs/>
              </w:rPr>
              <w:t>Spectral Entropy, Avg Neighbor Distance)</w:t>
            </w:r>
          </w:p>
        </w:tc>
        <w:tc>
          <w:tcPr>
            <w:tcW w:w="1849" w:type="dxa"/>
          </w:tcPr>
          <w:p w14:paraId="53043D28" w14:textId="53B9FAFF" w:rsidR="00460599" w:rsidRPr="00460599" w:rsidRDefault="00C3750F" w:rsidP="003F5AF3">
            <w:pPr>
              <w:rPr>
                <w:rFonts w:ascii="Cambria" w:eastAsiaTheme="minorEastAsia" w:hAnsi="Cambria"/>
                <w:i/>
                <w:iCs/>
              </w:rPr>
            </w:pP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sidR="00460599">
              <w:rPr>
                <w:rFonts w:ascii="Cambria" w:eastAsiaTheme="minorEastAsia" w:hAnsi="Cambria"/>
                <w:i/>
                <w:iCs/>
              </w:rPr>
              <w:t xml:space="preserve">, adjusted </w:t>
            </w:r>
            <m:oMath>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2</m:t>
                  </m:r>
                </m:sup>
              </m:sSup>
            </m:oMath>
          </w:p>
          <w:p w14:paraId="4DD6BADB" w14:textId="4DC64861" w:rsidR="00C3750F" w:rsidRPr="00C3750F" w:rsidRDefault="00C3750F" w:rsidP="003F5AF3">
            <w:pPr>
              <w:rPr>
                <w:rFonts w:ascii="Cambria" w:eastAsiaTheme="minorEastAsia" w:hAnsi="Cambria"/>
                <w:i/>
                <w:iCs/>
              </w:rPr>
            </w:pPr>
          </w:p>
        </w:tc>
      </w:tr>
      <w:tr w:rsidR="00C3750F" w14:paraId="159B94C3" w14:textId="41CB371B" w:rsidTr="00460599">
        <w:tc>
          <w:tcPr>
            <w:tcW w:w="990" w:type="dxa"/>
          </w:tcPr>
          <w:p w14:paraId="46E673A7" w14:textId="655BEDC0" w:rsidR="00C3750F" w:rsidRDefault="00C3750F" w:rsidP="003F5AF3">
            <w:pPr>
              <w:rPr>
                <w:rFonts w:ascii="Cambria" w:hAnsi="Cambria"/>
              </w:rPr>
            </w:pPr>
            <w:r>
              <w:rPr>
                <w:rFonts w:ascii="Cambria" w:hAnsi="Cambria"/>
              </w:rPr>
              <w:t>SES</w:t>
            </w:r>
          </w:p>
        </w:tc>
        <w:tc>
          <w:tcPr>
            <w:tcW w:w="1350" w:type="dxa"/>
          </w:tcPr>
          <w:p w14:paraId="11EFA663" w14:textId="2F6E69B2" w:rsidR="00C3750F" w:rsidRDefault="00C3750F" w:rsidP="003F5AF3">
            <w:pPr>
              <w:rPr>
                <w:rFonts w:ascii="Cambria" w:hAnsi="Cambria"/>
              </w:rPr>
            </w:pPr>
            <w:r>
              <w:rPr>
                <w:rFonts w:ascii="Cambria" w:hAnsi="Cambria"/>
              </w:rPr>
              <w:t>659.4***</w:t>
            </w:r>
          </w:p>
        </w:tc>
        <w:tc>
          <w:tcPr>
            <w:tcW w:w="1440" w:type="dxa"/>
          </w:tcPr>
          <w:p w14:paraId="31CED9D7" w14:textId="369EE7B4" w:rsidR="00C3750F" w:rsidRDefault="00C3750F" w:rsidP="003F5AF3">
            <w:pPr>
              <w:rPr>
                <w:rFonts w:ascii="Cambria" w:hAnsi="Cambria"/>
              </w:rPr>
            </w:pPr>
            <w:r>
              <w:rPr>
                <w:rFonts w:ascii="Cambria" w:hAnsi="Cambria"/>
              </w:rPr>
              <w:t>0.942***</w:t>
            </w:r>
          </w:p>
        </w:tc>
        <w:tc>
          <w:tcPr>
            <w:tcW w:w="1440" w:type="dxa"/>
          </w:tcPr>
          <w:p w14:paraId="6787D795" w14:textId="6E502D8D" w:rsidR="00C3750F" w:rsidRDefault="00C3750F" w:rsidP="003F5AF3">
            <w:pPr>
              <w:rPr>
                <w:rFonts w:ascii="Cambria" w:hAnsi="Cambria"/>
              </w:rPr>
            </w:pPr>
            <w:r>
              <w:rPr>
                <w:rFonts w:ascii="Cambria" w:hAnsi="Cambria"/>
              </w:rPr>
              <w:t>-224.7**</w:t>
            </w:r>
          </w:p>
        </w:tc>
        <w:tc>
          <w:tcPr>
            <w:tcW w:w="1530" w:type="dxa"/>
          </w:tcPr>
          <w:p w14:paraId="61665E19" w14:textId="73015229" w:rsidR="00C3750F" w:rsidRDefault="00C3750F" w:rsidP="003F5AF3">
            <w:pPr>
              <w:rPr>
                <w:rFonts w:ascii="Cambria" w:hAnsi="Cambria"/>
              </w:rPr>
            </w:pPr>
            <w:r>
              <w:rPr>
                <w:rFonts w:ascii="Cambria" w:hAnsi="Cambria"/>
              </w:rPr>
              <w:t>0.0015***</w:t>
            </w:r>
          </w:p>
        </w:tc>
        <w:tc>
          <w:tcPr>
            <w:tcW w:w="2250" w:type="dxa"/>
          </w:tcPr>
          <w:p w14:paraId="2F34BF4C" w14:textId="28C5F45B" w:rsidR="00C3750F" w:rsidRDefault="00C3750F" w:rsidP="003F5AF3">
            <w:pPr>
              <w:rPr>
                <w:rFonts w:ascii="Cambria" w:hAnsi="Cambria"/>
              </w:rPr>
            </w:pPr>
            <w:r>
              <w:rPr>
                <w:rFonts w:ascii="Cambria" w:hAnsi="Cambria"/>
              </w:rPr>
              <w:t>-0.0008</w:t>
            </w:r>
          </w:p>
        </w:tc>
        <w:tc>
          <w:tcPr>
            <w:tcW w:w="1849" w:type="dxa"/>
          </w:tcPr>
          <w:p w14:paraId="2C0DCE97" w14:textId="540B9EA0" w:rsidR="00C3750F" w:rsidRDefault="00460599" w:rsidP="003F5AF3">
            <w:pPr>
              <w:rPr>
                <w:rFonts w:ascii="Cambria" w:hAnsi="Cambria"/>
              </w:rPr>
            </w:pPr>
            <w:r>
              <w:rPr>
                <w:rFonts w:ascii="Cambria" w:hAnsi="Cambria"/>
              </w:rPr>
              <w:t>0.254, 0.253</w:t>
            </w:r>
          </w:p>
        </w:tc>
      </w:tr>
      <w:tr w:rsidR="00C3750F" w14:paraId="7B70DDB9" w14:textId="28BB5125" w:rsidTr="00460599">
        <w:tc>
          <w:tcPr>
            <w:tcW w:w="990" w:type="dxa"/>
          </w:tcPr>
          <w:p w14:paraId="0CA6C1A1" w14:textId="098E9DF2" w:rsidR="00C3750F" w:rsidRDefault="00C3750F" w:rsidP="003F5AF3">
            <w:pPr>
              <w:rPr>
                <w:rFonts w:ascii="Cambria" w:hAnsi="Cambria"/>
              </w:rPr>
            </w:pPr>
            <w:r>
              <w:rPr>
                <w:rFonts w:ascii="Cambria" w:hAnsi="Cambria"/>
              </w:rPr>
              <w:t>DES</w:t>
            </w:r>
          </w:p>
        </w:tc>
        <w:tc>
          <w:tcPr>
            <w:tcW w:w="1350" w:type="dxa"/>
          </w:tcPr>
          <w:p w14:paraId="745EE738" w14:textId="5D3FFA3A" w:rsidR="00C3750F" w:rsidRDefault="00C3750F" w:rsidP="003F5AF3">
            <w:pPr>
              <w:rPr>
                <w:rFonts w:ascii="Cambria" w:hAnsi="Cambria"/>
              </w:rPr>
            </w:pPr>
            <w:r>
              <w:rPr>
                <w:rFonts w:ascii="Cambria" w:hAnsi="Cambria"/>
              </w:rPr>
              <w:t>610.1***</w:t>
            </w:r>
          </w:p>
        </w:tc>
        <w:tc>
          <w:tcPr>
            <w:tcW w:w="1440" w:type="dxa"/>
          </w:tcPr>
          <w:p w14:paraId="77D95636" w14:textId="6A4EEAC7" w:rsidR="00C3750F" w:rsidRDefault="00C3750F" w:rsidP="003F5AF3">
            <w:pPr>
              <w:rPr>
                <w:rFonts w:ascii="Cambria" w:hAnsi="Cambria"/>
              </w:rPr>
            </w:pPr>
            <w:r>
              <w:rPr>
                <w:rFonts w:ascii="Cambria" w:hAnsi="Cambria"/>
              </w:rPr>
              <w:t>0.719***</w:t>
            </w:r>
          </w:p>
        </w:tc>
        <w:tc>
          <w:tcPr>
            <w:tcW w:w="1440" w:type="dxa"/>
          </w:tcPr>
          <w:p w14:paraId="67CD5405" w14:textId="554F5949" w:rsidR="00C3750F" w:rsidRDefault="00C3750F" w:rsidP="003F5AF3">
            <w:pPr>
              <w:rPr>
                <w:rFonts w:ascii="Cambria" w:hAnsi="Cambria"/>
              </w:rPr>
            </w:pPr>
            <w:r>
              <w:rPr>
                <w:rFonts w:ascii="Cambria" w:hAnsi="Cambria"/>
              </w:rPr>
              <w:t>73.38</w:t>
            </w:r>
          </w:p>
        </w:tc>
        <w:tc>
          <w:tcPr>
            <w:tcW w:w="1530" w:type="dxa"/>
          </w:tcPr>
          <w:p w14:paraId="4B1D2E24" w14:textId="10A9C2A3" w:rsidR="00C3750F" w:rsidRDefault="00C3750F" w:rsidP="003F5AF3">
            <w:pPr>
              <w:rPr>
                <w:rFonts w:ascii="Cambria" w:hAnsi="Cambria"/>
              </w:rPr>
            </w:pPr>
            <w:r>
              <w:rPr>
                <w:rFonts w:ascii="Cambria" w:hAnsi="Cambria"/>
              </w:rPr>
              <w:t>0.0018***</w:t>
            </w:r>
          </w:p>
        </w:tc>
        <w:tc>
          <w:tcPr>
            <w:tcW w:w="2250" w:type="dxa"/>
          </w:tcPr>
          <w:p w14:paraId="397FEB41" w14:textId="7C3F31D9" w:rsidR="00C3750F" w:rsidRDefault="00C3750F" w:rsidP="003F5AF3">
            <w:pPr>
              <w:rPr>
                <w:rFonts w:ascii="Cambria" w:hAnsi="Cambria"/>
              </w:rPr>
            </w:pPr>
            <w:r>
              <w:rPr>
                <w:rFonts w:ascii="Cambria" w:hAnsi="Cambria"/>
              </w:rPr>
              <w:t>-0.0013*</w:t>
            </w:r>
          </w:p>
        </w:tc>
        <w:tc>
          <w:tcPr>
            <w:tcW w:w="1849" w:type="dxa"/>
          </w:tcPr>
          <w:p w14:paraId="3524CD90" w14:textId="615A1FB3" w:rsidR="00C3750F" w:rsidRDefault="00460599" w:rsidP="003F5AF3">
            <w:pPr>
              <w:rPr>
                <w:rFonts w:ascii="Cambria" w:hAnsi="Cambria"/>
              </w:rPr>
            </w:pPr>
            <w:r>
              <w:rPr>
                <w:rFonts w:ascii="Cambria" w:hAnsi="Cambria"/>
              </w:rPr>
              <w:t>0.159, 0.157</w:t>
            </w:r>
          </w:p>
        </w:tc>
      </w:tr>
      <w:tr w:rsidR="00C3750F" w14:paraId="620D484C" w14:textId="5FEECDF9" w:rsidTr="00460599">
        <w:tc>
          <w:tcPr>
            <w:tcW w:w="990" w:type="dxa"/>
          </w:tcPr>
          <w:p w14:paraId="33F6FC7E" w14:textId="6304B1BB" w:rsidR="00C3750F" w:rsidRDefault="00C3750F" w:rsidP="003F5AF3">
            <w:pPr>
              <w:rPr>
                <w:rFonts w:ascii="Cambria" w:hAnsi="Cambria"/>
              </w:rPr>
            </w:pPr>
            <w:r>
              <w:rPr>
                <w:rFonts w:ascii="Cambria" w:hAnsi="Cambria"/>
              </w:rPr>
              <w:t>TES</w:t>
            </w:r>
          </w:p>
        </w:tc>
        <w:tc>
          <w:tcPr>
            <w:tcW w:w="1350" w:type="dxa"/>
          </w:tcPr>
          <w:p w14:paraId="25413209" w14:textId="0D0F6221" w:rsidR="00C3750F" w:rsidRDefault="00C3750F" w:rsidP="003F5AF3">
            <w:pPr>
              <w:rPr>
                <w:rFonts w:ascii="Cambria" w:hAnsi="Cambria"/>
              </w:rPr>
            </w:pPr>
            <w:r>
              <w:rPr>
                <w:rFonts w:ascii="Cambria" w:hAnsi="Cambria"/>
              </w:rPr>
              <w:t>529.7***</w:t>
            </w:r>
          </w:p>
        </w:tc>
        <w:tc>
          <w:tcPr>
            <w:tcW w:w="1440" w:type="dxa"/>
          </w:tcPr>
          <w:p w14:paraId="512948F4" w14:textId="1C7C3582" w:rsidR="00C3750F" w:rsidRDefault="00C3750F" w:rsidP="003F5AF3">
            <w:pPr>
              <w:rPr>
                <w:rFonts w:ascii="Cambria" w:hAnsi="Cambria"/>
              </w:rPr>
            </w:pPr>
            <w:r>
              <w:rPr>
                <w:rFonts w:ascii="Cambria" w:hAnsi="Cambria"/>
              </w:rPr>
              <w:t>0.841***</w:t>
            </w:r>
          </w:p>
        </w:tc>
        <w:tc>
          <w:tcPr>
            <w:tcW w:w="1440" w:type="dxa"/>
          </w:tcPr>
          <w:p w14:paraId="37E08FA2" w14:textId="7E2F4FB6" w:rsidR="00C3750F" w:rsidRDefault="00C3750F" w:rsidP="003F5AF3">
            <w:pPr>
              <w:rPr>
                <w:rFonts w:ascii="Cambria" w:hAnsi="Cambria"/>
              </w:rPr>
            </w:pPr>
            <w:r>
              <w:rPr>
                <w:rFonts w:ascii="Cambria" w:hAnsi="Cambria"/>
              </w:rPr>
              <w:t>-184.3*</w:t>
            </w:r>
          </w:p>
        </w:tc>
        <w:tc>
          <w:tcPr>
            <w:tcW w:w="1530" w:type="dxa"/>
          </w:tcPr>
          <w:p w14:paraId="3CF30F45" w14:textId="599270AE" w:rsidR="00C3750F" w:rsidRDefault="00C3750F" w:rsidP="003F5AF3">
            <w:pPr>
              <w:rPr>
                <w:rFonts w:ascii="Cambria" w:hAnsi="Cambria"/>
              </w:rPr>
            </w:pPr>
            <w:r>
              <w:rPr>
                <w:rFonts w:ascii="Cambria" w:hAnsi="Cambria"/>
              </w:rPr>
              <w:t>0.0019***</w:t>
            </w:r>
          </w:p>
        </w:tc>
        <w:tc>
          <w:tcPr>
            <w:tcW w:w="2250" w:type="dxa"/>
          </w:tcPr>
          <w:p w14:paraId="539DA69A" w14:textId="4610AB64" w:rsidR="00C3750F" w:rsidRDefault="00C3750F" w:rsidP="003F5AF3">
            <w:pPr>
              <w:rPr>
                <w:rFonts w:ascii="Cambria" w:hAnsi="Cambria"/>
              </w:rPr>
            </w:pPr>
            <w:r>
              <w:rPr>
                <w:rFonts w:ascii="Cambria" w:hAnsi="Cambria"/>
              </w:rPr>
              <w:t>-0.0018***</w:t>
            </w:r>
          </w:p>
        </w:tc>
        <w:tc>
          <w:tcPr>
            <w:tcW w:w="1849" w:type="dxa"/>
          </w:tcPr>
          <w:p w14:paraId="6760C04B" w14:textId="576DFA82" w:rsidR="00C3750F" w:rsidRDefault="00460599" w:rsidP="003F5AF3">
            <w:pPr>
              <w:rPr>
                <w:rFonts w:ascii="Cambria" w:hAnsi="Cambria"/>
              </w:rPr>
            </w:pPr>
            <w:r>
              <w:rPr>
                <w:rFonts w:ascii="Cambria" w:hAnsi="Cambria"/>
              </w:rPr>
              <w:t>0.269, 0.267</w:t>
            </w:r>
          </w:p>
        </w:tc>
      </w:tr>
      <w:tr w:rsidR="00C3750F" w14:paraId="0732EA0E" w14:textId="05BDDA3C" w:rsidTr="00460599">
        <w:tc>
          <w:tcPr>
            <w:tcW w:w="990" w:type="dxa"/>
          </w:tcPr>
          <w:p w14:paraId="329B6A18" w14:textId="51E7E412" w:rsidR="00C3750F" w:rsidRDefault="00C3750F" w:rsidP="003F5AF3">
            <w:pPr>
              <w:rPr>
                <w:rFonts w:ascii="Cambria" w:hAnsi="Cambria"/>
              </w:rPr>
            </w:pPr>
            <w:r>
              <w:rPr>
                <w:rFonts w:ascii="Cambria" w:hAnsi="Cambria"/>
              </w:rPr>
              <w:t>ARIMA</w:t>
            </w:r>
          </w:p>
        </w:tc>
        <w:tc>
          <w:tcPr>
            <w:tcW w:w="1350" w:type="dxa"/>
          </w:tcPr>
          <w:p w14:paraId="0F41F66F" w14:textId="6A21ACE3" w:rsidR="00C3750F" w:rsidRDefault="00C3750F" w:rsidP="003F5AF3">
            <w:pPr>
              <w:rPr>
                <w:rFonts w:ascii="Cambria" w:hAnsi="Cambria"/>
              </w:rPr>
            </w:pPr>
            <w:r>
              <w:rPr>
                <w:rFonts w:ascii="Cambria" w:hAnsi="Cambria"/>
              </w:rPr>
              <w:t>698.4***</w:t>
            </w:r>
          </w:p>
        </w:tc>
        <w:tc>
          <w:tcPr>
            <w:tcW w:w="1440" w:type="dxa"/>
          </w:tcPr>
          <w:p w14:paraId="7097C063" w14:textId="232C81E3" w:rsidR="00C3750F" w:rsidRDefault="00C3750F" w:rsidP="003F5AF3">
            <w:pPr>
              <w:rPr>
                <w:rFonts w:ascii="Cambria" w:hAnsi="Cambria"/>
              </w:rPr>
            </w:pPr>
            <w:r>
              <w:rPr>
                <w:rFonts w:ascii="Cambria" w:hAnsi="Cambria"/>
              </w:rPr>
              <w:t>0.863***</w:t>
            </w:r>
          </w:p>
        </w:tc>
        <w:tc>
          <w:tcPr>
            <w:tcW w:w="1440" w:type="dxa"/>
          </w:tcPr>
          <w:p w14:paraId="08BC7B6C" w14:textId="2FE009C2" w:rsidR="00C3750F" w:rsidRDefault="00C3750F" w:rsidP="003F5AF3">
            <w:pPr>
              <w:rPr>
                <w:rFonts w:ascii="Cambria" w:hAnsi="Cambria"/>
              </w:rPr>
            </w:pPr>
            <w:r>
              <w:rPr>
                <w:rFonts w:ascii="Cambria" w:hAnsi="Cambria"/>
              </w:rPr>
              <w:t>-107.9</w:t>
            </w:r>
          </w:p>
        </w:tc>
        <w:tc>
          <w:tcPr>
            <w:tcW w:w="1530" w:type="dxa"/>
          </w:tcPr>
          <w:p w14:paraId="41D78F76" w14:textId="08D86609" w:rsidR="00C3750F" w:rsidRDefault="00C3750F" w:rsidP="003F5AF3">
            <w:pPr>
              <w:rPr>
                <w:rFonts w:ascii="Cambria" w:hAnsi="Cambria"/>
              </w:rPr>
            </w:pPr>
            <w:r>
              <w:rPr>
                <w:rFonts w:ascii="Cambria" w:hAnsi="Cambria"/>
              </w:rPr>
              <w:t>0.0022***</w:t>
            </w:r>
          </w:p>
        </w:tc>
        <w:tc>
          <w:tcPr>
            <w:tcW w:w="2250" w:type="dxa"/>
          </w:tcPr>
          <w:p w14:paraId="05A788AC" w14:textId="40AF668B" w:rsidR="00C3750F" w:rsidRDefault="00C3750F" w:rsidP="003F5AF3">
            <w:pPr>
              <w:rPr>
                <w:rFonts w:ascii="Cambria" w:hAnsi="Cambria"/>
              </w:rPr>
            </w:pPr>
            <w:r>
              <w:rPr>
                <w:rFonts w:ascii="Cambria" w:hAnsi="Cambria"/>
              </w:rPr>
              <w:t>-0.0021***</w:t>
            </w:r>
          </w:p>
        </w:tc>
        <w:tc>
          <w:tcPr>
            <w:tcW w:w="1849" w:type="dxa"/>
          </w:tcPr>
          <w:p w14:paraId="5F69F33B" w14:textId="12F0347D" w:rsidR="00C3750F" w:rsidRDefault="00460599" w:rsidP="003F5AF3">
            <w:pPr>
              <w:rPr>
                <w:rFonts w:ascii="Cambria" w:hAnsi="Cambria"/>
              </w:rPr>
            </w:pPr>
            <w:r>
              <w:rPr>
                <w:rFonts w:ascii="Cambria" w:hAnsi="Cambria"/>
              </w:rPr>
              <w:t>0.209, 0.207</w:t>
            </w:r>
          </w:p>
        </w:tc>
      </w:tr>
      <w:tr w:rsidR="00C3750F" w14:paraId="327E8AB6" w14:textId="7EA50A8D" w:rsidTr="00460599">
        <w:tc>
          <w:tcPr>
            <w:tcW w:w="990" w:type="dxa"/>
          </w:tcPr>
          <w:p w14:paraId="6F267DDB" w14:textId="24C071C1" w:rsidR="00C3750F" w:rsidRDefault="00C3750F" w:rsidP="003F5AF3">
            <w:pPr>
              <w:rPr>
                <w:rFonts w:ascii="Cambria" w:hAnsi="Cambria"/>
              </w:rPr>
            </w:pPr>
            <w:r>
              <w:rPr>
                <w:rFonts w:ascii="Cambria" w:hAnsi="Cambria"/>
              </w:rPr>
              <w:t>VAR</w:t>
            </w:r>
          </w:p>
        </w:tc>
        <w:tc>
          <w:tcPr>
            <w:tcW w:w="1350" w:type="dxa"/>
          </w:tcPr>
          <w:p w14:paraId="32B72149" w14:textId="121F2943" w:rsidR="00C3750F" w:rsidRDefault="00C3750F" w:rsidP="003F5AF3">
            <w:pPr>
              <w:rPr>
                <w:rFonts w:ascii="Cambria" w:hAnsi="Cambria"/>
              </w:rPr>
            </w:pPr>
            <w:r>
              <w:rPr>
                <w:rFonts w:ascii="Cambria" w:hAnsi="Cambria"/>
              </w:rPr>
              <w:t>641.1***</w:t>
            </w:r>
          </w:p>
        </w:tc>
        <w:tc>
          <w:tcPr>
            <w:tcW w:w="1440" w:type="dxa"/>
          </w:tcPr>
          <w:p w14:paraId="3684C88F" w14:textId="1CAE9652" w:rsidR="00C3750F" w:rsidRDefault="00C3750F" w:rsidP="003F5AF3">
            <w:pPr>
              <w:rPr>
                <w:rFonts w:ascii="Cambria" w:hAnsi="Cambria"/>
              </w:rPr>
            </w:pPr>
            <w:r>
              <w:rPr>
                <w:rFonts w:ascii="Cambria" w:hAnsi="Cambria"/>
              </w:rPr>
              <w:t>-0.00030</w:t>
            </w:r>
          </w:p>
        </w:tc>
        <w:tc>
          <w:tcPr>
            <w:tcW w:w="1440" w:type="dxa"/>
          </w:tcPr>
          <w:p w14:paraId="1F0EE407" w14:textId="2AFDC4BE" w:rsidR="00C3750F" w:rsidRDefault="00C3750F" w:rsidP="003F5AF3">
            <w:pPr>
              <w:rPr>
                <w:rFonts w:ascii="Cambria" w:hAnsi="Cambria"/>
              </w:rPr>
            </w:pPr>
            <w:r>
              <w:rPr>
                <w:rFonts w:ascii="Cambria" w:hAnsi="Cambria"/>
              </w:rPr>
              <w:t>955.4***</w:t>
            </w:r>
          </w:p>
        </w:tc>
        <w:tc>
          <w:tcPr>
            <w:tcW w:w="1530" w:type="dxa"/>
          </w:tcPr>
          <w:p w14:paraId="194E9E5D" w14:textId="125AA065" w:rsidR="00C3750F" w:rsidRDefault="00C3750F" w:rsidP="003F5AF3">
            <w:pPr>
              <w:rPr>
                <w:rFonts w:ascii="Cambria" w:hAnsi="Cambria"/>
              </w:rPr>
            </w:pPr>
            <w:r>
              <w:rPr>
                <w:rFonts w:ascii="Cambria" w:hAnsi="Cambria"/>
              </w:rPr>
              <w:t>0.0036***</w:t>
            </w:r>
          </w:p>
        </w:tc>
        <w:tc>
          <w:tcPr>
            <w:tcW w:w="2250" w:type="dxa"/>
          </w:tcPr>
          <w:p w14:paraId="781E03A3" w14:textId="7F467128" w:rsidR="00C3750F" w:rsidRDefault="00C3750F" w:rsidP="003F5AF3">
            <w:pPr>
              <w:rPr>
                <w:rFonts w:ascii="Cambria" w:hAnsi="Cambria"/>
              </w:rPr>
            </w:pPr>
            <w:r>
              <w:rPr>
                <w:rFonts w:ascii="Cambria" w:hAnsi="Cambria"/>
              </w:rPr>
              <w:t>-0.0035***</w:t>
            </w:r>
          </w:p>
        </w:tc>
        <w:tc>
          <w:tcPr>
            <w:tcW w:w="1849" w:type="dxa"/>
          </w:tcPr>
          <w:p w14:paraId="1C92C78C" w14:textId="598C1DE8" w:rsidR="00C3750F" w:rsidRDefault="00460599" w:rsidP="003F5AF3">
            <w:pPr>
              <w:rPr>
                <w:rFonts w:ascii="Cambria" w:hAnsi="Cambria"/>
              </w:rPr>
            </w:pPr>
            <w:r>
              <w:rPr>
                <w:rFonts w:ascii="Cambria" w:hAnsi="Cambria"/>
              </w:rPr>
              <w:t>0.032, 0.030</w:t>
            </w:r>
          </w:p>
        </w:tc>
      </w:tr>
      <w:tr w:rsidR="00C3750F" w14:paraId="2A53ED24" w14:textId="45FE1728" w:rsidTr="00460599">
        <w:tc>
          <w:tcPr>
            <w:tcW w:w="990" w:type="dxa"/>
          </w:tcPr>
          <w:p w14:paraId="0133DD29" w14:textId="5A638E8C" w:rsidR="00C3750F" w:rsidRDefault="00C3750F" w:rsidP="003F5AF3">
            <w:pPr>
              <w:rPr>
                <w:rFonts w:ascii="Cambria" w:hAnsi="Cambria"/>
              </w:rPr>
            </w:pPr>
            <w:r>
              <w:rPr>
                <w:rFonts w:ascii="Cambria" w:hAnsi="Cambria"/>
              </w:rPr>
              <w:t>LGBM</w:t>
            </w:r>
          </w:p>
        </w:tc>
        <w:tc>
          <w:tcPr>
            <w:tcW w:w="1350" w:type="dxa"/>
          </w:tcPr>
          <w:p w14:paraId="3DB81EE6" w14:textId="6A001239" w:rsidR="00C3750F" w:rsidRDefault="00C3750F" w:rsidP="003F5AF3">
            <w:pPr>
              <w:rPr>
                <w:rFonts w:ascii="Cambria" w:hAnsi="Cambria"/>
              </w:rPr>
            </w:pPr>
            <w:r>
              <w:rPr>
                <w:rFonts w:ascii="Cambria" w:hAnsi="Cambria"/>
              </w:rPr>
              <w:t>771.4***</w:t>
            </w:r>
          </w:p>
        </w:tc>
        <w:tc>
          <w:tcPr>
            <w:tcW w:w="1440" w:type="dxa"/>
          </w:tcPr>
          <w:p w14:paraId="5B862F73" w14:textId="32D7F433" w:rsidR="00C3750F" w:rsidRDefault="00C3750F" w:rsidP="003F5AF3">
            <w:pPr>
              <w:rPr>
                <w:rFonts w:ascii="Cambria" w:hAnsi="Cambria"/>
              </w:rPr>
            </w:pPr>
            <w:r>
              <w:rPr>
                <w:rFonts w:ascii="Cambria" w:hAnsi="Cambria"/>
              </w:rPr>
              <w:t>1.12***</w:t>
            </w:r>
          </w:p>
        </w:tc>
        <w:tc>
          <w:tcPr>
            <w:tcW w:w="1440" w:type="dxa"/>
          </w:tcPr>
          <w:p w14:paraId="45D74889" w14:textId="7A0ECB2E" w:rsidR="00C3750F" w:rsidRDefault="00C3750F" w:rsidP="003F5AF3">
            <w:pPr>
              <w:rPr>
                <w:rFonts w:ascii="Cambria" w:hAnsi="Cambria"/>
              </w:rPr>
            </w:pPr>
            <w:r>
              <w:rPr>
                <w:rFonts w:ascii="Cambria" w:hAnsi="Cambria"/>
              </w:rPr>
              <w:t>-0.052***</w:t>
            </w:r>
          </w:p>
        </w:tc>
        <w:tc>
          <w:tcPr>
            <w:tcW w:w="1530" w:type="dxa"/>
          </w:tcPr>
          <w:p w14:paraId="6F068FFA" w14:textId="330DDA82" w:rsidR="00C3750F" w:rsidRDefault="00C3750F" w:rsidP="003F5AF3">
            <w:pPr>
              <w:rPr>
                <w:rFonts w:ascii="Cambria" w:hAnsi="Cambria"/>
              </w:rPr>
            </w:pPr>
            <w:r>
              <w:rPr>
                <w:rFonts w:ascii="Cambria" w:hAnsi="Cambria"/>
              </w:rPr>
              <w:t>0.0013***</w:t>
            </w:r>
          </w:p>
        </w:tc>
        <w:tc>
          <w:tcPr>
            <w:tcW w:w="2250" w:type="dxa"/>
          </w:tcPr>
          <w:p w14:paraId="69CE4C59" w14:textId="371D0D1D" w:rsidR="00C3750F" w:rsidRDefault="00C3750F" w:rsidP="003F5AF3">
            <w:pPr>
              <w:rPr>
                <w:rFonts w:ascii="Cambria" w:hAnsi="Cambria"/>
              </w:rPr>
            </w:pPr>
            <w:r>
              <w:rPr>
                <w:rFonts w:ascii="Cambria" w:hAnsi="Cambria"/>
              </w:rPr>
              <w:t>-0.00082</w:t>
            </w:r>
          </w:p>
        </w:tc>
        <w:tc>
          <w:tcPr>
            <w:tcW w:w="1849" w:type="dxa"/>
          </w:tcPr>
          <w:p w14:paraId="3FCB3671" w14:textId="73CF24C6" w:rsidR="00C3750F" w:rsidRDefault="00460599" w:rsidP="003F5AF3">
            <w:pPr>
              <w:rPr>
                <w:rFonts w:ascii="Cambria" w:hAnsi="Cambria"/>
              </w:rPr>
            </w:pPr>
            <w:r>
              <w:rPr>
                <w:rFonts w:ascii="Cambria" w:hAnsi="Cambria"/>
              </w:rPr>
              <w:t>0.387, 0.386</w:t>
            </w:r>
          </w:p>
        </w:tc>
      </w:tr>
    </w:tbl>
    <w:p w14:paraId="5F8E7950" w14:textId="77777777" w:rsidR="001705B2" w:rsidRDefault="001705B2" w:rsidP="003F5AF3">
      <w:pPr>
        <w:rPr>
          <w:rFonts w:ascii="Cambria" w:hAnsi="Cambria"/>
        </w:rPr>
      </w:pPr>
    </w:p>
    <w:p w14:paraId="0731E004" w14:textId="77777777" w:rsidR="00460599" w:rsidRDefault="00460599" w:rsidP="003F5AF3">
      <w:pPr>
        <w:rPr>
          <w:rFonts w:ascii="Cambria" w:hAnsi="Cambria"/>
        </w:rPr>
      </w:pPr>
    </w:p>
    <w:p w14:paraId="7FA545D6" w14:textId="1EDD17FA" w:rsidR="00460599" w:rsidRDefault="00460599" w:rsidP="003F5AF3">
      <w:pPr>
        <w:rPr>
          <w:rFonts w:ascii="Cambria" w:eastAsiaTheme="minorEastAsia" w:hAnsi="Cambria"/>
        </w:rPr>
      </w:pPr>
      <w:r>
        <w:rPr>
          <w:rFonts w:ascii="Cambria" w:hAnsi="Cambria"/>
        </w:rPr>
        <w:t xml:space="preserve">The average distance between a series and its three closest neighbors consistently has a positive, statistically significant effect. Holding the original forecast error ad spectral entropy constant, increasing the distance between a series and its neighbors will increase forecast error. The amount that the forecast error increases when neighbor distance increases is dependent on the spectral entropy of the original series (although this is not statistically significant for all models). For example, when forecasting with TES, the absolute error of </w:t>
      </w:r>
      <w:r w:rsidR="00967835">
        <w:rPr>
          <w:rFonts w:ascii="Cambria" w:hAnsi="Cambria"/>
        </w:rPr>
        <w:t>forecast from the</w:t>
      </w:r>
      <w:r>
        <w:rPr>
          <w:rFonts w:ascii="Cambria" w:hAnsi="Cambria"/>
        </w:rPr>
        <w:t xml:space="preserve"> protected </w:t>
      </w:r>
      <w:r w:rsidR="00967835">
        <w:rPr>
          <w:rFonts w:ascii="Cambria" w:hAnsi="Cambria"/>
        </w:rPr>
        <w:t>data</w:t>
      </w:r>
      <w:r>
        <w:rPr>
          <w:rFonts w:ascii="Cambria" w:hAnsi="Cambria"/>
        </w:rPr>
        <w:t xml:space="preserve"> increases by </w:t>
      </w:r>
      <m:oMath>
        <m:d>
          <m:dPr>
            <m:ctrlPr>
              <w:rPr>
                <w:rFonts w:ascii="Cambria Math" w:hAnsi="Cambria Math"/>
                <w:i/>
              </w:rPr>
            </m:ctrlPr>
          </m:dPr>
          <m:e>
            <m:r>
              <w:rPr>
                <w:rFonts w:ascii="Cambria Math" w:hAnsi="Cambria Math"/>
              </w:rPr>
              <m:t>0.0019-SpecEntropy</m:t>
            </m:r>
            <m:r>
              <m:rPr>
                <m:sty m:val="p"/>
              </m:rPr>
              <w:rPr>
                <w:rFonts w:ascii="Cambria Math" w:hAnsi="Cambria Math"/>
              </w:rPr>
              <m:t>×</m:t>
            </m:r>
            <m:r>
              <w:rPr>
                <w:rFonts w:ascii="Cambria Math" w:hAnsi="Cambria Math"/>
              </w:rPr>
              <m:t>0.0018</m:t>
            </m:r>
          </m:e>
        </m:d>
      </m:oMath>
      <w:r w:rsidR="00967835">
        <w:rPr>
          <w:rFonts w:ascii="Cambria" w:eastAsiaTheme="minorEastAsia" w:hAnsi="Cambria"/>
        </w:rPr>
        <w:t xml:space="preserve"> </w:t>
      </w:r>
      <w:r>
        <w:rPr>
          <w:rFonts w:ascii="Cambria" w:hAnsi="Cambria"/>
        </w:rPr>
        <w:t>for every one-unit increase in the average distance between a time series and its neighbors.</w:t>
      </w:r>
      <w:r w:rsidR="00967835">
        <w:rPr>
          <w:rFonts w:ascii="Cambria" w:eastAsiaTheme="minorEastAsia" w:hAnsi="Cambria"/>
        </w:rPr>
        <w:t xml:space="preserve"> This means for series that have very high spectral entropies (e.g., Monthly Micro), having less similar time series is not as damaging to forecast accuracy.</w:t>
      </w:r>
    </w:p>
    <w:p w14:paraId="0FC5E7C3" w14:textId="77777777" w:rsidR="00967835" w:rsidRDefault="00967835" w:rsidP="003F5AF3">
      <w:pPr>
        <w:rPr>
          <w:rFonts w:ascii="Cambria" w:eastAsiaTheme="minorEastAsia" w:hAnsi="Cambria"/>
        </w:rPr>
      </w:pPr>
    </w:p>
    <w:p w14:paraId="559DB195" w14:textId="75FC9060" w:rsidR="00967835" w:rsidRDefault="00967835" w:rsidP="003F5AF3">
      <w:pPr>
        <w:rPr>
          <w:rFonts w:ascii="Cambria" w:eastAsiaTheme="minorEastAsia" w:hAnsi="Cambria"/>
        </w:rPr>
      </w:pPr>
      <w:r>
        <w:rPr>
          <w:rFonts w:ascii="Cambria" w:eastAsiaTheme="minorEastAsia" w:hAnsi="Cambria"/>
        </w:rPr>
        <w:t xml:space="preserve">See the plots for monthly-MACRO3 and monthly-MICRO1 in Figure 1. The series in both data sets are relatively dissimilar. However, the percentage increase in forecast accuracy is several orders of magnitude smaller for the monthly-MICRO1 series. </w:t>
      </w:r>
      <w:r>
        <w:rPr>
          <w:rFonts w:ascii="Cambria" w:eastAsiaTheme="minorEastAsia" w:hAnsi="Cambria"/>
          <w:b/>
          <w:bCs/>
        </w:rPr>
        <w:t xml:space="preserve">Table 4 </w:t>
      </w:r>
      <w:r>
        <w:rPr>
          <w:rFonts w:ascii="Cambria" w:eastAsiaTheme="minorEastAsia" w:hAnsi="Cambria"/>
        </w:rPr>
        <w:t>contains the average neighbor distance and average percentage increase in forecast accuracy across the series in each of these data sets.</w:t>
      </w:r>
      <w:r w:rsidR="00E973D2">
        <w:rPr>
          <w:rFonts w:ascii="Cambria" w:eastAsiaTheme="minorEastAsia" w:hAnsi="Cambria"/>
        </w:rPr>
        <w:t xml:space="preserve"> Even though the average neighbor distance is larger for the monthly-MICRO1 series, the percentage increase in forecast error is much less than for the Monthly-MACRO3 series.</w:t>
      </w:r>
    </w:p>
    <w:p w14:paraId="22ABFB9A" w14:textId="77777777" w:rsidR="00967835" w:rsidRDefault="00967835" w:rsidP="003F5AF3">
      <w:pPr>
        <w:rPr>
          <w:rFonts w:ascii="Cambria" w:eastAsiaTheme="minorEastAsia" w:hAnsi="Cambria"/>
        </w:rPr>
      </w:pPr>
    </w:p>
    <w:tbl>
      <w:tblPr>
        <w:tblStyle w:val="TableGrid"/>
        <w:tblW w:w="0" w:type="auto"/>
        <w:tblLook w:val="04A0" w:firstRow="1" w:lastRow="0" w:firstColumn="1" w:lastColumn="0" w:noHBand="0" w:noVBand="1"/>
      </w:tblPr>
      <w:tblGrid>
        <w:gridCol w:w="2867"/>
        <w:gridCol w:w="3252"/>
        <w:gridCol w:w="3231"/>
      </w:tblGrid>
      <w:tr w:rsidR="00E973D2" w14:paraId="0EE1845A" w14:textId="77777777" w:rsidTr="00E973D2">
        <w:tc>
          <w:tcPr>
            <w:tcW w:w="2867" w:type="dxa"/>
          </w:tcPr>
          <w:p w14:paraId="3405788F" w14:textId="43847F27" w:rsidR="00E973D2" w:rsidRDefault="00E973D2" w:rsidP="003F5AF3">
            <w:pPr>
              <w:rPr>
                <w:rFonts w:ascii="Cambria" w:eastAsiaTheme="minorEastAsia" w:hAnsi="Cambria"/>
              </w:rPr>
            </w:pPr>
            <w:r>
              <w:rPr>
                <w:rFonts w:ascii="Cambria" w:eastAsiaTheme="minorEastAsia" w:hAnsi="Cambria"/>
              </w:rPr>
              <w:t>Data Subset</w:t>
            </w:r>
          </w:p>
        </w:tc>
        <w:tc>
          <w:tcPr>
            <w:tcW w:w="3252" w:type="dxa"/>
          </w:tcPr>
          <w:p w14:paraId="3DFF2EED" w14:textId="70D84615" w:rsidR="00E973D2" w:rsidRDefault="00E973D2" w:rsidP="003F5AF3">
            <w:pPr>
              <w:rPr>
                <w:rFonts w:ascii="Cambria" w:eastAsiaTheme="minorEastAsia" w:hAnsi="Cambria"/>
              </w:rPr>
            </w:pPr>
            <w:r>
              <w:rPr>
                <w:rFonts w:ascii="Cambria" w:eastAsiaTheme="minorEastAsia" w:hAnsi="Cambria"/>
              </w:rPr>
              <w:t>Average Neighbor Distance</w:t>
            </w:r>
          </w:p>
        </w:tc>
        <w:tc>
          <w:tcPr>
            <w:tcW w:w="3231" w:type="dxa"/>
          </w:tcPr>
          <w:p w14:paraId="01B81A9C" w14:textId="1294B872" w:rsidR="00E973D2" w:rsidRDefault="00E973D2" w:rsidP="003F5AF3">
            <w:pPr>
              <w:rPr>
                <w:rFonts w:ascii="Cambria" w:eastAsiaTheme="minorEastAsia" w:hAnsi="Cambria"/>
              </w:rPr>
            </w:pPr>
            <w:r>
              <w:rPr>
                <w:rFonts w:ascii="Cambria" w:eastAsiaTheme="minorEastAsia" w:hAnsi="Cambria"/>
              </w:rPr>
              <w:t>Average % Increase in Absolute Error</w:t>
            </w:r>
          </w:p>
        </w:tc>
      </w:tr>
      <w:tr w:rsidR="00E973D2" w14:paraId="5EFF7DC5" w14:textId="77777777" w:rsidTr="00E973D2">
        <w:tc>
          <w:tcPr>
            <w:tcW w:w="2867" w:type="dxa"/>
          </w:tcPr>
          <w:p w14:paraId="75292FC7" w14:textId="442ECAAE" w:rsidR="00E973D2" w:rsidRDefault="00E973D2" w:rsidP="003F5AF3">
            <w:pPr>
              <w:rPr>
                <w:rFonts w:ascii="Cambria" w:eastAsiaTheme="minorEastAsia" w:hAnsi="Cambria"/>
              </w:rPr>
            </w:pPr>
            <w:r>
              <w:rPr>
                <w:rFonts w:ascii="Cambria" w:eastAsiaTheme="minorEastAsia" w:hAnsi="Cambria"/>
              </w:rPr>
              <w:t>Monthly-MACRO3</w:t>
            </w:r>
          </w:p>
        </w:tc>
        <w:tc>
          <w:tcPr>
            <w:tcW w:w="3252" w:type="dxa"/>
          </w:tcPr>
          <w:p w14:paraId="7C9F3494" w14:textId="68AD105C" w:rsidR="00E973D2" w:rsidRDefault="00E973D2" w:rsidP="003F5AF3">
            <w:pPr>
              <w:rPr>
                <w:rFonts w:ascii="Cambria" w:eastAsiaTheme="minorEastAsia" w:hAnsi="Cambria"/>
              </w:rPr>
            </w:pPr>
            <w:r>
              <w:rPr>
                <w:rFonts w:ascii="Cambria" w:eastAsiaTheme="minorEastAsia" w:hAnsi="Cambria"/>
              </w:rPr>
              <w:t>243826</w:t>
            </w:r>
          </w:p>
        </w:tc>
        <w:tc>
          <w:tcPr>
            <w:tcW w:w="3231" w:type="dxa"/>
          </w:tcPr>
          <w:p w14:paraId="02B11857" w14:textId="57D2D3CB" w:rsidR="00E973D2" w:rsidRDefault="00E973D2" w:rsidP="003F5AF3">
            <w:pPr>
              <w:rPr>
                <w:rFonts w:ascii="Cambria" w:eastAsiaTheme="minorEastAsia" w:hAnsi="Cambria"/>
              </w:rPr>
            </w:pPr>
            <w:r>
              <w:rPr>
                <w:rFonts w:ascii="Cambria" w:eastAsiaTheme="minorEastAsia" w:hAnsi="Cambria"/>
              </w:rPr>
              <w:t>3704%</w:t>
            </w:r>
          </w:p>
        </w:tc>
      </w:tr>
      <w:tr w:rsidR="00E973D2" w14:paraId="42F8BCD4" w14:textId="77777777" w:rsidTr="00E973D2">
        <w:tc>
          <w:tcPr>
            <w:tcW w:w="2867" w:type="dxa"/>
          </w:tcPr>
          <w:p w14:paraId="4B16C88E" w14:textId="7DA46889" w:rsidR="00E973D2" w:rsidRDefault="00E973D2" w:rsidP="003F5AF3">
            <w:pPr>
              <w:rPr>
                <w:rFonts w:ascii="Cambria" w:eastAsiaTheme="minorEastAsia" w:hAnsi="Cambria"/>
              </w:rPr>
            </w:pPr>
            <w:r>
              <w:rPr>
                <w:rFonts w:ascii="Cambria" w:eastAsiaTheme="minorEastAsia" w:hAnsi="Cambria"/>
              </w:rPr>
              <w:t>Monthly-MICRO1</w:t>
            </w:r>
          </w:p>
        </w:tc>
        <w:tc>
          <w:tcPr>
            <w:tcW w:w="3252" w:type="dxa"/>
          </w:tcPr>
          <w:p w14:paraId="0A88E94E" w14:textId="165DC0E5" w:rsidR="00E973D2" w:rsidRDefault="00E973D2" w:rsidP="003F5AF3">
            <w:pPr>
              <w:rPr>
                <w:rFonts w:ascii="Cambria" w:eastAsiaTheme="minorEastAsia" w:hAnsi="Cambria"/>
              </w:rPr>
            </w:pPr>
            <w:r>
              <w:rPr>
                <w:rFonts w:ascii="Cambria" w:eastAsiaTheme="minorEastAsia" w:hAnsi="Cambria"/>
              </w:rPr>
              <w:t>626065</w:t>
            </w:r>
          </w:p>
        </w:tc>
        <w:tc>
          <w:tcPr>
            <w:tcW w:w="3231" w:type="dxa"/>
          </w:tcPr>
          <w:p w14:paraId="416B0DAF" w14:textId="7565331F" w:rsidR="00E973D2" w:rsidRDefault="00E973D2" w:rsidP="003F5AF3">
            <w:pPr>
              <w:rPr>
                <w:rFonts w:ascii="Cambria" w:eastAsiaTheme="minorEastAsia" w:hAnsi="Cambria"/>
              </w:rPr>
            </w:pPr>
            <w:r>
              <w:rPr>
                <w:rFonts w:ascii="Cambria" w:eastAsiaTheme="minorEastAsia" w:hAnsi="Cambria"/>
              </w:rPr>
              <w:t>133%</w:t>
            </w:r>
          </w:p>
        </w:tc>
      </w:tr>
    </w:tbl>
    <w:p w14:paraId="4027FA70" w14:textId="77777777" w:rsidR="00967835" w:rsidRDefault="00967835" w:rsidP="003F5AF3">
      <w:pPr>
        <w:rPr>
          <w:rFonts w:ascii="Cambria" w:eastAsiaTheme="minorEastAsia" w:hAnsi="Cambria"/>
        </w:rPr>
      </w:pPr>
    </w:p>
    <w:p w14:paraId="38849679" w14:textId="77777777" w:rsidR="00071F42" w:rsidRPr="00967835" w:rsidRDefault="00071F42" w:rsidP="003F5AF3">
      <w:pPr>
        <w:rPr>
          <w:rFonts w:ascii="Cambria" w:eastAsiaTheme="minorEastAsia" w:hAnsi="Cambria"/>
        </w:rPr>
      </w:pPr>
    </w:p>
    <w:sectPr w:rsidR="00071F42" w:rsidRPr="00967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B5F56"/>
    <w:multiLevelType w:val="hybridMultilevel"/>
    <w:tmpl w:val="18329644"/>
    <w:lvl w:ilvl="0" w:tplc="07EC622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716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A7"/>
    <w:rsid w:val="00071F42"/>
    <w:rsid w:val="001705B2"/>
    <w:rsid w:val="001A1541"/>
    <w:rsid w:val="00283AF6"/>
    <w:rsid w:val="003728A7"/>
    <w:rsid w:val="003F477F"/>
    <w:rsid w:val="003F5AF3"/>
    <w:rsid w:val="00460599"/>
    <w:rsid w:val="00605BA3"/>
    <w:rsid w:val="007354EB"/>
    <w:rsid w:val="007517FB"/>
    <w:rsid w:val="00915432"/>
    <w:rsid w:val="00947213"/>
    <w:rsid w:val="00967835"/>
    <w:rsid w:val="00AC2C38"/>
    <w:rsid w:val="00C3750F"/>
    <w:rsid w:val="00E641C6"/>
    <w:rsid w:val="00E973D2"/>
    <w:rsid w:val="00F2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88227"/>
  <w15:chartTrackingRefBased/>
  <w15:docId w15:val="{6335B721-3FF7-7146-9C3D-F2C41B3EB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8A7"/>
    <w:pPr>
      <w:ind w:left="720"/>
      <w:contextualSpacing/>
    </w:pPr>
  </w:style>
  <w:style w:type="table" w:styleId="TableGrid">
    <w:name w:val="Table Grid"/>
    <w:basedOn w:val="TableNormal"/>
    <w:uiPriority w:val="39"/>
    <w:rsid w:val="001A1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705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96312">
      <w:bodyDiv w:val="1"/>
      <w:marLeft w:val="0"/>
      <w:marRight w:val="0"/>
      <w:marTop w:val="0"/>
      <w:marBottom w:val="0"/>
      <w:divBdr>
        <w:top w:val="none" w:sz="0" w:space="0" w:color="auto"/>
        <w:left w:val="none" w:sz="0" w:space="0" w:color="auto"/>
        <w:bottom w:val="none" w:sz="0" w:space="0" w:color="auto"/>
        <w:right w:val="none" w:sz="0" w:space="0" w:color="auto"/>
      </w:divBdr>
      <w:divsChild>
        <w:div w:id="194579636">
          <w:marLeft w:val="0"/>
          <w:marRight w:val="0"/>
          <w:marTop w:val="0"/>
          <w:marBottom w:val="0"/>
          <w:divBdr>
            <w:top w:val="none" w:sz="0" w:space="0" w:color="auto"/>
            <w:left w:val="none" w:sz="0" w:space="0" w:color="auto"/>
            <w:bottom w:val="none" w:sz="0" w:space="0" w:color="auto"/>
            <w:right w:val="none" w:sz="0" w:space="0" w:color="auto"/>
          </w:divBdr>
        </w:div>
        <w:div w:id="1878080209">
          <w:marLeft w:val="0"/>
          <w:marRight w:val="0"/>
          <w:marTop w:val="0"/>
          <w:marBottom w:val="0"/>
          <w:divBdr>
            <w:top w:val="none" w:sz="0" w:space="0" w:color="auto"/>
            <w:left w:val="none" w:sz="0" w:space="0" w:color="auto"/>
            <w:bottom w:val="none" w:sz="0" w:space="0" w:color="auto"/>
            <w:right w:val="none" w:sz="0" w:space="0" w:color="auto"/>
          </w:divBdr>
        </w:div>
        <w:div w:id="129903261">
          <w:marLeft w:val="0"/>
          <w:marRight w:val="0"/>
          <w:marTop w:val="0"/>
          <w:marBottom w:val="0"/>
          <w:divBdr>
            <w:top w:val="none" w:sz="0" w:space="0" w:color="auto"/>
            <w:left w:val="none" w:sz="0" w:space="0" w:color="auto"/>
            <w:bottom w:val="none" w:sz="0" w:space="0" w:color="auto"/>
            <w:right w:val="none" w:sz="0" w:space="0" w:color="auto"/>
          </w:divBdr>
        </w:div>
        <w:div w:id="1331757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Bale,Cameron</dc:creator>
  <cp:keywords/>
  <dc:description/>
  <cp:lastModifiedBy>Bale,Cameron</cp:lastModifiedBy>
  <cp:revision>2</cp:revision>
  <dcterms:created xsi:type="dcterms:W3CDTF">2023-10-11T12:20:00Z</dcterms:created>
  <dcterms:modified xsi:type="dcterms:W3CDTF">2023-10-11T16:12:00Z</dcterms:modified>
</cp:coreProperties>
</file>