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IDENTIFICACIÓN DE CONTAGIO SECTORIAL</w:t>
      </w:r>
    </w:p>
    <w:p>
      <w:pPr>
        <w:spacing w:after="40"/>
        <w:jc w:val="center"/>
      </w:pPr>
      <w:r>
        <w:rPr>
          <w:i/>
          <w:iCs/>
          <w:sz w:val="22"/>
          <w:szCs w:val="22"/>
        </w:rPr>
        <w:t xml:space="preserve">Anexo metodológico a MG-DR-RC-22 · Metodología de Relación Sectorial</w:t>
      </w:r>
    </w:p>
    <w:p>
      <w:pPr>
        <w:spacing w:after="400"/>
        <w:jc w:val="center"/>
      </w:pPr>
      <w:r>
        <w:rPr>
          <w:sz w:val="20"/>
          <w:szCs w:val="20"/>
        </w:rPr>
        <w:t xml:space="preserve">Elaborado por: Gerencia de Riesgo de Crédito</w:t>
      </w:r>
    </w:p>
    <w:p>
      <w:pPr>
        <w:pStyle w:val="Heading1"/>
        <w:spacing w:after="150" w:before="300"/>
      </w:pPr>
      <w:r>
        <w:t xml:space="preserve">1. Objetivo</w:t>
      </w:r>
    </w:p>
    <w:p>
      <w:pPr>
        <w:spacing w:after="160"/>
      </w:pPr>
      <w:r>
        <w:t xml:space="preserve">La Metodología de Relación Sectorial (MG-DR-RC-22) identifica, a partir de la Tabla de Utilización Doméstica del Banco Central del Ecuador, qué clústeres están conectados entre sí y con qué fuerza estructural. Ese resultado responde una pregunta: ¿quién debería estar relacionado con quién, según cómo está armada la economía?</w:t>
      </w:r>
    </w:p>
    <w:p>
      <w:pPr>
        <w:spacing w:after="160"/>
      </w:pPr>
      <w:r>
        <w:t xml:space="preserve">Este anexo agrega una segunda pregunta, complementaria: cuando un clúster efectivamente cae en ventas, ¿sus relacionados también caen, en la realidad? La estructura del BCE dice qué vínculos deberían existir; este anexo revisa mes a mes si esos vínculos transmiten algo medible, para poder anticipar posibles efectos de contagio sobre la cartera.</w:t>
      </w:r>
    </w:p>
    <w:p>
      <w:pPr>
        <w:pStyle w:val="Heading1"/>
        <w:spacing w:after="150" w:before="300"/>
      </w:pPr>
      <w:r>
        <w:t xml:space="preserve">2. ¿Qué problema resuelve?</w:t>
      </w:r>
    </w:p>
    <w:p>
      <w:pPr>
        <w:spacing w:after="160"/>
      </w:pPr>
      <w:r>
        <w:t xml:space="preserve">La selección de relaciones representativas de la metodología original (sección 5.5) ordena las relaciones por frecuencia: cuenta cuántas veces aparece cada vínculo dentro de la matriz. Esa cuenta no distingue magnitud — un clúster que vendió $1,000 y otro que vendió $100 cuentan igual, como “1” aparición cada uno.</w:t>
      </w:r>
    </w:p>
    <w:p>
      <w:pPr>
        <w:spacing w:after="160"/>
      </w:pPr>
      <w:r>
        <w:t xml:space="preserve">Para ver contagio real hace falta lo contrario: no solo saber que dos clústeres están conectados, sino medir si, cuando uno se contrae de forma importante, el otro se mueve con él. Eso es lo que añade esta capa.</w:t>
      </w:r>
    </w:p>
    <w:p>
      <w:pPr>
        <w:pStyle w:val="Heading1"/>
        <w:spacing w:after="150" w:before="300"/>
      </w:pPr>
      <w:r>
        <w:t xml:space="preserve">3. Idea general: estructura y dinámica por separado</w:t>
      </w:r>
    </w:p>
    <w:p>
      <w:pPr>
        <w:spacing w:after="160"/>
      </w:pPr>
      <w:r>
        <w:t xml:space="preserve">La metodología separa dos capas que no deben mezclarse:</w:t>
      </w:r>
    </w:p>
    <w:p>
      <w:pPr>
        <w:pStyle w:val="ListParagraph"/>
        <w:numPr>
          <w:ilvl w:val="0"/>
          <w:numId w:val="2"/>
        </w:numPr>
        <w:spacing w:after="80"/>
      </w:pPr>
      <w:r>
        <w:t xml:space="preserve">Estructura (fija, anual): viene de la matriz insumo-producto del BCE. Dice, en teoría, cuánto depende un clúster de otro. Solo cambia cuando el BCE publica una tabla nueva.</w:t>
      </w:r>
    </w:p>
    <w:p>
      <w:pPr>
        <w:pStyle w:val="ListParagraph"/>
        <w:numPr>
          <w:ilvl w:val="0"/>
          <w:numId w:val="2"/>
        </w:numPr>
        <w:spacing w:after="80"/>
      </w:pPr>
      <w:r>
        <w:t xml:space="preserve">Dinámica (mensual, cambia todo el tiempo): viene de las ventas reales de las empresas. Dice cómo se mueve cada clúster mes a mes.</w:t>
      </w:r>
    </w:p>
    <w:p>
      <w:pPr>
        <w:spacing w:after="160"/>
      </w:pPr>
      <w:r>
        <w:t xml:space="preserve">El contagio se prueba cruzando ambas capas: se toman los vínculos estructurales más fuertes de cada clúster (según el BCE) y se revisa, con las ventas reales, si esos clústeres relacionados efectivamente se mueven juntos.</w:t>
      </w:r>
    </w:p>
    <w:p>
      <w:pPr>
        <w:pStyle w:val="Heading1"/>
        <w:spacing w:after="150" w:before="300"/>
      </w:pPr>
      <w:r>
        <w:t xml:space="preserve">4. Paso a paso de la metodología</w:t>
      </w:r>
    </w:p>
    <w:p>
      <w:pPr>
        <w:pStyle w:val="Heading2"/>
        <w:spacing w:after="100" w:before="200"/>
      </w:pPr>
      <w:r>
        <w:t xml:space="preserve">4.1 ¿Qué es una “caída significativa”?</w:t>
      </w:r>
    </w:p>
    <w:p>
      <w:pPr>
        <w:spacing w:after="160"/>
      </w:pPr>
      <w:r>
        <w:t xml:space="preserve">No se usa un porcentaje fijo (por ejemplo, “cayó más de 10%”) porque no es justo aplicar el mismo criterio a todos los clústeres: uno estacional como Banano o Camarón tiene caídas de doble dígito que son normales para él, mientras que para Consumo Masivo la misma caída sería una alerta real.</w:t>
      </w:r>
    </w:p>
    <w:p>
      <w:pPr>
        <w:spacing w:after="160"/>
      </w:pPr>
      <w:r>
        <w:t xml:space="preserve">En su lugar, cada mes se compara contra el propio historial reciente de ese clúster (los últimos 12 meses). Si la variación de ese mes es mucho más baja de lo que ese clúster suele moverse, se marca como “caída significativa”. La comparación usa siempre historia pasada, nunca meses futuros, para que el indicador se pueda calcular en tiempo real cada mes, no solo en retrospectiva.</w:t>
      </w:r>
    </w:p>
    <w:p>
      <w:pPr>
        <w:pStyle w:val="Heading2"/>
        <w:spacing w:after="100" w:before="200"/>
      </w:pPr>
      <w:r>
        <w:t xml:space="preserve">4.2 Trazabilidad de eventos</w:t>
      </w:r>
    </w:p>
    <w:p>
      <w:pPr>
        <w:spacing w:after="160"/>
      </w:pPr>
      <w:r>
        <w:t xml:space="preserve">Por cada caída significativa de un clúster de origen, se revisan sus relaciones estructurales más fuertes (las 5 más importantes, según el peso del BCE) y se comprueba si el clúster relacionado también tuvo una caída significativa ese mismo mes, o al mes siguiente.</w:t>
      </w:r>
    </w:p>
    <w:p>
      <w:pPr>
        <w:pStyle w:val="Heading2"/>
        <w:spacing w:after="100" w:before="200"/>
      </w:pPr>
      <w:r>
        <w:t xml:space="preserve">4.3 Tasa de contagio y “lift”</w:t>
      </w:r>
    </w:p>
    <w:p>
      <w:pPr>
        <w:spacing w:after="160"/>
      </w:pPr>
      <w:r>
        <w:t xml:space="preserve">Contar cuántas veces coincidió una caída no basta, porque algunos clústeres caen seguido de por sí solos. Por eso se compara la coincidencia contra una “tasa base”: qué tan seguido cae el clúster relacionado en general, sin condicionar en nada.</w:t>
      </w:r>
    </w:p>
    <w:p>
      <w:pPr>
        <w:spacing w:after="160"/>
      </w:pPr>
      <w:r>
        <w:t xml:space="preserve">El “lift” es el cociente entre ambas tasas: cuántas veces más frecuente es la caída del relacionado cuando el de origen cae, frente a lo normal. Un lift de 1 significa pura coincidencia; un lift de 3 significa que, tras la caída del origen, el relacionado cae tres veces más seguido de lo que le pasa habitualmente.</w:t>
      </w:r>
    </w:p>
    <w:p>
      <w:pPr>
        <w:pStyle w:val="Heading1"/>
        <w:spacing w:after="150" w:before="300"/>
      </w:pPr>
      <w:r>
        <w:t xml:space="preserve">5. Ejemplo ilustrativo con casos reales</w:t>
      </w:r>
    </w:p>
    <w:p>
      <w:pPr>
        <w:spacing w:after="160"/>
      </w:pPr>
      <w:r>
        <w:t xml:space="preserve">Los siguientes tres casos, tomados de una corrida real, muestran cómo un mismo peso estructural alto no garantiza contagio, y cómo un peso bajo no lo descarta.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3200"/>
            <w:shd w:fill="1F3864" w:val="clear"/>
            <w:vAlign w:val="center"/>
          </w:tcPr>
          <w:p>
            <w:r>
              <w:rPr>
                <w:b/>
                <w:bCs/>
                <w:color w:val="FFFFFF"/>
                <w:sz w:val="20"/>
                <w:szCs w:val="20"/>
              </w:rPr>
              <w:t xml:space="preserve">Caso (origen → destino)</w:t>
            </w:r>
          </w:p>
        </w:tc>
        <w:tc>
          <w:tcPr>
            <w:tcW w:type="dxa" w:w="1000"/>
            <w:shd w:fill="1F3864" w:val="clear"/>
            <w:vAlign w:val="center"/>
          </w:tcPr>
          <w:p>
            <w:r>
              <w:rPr>
                <w:b/>
                <w:bCs/>
                <w:color w:val="FFFFFF"/>
                <w:sz w:val="20"/>
                <w:szCs w:val="20"/>
              </w:rPr>
              <w:t xml:space="preserve">Peso BCE</w:t>
            </w:r>
          </w:p>
        </w:tc>
        <w:tc>
          <w:tcPr>
            <w:tcW w:type="dxa" w:w="900"/>
            <w:shd w:fill="1F3864" w:val="clear"/>
            <w:vAlign w:val="center"/>
          </w:tcPr>
          <w:p>
            <w:r>
              <w:rPr>
                <w:b/>
                <w:bCs/>
                <w:color w:val="FFFFFF"/>
                <w:sz w:val="20"/>
                <w:szCs w:val="20"/>
              </w:rPr>
              <w:t xml:space="preserve">Eventos</w:t>
            </w:r>
          </w:p>
        </w:tc>
        <w:tc>
          <w:tcPr>
            <w:tcW w:type="dxa" w:w="1200"/>
            <w:shd w:fill="1F3864" w:val="clear"/>
            <w:vAlign w:val="center"/>
          </w:tcPr>
          <w:p>
            <w:r>
              <w:rPr>
                <w:b/>
                <w:bCs/>
                <w:color w:val="FFFFFF"/>
                <w:sz w:val="20"/>
                <w:szCs w:val="20"/>
              </w:rPr>
              <w:t xml:space="preserve">Lift mismo mes</w:t>
            </w:r>
          </w:p>
        </w:tc>
        <w:tc>
          <w:tcPr>
            <w:tcW w:type="dxa" w:w="1300"/>
            <w:shd w:fill="1F3864" w:val="clear"/>
            <w:vAlign w:val="center"/>
          </w:tcPr>
          <w:p>
            <w:r>
              <w:rPr>
                <w:b/>
                <w:bCs/>
                <w:color w:val="FFFFFF"/>
                <w:sz w:val="20"/>
                <w:szCs w:val="20"/>
              </w:rPr>
              <w:t xml:space="preserve">Lift mes siguiente</w:t>
            </w:r>
          </w:p>
        </w:tc>
        <w:tc>
          <w:tcPr>
            <w:tcW w:type="dxa" w:w="1900"/>
            <w:shd w:fill="1F3864" w:val="clear"/>
            <w:vAlign w:val="center"/>
          </w:tcPr>
          <w:p>
            <w:r>
              <w:rPr>
                <w:b/>
                <w:bCs/>
                <w:color w:val="FFFFFF"/>
                <w:sz w:val="20"/>
                <w:szCs w:val="20"/>
              </w:rPr>
              <w:t xml:space="preserve">Lectura</w:t>
            </w:r>
          </w:p>
        </w:tc>
      </w:tr>
      <w:tr>
        <w:tc>
          <w:tcPr>
            <w:tcW w:type="dxa" w:w="3200"/>
            <w:vAlign w:val="center"/>
          </w:tcPr>
          <w:p>
            <w:r>
              <w:rPr>
                <w:b w:val="false"/>
                <w:bCs w:val="false"/>
                <w:sz w:val="20"/>
                <w:szCs w:val="20"/>
              </w:rPr>
              <w:t xml:space="preserve">Automotriz → Transporte y Almacenamiento</w:t>
            </w:r>
          </w:p>
        </w:tc>
        <w:tc>
          <w:tcPr>
            <w:tcW w:type="dxa" w:w="1000"/>
            <w:vAlign w:val="center"/>
          </w:tcPr>
          <w:p>
            <w:r>
              <w:rPr>
                <w:b w:val="false"/>
                <w:bCs w:val="false"/>
                <w:sz w:val="20"/>
                <w:szCs w:val="20"/>
              </w:rPr>
              <w:t xml:space="preserve">5.2%</w:t>
            </w:r>
          </w:p>
        </w:tc>
        <w:tc>
          <w:tcPr>
            <w:tcW w:type="dxa" w:w="900"/>
            <w:vAlign w:val="center"/>
          </w:tcPr>
          <w:p>
            <w:r>
              <w:rPr>
                <w:b w:val="false"/>
                <w:bCs w:val="false"/>
                <w:sz w:val="20"/>
                <w:szCs w:val="20"/>
              </w:rPr>
              <w:t xml:space="preserve">5</w:t>
            </w:r>
          </w:p>
        </w:tc>
        <w:tc>
          <w:tcPr>
            <w:tcW w:type="dxa" w:w="1200"/>
            <w:vAlign w:val="center"/>
          </w:tcPr>
          <w:p>
            <w:r>
              <w:rPr>
                <w:b w:val="false"/>
                <w:bCs w:val="false"/>
                <w:sz w:val="20"/>
                <w:szCs w:val="20"/>
              </w:rPr>
              <w:t xml:space="preserve">3.6x</w:t>
            </w:r>
          </w:p>
        </w:tc>
        <w:tc>
          <w:tcPr>
            <w:tcW w:type="dxa" w:w="1300"/>
            <w:vAlign w:val="center"/>
          </w:tcPr>
          <w:p>
            <w:r>
              <w:rPr>
                <w:b w:val="false"/>
                <w:bCs w:val="false"/>
                <w:sz w:val="20"/>
                <w:szCs w:val="20"/>
              </w:rPr>
              <w:t xml:space="preserve">3.6x</w:t>
            </w:r>
          </w:p>
        </w:tc>
        <w:tc>
          <w:tcPr>
            <w:tcW w:type="dxa" w:w="1900"/>
            <w:vAlign w:val="center"/>
          </w:tcPr>
          <w:p>
            <w:r>
              <w:rPr>
                <w:b w:val="false"/>
                <w:bCs w:val="false"/>
                <w:sz w:val="18"/>
                <w:szCs w:val="18"/>
              </w:rPr>
              <w:t xml:space="preserve">Señal consistente en ambas ventanas: candidato real de contagio.</w:t>
            </w:r>
          </w:p>
        </w:tc>
      </w:tr>
      <w:tr>
        <w:tc>
          <w:tcPr>
            <w:tcW w:type="dxa" w:w="3200"/>
            <w:vAlign w:val="center"/>
          </w:tcPr>
          <w:p>
            <w:r>
              <w:rPr>
                <w:b w:val="false"/>
                <w:bCs w:val="false"/>
                <w:sz w:val="20"/>
                <w:szCs w:val="20"/>
              </w:rPr>
              <w:t xml:space="preserve">Arroz → Manufactura de Alimentos y Bebidas</w:t>
            </w:r>
          </w:p>
        </w:tc>
        <w:tc>
          <w:tcPr>
            <w:tcW w:type="dxa" w:w="1000"/>
            <w:vAlign w:val="center"/>
          </w:tcPr>
          <w:p>
            <w:r>
              <w:rPr>
                <w:b w:val="false"/>
                <w:bCs w:val="false"/>
                <w:sz w:val="20"/>
                <w:szCs w:val="20"/>
              </w:rPr>
              <w:t xml:space="preserve">22.2%</w:t>
            </w:r>
          </w:p>
        </w:tc>
        <w:tc>
          <w:tcPr>
            <w:tcW w:type="dxa" w:w="900"/>
            <w:vAlign w:val="center"/>
          </w:tcPr>
          <w:p>
            <w:r>
              <w:rPr>
                <w:b w:val="false"/>
                <w:bCs w:val="false"/>
                <w:sz w:val="20"/>
                <w:szCs w:val="20"/>
              </w:rPr>
              <w:t xml:space="preserve">5</w:t>
            </w:r>
          </w:p>
        </w:tc>
        <w:tc>
          <w:tcPr>
            <w:tcW w:type="dxa" w:w="1200"/>
            <w:vAlign w:val="center"/>
          </w:tcPr>
          <w:p>
            <w:r>
              <w:rPr>
                <w:b w:val="false"/>
                <w:bCs w:val="false"/>
                <w:sz w:val="20"/>
                <w:szCs w:val="20"/>
              </w:rPr>
              <w:t xml:space="preserve">3.6x</w:t>
            </w:r>
          </w:p>
        </w:tc>
        <w:tc>
          <w:tcPr>
            <w:tcW w:type="dxa" w:w="1300"/>
            <w:vAlign w:val="center"/>
          </w:tcPr>
          <w:p>
            <w:r>
              <w:rPr>
                <w:b w:val="false"/>
                <w:bCs w:val="false"/>
                <w:sz w:val="20"/>
                <w:szCs w:val="20"/>
              </w:rPr>
              <w:t xml:space="preserve">0x</w:t>
            </w:r>
          </w:p>
        </w:tc>
        <w:tc>
          <w:tcPr>
            <w:tcW w:type="dxa" w:w="1900"/>
            <w:vAlign w:val="center"/>
          </w:tcPr>
          <w:p>
            <w:r>
              <w:rPr>
                <w:b w:val="false"/>
                <w:bCs w:val="false"/>
                <w:sz w:val="18"/>
                <w:szCs w:val="18"/>
              </w:rPr>
              <w:t xml:space="preserve">Solo señal el mismo mes; no se sostiene después. Podría ser un factor común, no contagio con rezago.</w:t>
            </w:r>
          </w:p>
        </w:tc>
      </w:tr>
      <w:tr>
        <w:tc>
          <w:tcPr>
            <w:tcW w:type="dxa" w:w="3200"/>
            <w:vAlign w:val="center"/>
          </w:tcPr>
          <w:p>
            <w:r>
              <w:rPr>
                <w:b w:val="false"/>
                <w:bCs w:val="false"/>
                <w:sz w:val="20"/>
                <w:szCs w:val="20"/>
              </w:rPr>
              <w:t xml:space="preserve">Maíz, Trigo y Otros Cereales → Ganadería y Derivados</w:t>
            </w:r>
          </w:p>
        </w:tc>
        <w:tc>
          <w:tcPr>
            <w:tcW w:type="dxa" w:w="1000"/>
            <w:vAlign w:val="center"/>
          </w:tcPr>
          <w:p>
            <w:r>
              <w:rPr>
                <w:b w:val="false"/>
                <w:bCs w:val="false"/>
                <w:sz w:val="20"/>
                <w:szCs w:val="20"/>
              </w:rPr>
              <w:t xml:space="preserve">36.1%</w:t>
            </w:r>
          </w:p>
        </w:tc>
        <w:tc>
          <w:tcPr>
            <w:tcW w:type="dxa" w:w="900"/>
            <w:vAlign w:val="center"/>
          </w:tcPr>
          <w:p>
            <w:r>
              <w:rPr>
                <w:b w:val="false"/>
                <w:bCs w:val="false"/>
                <w:sz w:val="20"/>
                <w:szCs w:val="20"/>
              </w:rPr>
              <w:t xml:space="preserve">8</w:t>
            </w:r>
          </w:p>
        </w:tc>
        <w:tc>
          <w:tcPr>
            <w:tcW w:type="dxa" w:w="1200"/>
            <w:vAlign w:val="center"/>
          </w:tcPr>
          <w:p>
            <w:r>
              <w:rPr>
                <w:b w:val="false"/>
                <w:bCs w:val="false"/>
                <w:sz w:val="20"/>
                <w:szCs w:val="20"/>
              </w:rPr>
              <w:t xml:space="preserve">1.5x</w:t>
            </w:r>
          </w:p>
        </w:tc>
        <w:tc>
          <w:tcPr>
            <w:tcW w:type="dxa" w:w="1300"/>
            <w:vAlign w:val="center"/>
          </w:tcPr>
          <w:p>
            <w:r>
              <w:rPr>
                <w:b w:val="false"/>
                <w:bCs w:val="false"/>
                <w:sz w:val="20"/>
                <w:szCs w:val="20"/>
              </w:rPr>
              <w:t xml:space="preserve">0.75x</w:t>
            </w:r>
          </w:p>
        </w:tc>
        <w:tc>
          <w:tcPr>
            <w:tcW w:type="dxa" w:w="1900"/>
            <w:vAlign w:val="center"/>
          </w:tcPr>
          <w:p>
            <w:r>
              <w:rPr>
                <w:b w:val="false"/>
                <w:bCs w:val="false"/>
                <w:sz w:val="18"/>
                <w:szCs w:val="18"/>
              </w:rPr>
              <w:t xml:space="preserve">Pese al peso estructural más alto de los tres, el contagio empírico no se sostiene al mes siguiente.</w:t>
            </w:r>
          </w:p>
        </w:tc>
      </w:tr>
    </w:tbl>
    <w:p>
      <w:pPr>
        <w:spacing w:after="200"/>
      </w:pPr>
    </w:p>
    <w:p>
      <w:pPr>
        <w:pStyle w:val="Heading1"/>
        <w:spacing w:after="150" w:before="300"/>
      </w:pPr>
      <w:r>
        <w:t xml:space="preserve">6. Cómo leer los resultados</w:t>
      </w:r>
    </w:p>
    <w:p>
      <w:pPr>
        <w:pStyle w:val="ListParagraph"/>
        <w:numPr>
          <w:ilvl w:val="0"/>
          <w:numId w:val="2"/>
        </w:numPr>
        <w:spacing w:after="80"/>
      </w:pPr>
      <w:r>
        <w:t xml:space="preserve">Menos de 5 eventos de origen: tratar la tasa con cautela — la muestra es muy chica para confiar en ella.</w:t>
      </w:r>
    </w:p>
    <w:p>
      <w:pPr>
        <w:pStyle w:val="ListParagraph"/>
        <w:numPr>
          <w:ilvl w:val="0"/>
          <w:numId w:val="2"/>
        </w:numPr>
        <w:spacing w:after="80"/>
      </w:pPr>
      <w:r>
        <w:t xml:space="preserve">Lift del mismo mes Y del mes siguiente ambos mayores a 2: candidato fuerte de contagio.</w:t>
      </w:r>
    </w:p>
    <w:p>
      <w:pPr>
        <w:pStyle w:val="ListParagraph"/>
        <w:numPr>
          <w:ilvl w:val="0"/>
          <w:numId w:val="2"/>
        </w:numPr>
        <w:spacing w:after="80"/>
      </w:pPr>
      <w:r>
        <w:t xml:space="preserve">Solo uno de los dos lift es alto: señal parcial; conviene revisarlo con criterio experto antes de concluir.</w:t>
      </w:r>
    </w:p>
    <w:p>
      <w:pPr>
        <w:pStyle w:val="ListParagraph"/>
        <w:numPr>
          <w:ilvl w:val="0"/>
          <w:numId w:val="2"/>
        </w:numPr>
        <w:spacing w:after="80"/>
      </w:pPr>
      <w:r>
        <w:t xml:space="preserve">Lift cercano a 1 o menor, incluso con peso estructural alto: no hay evidencia de contagio empírico en ese par, aunque el vínculo exista en la teoría.</w:t>
      </w:r>
    </w:p>
    <w:p>
      <w:pPr>
        <w:pStyle w:val="Heading1"/>
        <w:spacing w:after="150" w:before="300"/>
      </w:pPr>
      <w:r>
        <w:t xml:space="preserve">7. Limitaciones</w:t>
      </w:r>
    </w:p>
    <w:p>
      <w:pPr>
        <w:pStyle w:val="ListParagraph"/>
        <w:numPr>
          <w:ilvl w:val="0"/>
          <w:numId w:val="2"/>
        </w:numPr>
        <w:spacing w:after="80"/>
      </w:pPr>
      <w:r>
        <w:t xml:space="preserve">El historial mensual disponible (alrededor de 36 meses) es corto; muchos pares no acumulan suficientes eventos para una tasa confiable.</w:t>
      </w:r>
    </w:p>
    <w:p>
      <w:pPr>
        <w:pStyle w:val="ListParagraph"/>
        <w:numPr>
          <w:ilvl w:val="0"/>
          <w:numId w:val="2"/>
        </w:numPr>
        <w:spacing w:after="80"/>
      </w:pPr>
      <w:r>
        <w:t xml:space="preserve">No todos los clústeres de la bitácora interna tienen ventas propias registradas, por lo que no todos pueden analizarse como origen de un choque.</w:t>
      </w:r>
    </w:p>
    <w:p>
      <w:pPr>
        <w:pStyle w:val="ListParagraph"/>
        <w:numPr>
          <w:ilvl w:val="0"/>
          <w:numId w:val="2"/>
        </w:numPr>
        <w:spacing w:after="80"/>
      </w:pPr>
      <w:r>
        <w:t xml:space="preserve">Coincidencia no es causalidad: esta metodología identifica candidatos a contagio, no lo confirma. El resultado debe complementarse con criterio experto, igual que la metodología base.</w:t>
      </w:r>
    </w:p>
    <w:p>
      <w:pPr>
        <w:pStyle w:val="ListParagraph"/>
        <w:numPr>
          <w:ilvl w:val="0"/>
          <w:numId w:val="2"/>
        </w:numPr>
        <w:spacing w:after="80"/>
      </w:pPr>
      <w:r>
        <w:t xml:space="preserve">Esta primera versión usa ventas como variable de choque. El siguiente paso natural es repetir el análisis usando mora (cartera vencida) como variable a explicar.</w:t>
      </w:r>
    </w:p>
    <w:p>
      <w:pPr>
        <w:pStyle w:val="Heading1"/>
        <w:spacing w:after="150" w:before="300"/>
      </w:pPr>
      <w:r>
        <w:t xml:space="preserve">8. Glosario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F3864" w:val="clear"/>
            <w:vAlign w:val="center"/>
          </w:tcPr>
          <w:p>
            <w:r>
              <w:rPr>
                <w:b/>
                <w:bCs/>
                <w:color w:val="FFFFFF"/>
                <w:sz w:val="20"/>
                <w:szCs w:val="20"/>
              </w:rPr>
              <w:t xml:space="preserve">Término</w:t>
            </w:r>
          </w:p>
        </w:tc>
        <w:tc>
          <w:tcPr>
            <w:tcW w:type="dxa" w:w="7300"/>
            <w:shd w:fill="1F3864" w:val="clear"/>
            <w:vAlign w:val="center"/>
          </w:tcPr>
          <w:p>
            <w:r>
              <w:rPr>
                <w:b/>
                <w:bCs/>
                <w:color w:val="FFFFFF"/>
                <w:sz w:val="20"/>
                <w:szCs w:val="20"/>
              </w:rPr>
              <w:t xml:space="preserve">Significado</w:t>
            </w:r>
          </w:p>
        </w:tc>
      </w:tr>
      <w:tr>
        <w:tc>
          <w:tcPr>
            <w:tcW w:type="dxa" w:w="2200"/>
            <w:vAlign w:val="center"/>
          </w:tcPr>
          <w:p>
            <w:r>
              <w:rPr>
                <w:b w:val="false"/>
                <w:bCs w:val="false"/>
                <w:sz w:val="20"/>
                <w:szCs w:val="20"/>
              </w:rPr>
              <w:t xml:space="preserve">Choque / caída significativa</w:t>
            </w:r>
          </w:p>
        </w:tc>
        <w:tc>
          <w:tcPr>
            <w:tcW w:type="dxa" w:w="7300"/>
            <w:vAlign w:val="center"/>
          </w:tcPr>
          <w:p>
            <w:r>
              <w:rPr>
                <w:b w:val="false"/>
                <w:bCs w:val="false"/>
                <w:sz w:val="18"/>
                <w:szCs w:val="18"/>
              </w:rPr>
              <w:t xml:space="preserve">Mes en que las ventas de un clúster cayeron mucho más de lo que ese mismo clúster suele moverse, comparado con su propio historial reciente.</w:t>
            </w:r>
          </w:p>
        </w:tc>
      </w:tr>
      <w:tr>
        <w:tc>
          <w:tcPr>
            <w:tcW w:type="dxa" w:w="2200"/>
            <w:vAlign w:val="center"/>
          </w:tcPr>
          <w:p>
            <w:r>
              <w:rPr>
                <w:b w:val="false"/>
                <w:bCs w:val="false"/>
                <w:sz w:val="20"/>
                <w:szCs w:val="20"/>
              </w:rPr>
              <w:t xml:space="preserve">Trazabilidad</w:t>
            </w:r>
          </w:p>
        </w:tc>
        <w:tc>
          <w:tcPr>
            <w:tcW w:type="dxa" w:w="7300"/>
            <w:vAlign w:val="center"/>
          </w:tcPr>
          <w:p>
            <w:r>
              <w:rPr>
                <w:b w:val="false"/>
                <w:bCs w:val="false"/>
                <w:sz w:val="18"/>
                <w:szCs w:val="18"/>
              </w:rPr>
              <w:t xml:space="preserve">El detalle, mes por mes y par por par, de qué pasó en el clúster relacionado cuando el de origen tuvo una caída significativa.</w:t>
            </w:r>
          </w:p>
        </w:tc>
      </w:tr>
      <w:tr>
        <w:tc>
          <w:tcPr>
            <w:tcW w:type="dxa" w:w="2200"/>
            <w:vAlign w:val="center"/>
          </w:tcPr>
          <w:p>
            <w:r>
              <w:rPr>
                <w:b w:val="false"/>
                <w:bCs w:val="false"/>
                <w:sz w:val="20"/>
                <w:szCs w:val="20"/>
              </w:rPr>
              <w:t xml:space="preserve">Tasa base</w:t>
            </w:r>
          </w:p>
        </w:tc>
        <w:tc>
          <w:tcPr>
            <w:tcW w:type="dxa" w:w="7300"/>
            <w:vAlign w:val="center"/>
          </w:tcPr>
          <w:p>
            <w:r>
              <w:rPr>
                <w:b w:val="false"/>
                <w:bCs w:val="false"/>
                <w:sz w:val="18"/>
                <w:szCs w:val="18"/>
              </w:rPr>
              <w:t xml:space="preserve">Qué tan seguido cae fuerte un clúster en general, sin condicionar en nada — el punto de comparación para saber si una coincidencia es real.</w:t>
            </w:r>
          </w:p>
        </w:tc>
      </w:tr>
      <w:tr>
        <w:tc>
          <w:tcPr>
            <w:tcW w:type="dxa" w:w="2200"/>
            <w:vAlign w:val="center"/>
          </w:tcPr>
          <w:p>
            <w:r>
              <w:rPr>
                <w:b w:val="false"/>
                <w:bCs w:val="false"/>
                <w:sz w:val="20"/>
                <w:szCs w:val="20"/>
              </w:rPr>
              <w:t xml:space="preserve">Lift</w:t>
            </w:r>
          </w:p>
        </w:tc>
        <w:tc>
          <w:tcPr>
            <w:tcW w:type="dxa" w:w="7300"/>
            <w:vAlign w:val="center"/>
          </w:tcPr>
          <w:p>
            <w:r>
              <w:rPr>
                <w:b w:val="false"/>
                <w:bCs w:val="false"/>
                <w:sz w:val="18"/>
                <w:szCs w:val="18"/>
              </w:rPr>
              <w:t xml:space="preserve">Cuántas veces más frecuente es la caída del clúster relacionado cuando el de origen cae, frente a la tasa base. Lift = 1 es coincidencia; mientras más alto, más fuerte la señal.</w:t>
            </w:r>
          </w:p>
        </w:tc>
      </w:tr>
      <w:tr>
        <w:tc>
          <w:tcPr>
            <w:tcW w:type="dxa" w:w="2200"/>
            <w:vAlign w:val="center"/>
          </w:tcPr>
          <w:p>
            <w:r>
              <w:rPr>
                <w:b w:val="false"/>
                <w:bCs w:val="false"/>
                <w:sz w:val="20"/>
                <w:szCs w:val="20"/>
              </w:rPr>
              <w:t xml:space="preserve">Peso estructural</w:t>
            </w:r>
          </w:p>
        </w:tc>
        <w:tc>
          <w:tcPr>
            <w:tcW w:type="dxa" w:w="7300"/>
            <w:vAlign w:val="center"/>
          </w:tcPr>
          <w:p>
            <w:r>
              <w:rPr>
                <w:b w:val="false"/>
                <w:bCs w:val="false"/>
                <w:sz w:val="18"/>
                <w:szCs w:val="18"/>
              </w:rPr>
              <w:t xml:space="preserve">Qué tan fuerte es, según la matriz insumo-producto del BCE, el vínculo entre dos clústeres. Es la capa “estructura”, no la capa “dinámica”.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2026-09-04T05:23:58.887Z</dcterms:created>
  <dcterms:modified xsi:type="dcterms:W3CDTF">2026-09-04T05:23:58.897Z</dcterms:modified>
</cp:coreProperties>
</file>

<file path=docProps/custom.xml><?xml version="1.0" encoding="utf-8"?>
<Properties xmlns="http://schemas.openxmlformats.org/officeDocument/2006/custom-properties" xmlns:vt="http://schemas.openxmlformats.org/officeDocument/2006/docPropsVTypes"/>
</file>