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6"/>
          <w:szCs w:val="36"/>
        </w:rPr>
        <w:t xml:space="preserve">Metodología de Detección de Contagio Sectorial Mensual</w:t>
      </w:r>
    </w:p>
    <w:p>
      <w:pPr>
        <w:spacing w:after="60"/>
        <w:jc w:val="center"/>
      </w:pPr>
      <w:r>
        <w:rPr>
          <w:i/>
          <w:iCs/>
          <w:color w:val="595959"/>
          <w:sz w:val="24"/>
          <w:szCs w:val="24"/>
        </w:rPr>
        <w:t xml:space="preserve">Documento complementario a la Metodología de Relación Sectorial (MG-DR-RC-22)</w:t>
      </w:r>
    </w:p>
    <w:p>
      <w:pPr>
        <w:spacing w:after="400"/>
        <w:jc w:val="center"/>
      </w:pPr>
      <w:r>
        <w:rPr>
          <w:color w:val="595959"/>
          <w:sz w:val="20"/>
          <w:szCs w:val="20"/>
        </w:rPr>
        <w:t xml:space="preserve">Elaborado por: Gerencia de Riesgo de Crédito</w:t>
      </w:r>
    </w:p>
    <w:p>
      <w:pPr>
        <w:pStyle w:val="Heading1"/>
        <w:spacing w:after="160" w:before="320"/>
      </w:pPr>
      <w:r>
        <w:rPr>
          <w:b/>
          <w:bCs/>
          <w:color w:val="1F3864"/>
          <w:sz w:val="28"/>
          <w:szCs w:val="28"/>
        </w:rPr>
        <w:t xml:space="preserve">1. Objetivo</w:t>
      </w:r>
    </w:p>
    <w:p>
      <w:pPr>
        <w:spacing w:after="160" w:line="300"/>
        <w:jc w:val="both"/>
      </w:pPr>
      <w:r>
        <w:rPr>
          <w:b w:val="false"/>
          <w:bCs w:val="false"/>
          <w:i w:val="false"/>
          <w:iCs w:val="false"/>
          <w:sz w:val="22"/>
          <w:szCs w:val="22"/>
        </w:rPr>
        <w:t xml:space="preserve">Extender la Metodología de Relación Sectorial (MG-DR-RC-22) — que identifica, a partir de la Matriz Insumo-Producto del Banco Central del Ecuador (BCE), qué clústeres/industrias están estructuralmente relacionados entre sí — para responder una pregunta que la metodología original no cubre: cuando un clúster sufre una caída importante en sus ventas, ¿esa caída se transmite, en la práctica y mes a mes, a los clústeres con los que mantiene una relación estructural relevante?</w:t>
      </w:r>
    </w:p>
    <w:p>
      <w:pPr>
        <w:spacing w:after="160" w:line="300"/>
        <w:jc w:val="both"/>
      </w:pPr>
      <w:r>
        <w:rPr>
          <w:b w:val="false"/>
          <w:bCs w:val="false"/>
          <w:i w:val="false"/>
          <w:iCs w:val="false"/>
          <w:sz w:val="22"/>
          <w:szCs w:val="22"/>
        </w:rPr>
        <w:t xml:space="preserve">A esto lo llamamos, en este documento, contagio sectorial.</w:t>
      </w:r>
    </w:p>
    <w:p>
      <w:pPr>
        <w:pStyle w:val="Heading1"/>
        <w:spacing w:after="160" w:before="320"/>
      </w:pPr>
      <w:r>
        <w:rPr>
          <w:b/>
          <w:bCs/>
          <w:color w:val="1F3864"/>
          <w:sz w:val="28"/>
          <w:szCs w:val="28"/>
        </w:rPr>
        <w:t xml:space="preserve">2. Relación con la metodología existente</w:t>
      </w:r>
    </w:p>
    <w:p>
      <w:pPr>
        <w:spacing w:after="160" w:line="300"/>
        <w:jc w:val="both"/>
      </w:pPr>
      <w:r>
        <w:rPr>
          <w:b w:val="false"/>
          <w:bCs w:val="false"/>
          <w:i w:val="false"/>
          <w:iCs w:val="false"/>
          <w:sz w:val="22"/>
          <w:szCs w:val="22"/>
        </w:rPr>
        <w:t xml:space="preserve">Este documento no reemplaza la Metodología de Relación Sectorial; se apoya en ella. En particular, reutiliza sin modificación:</w:t>
      </w:r>
    </w:p>
    <w:p>
      <w:pPr>
        <w:pStyle w:val="ListParagraph"/>
        <w:numPr>
          <w:ilvl w:val="0"/>
          <w:numId w:val="2"/>
        </w:numPr>
        <w:spacing w:after="100"/>
      </w:pPr>
      <w:r>
        <w:rPr>
          <w:sz w:val="22"/>
          <w:szCs w:val="22"/>
        </w:rPr>
        <w:t xml:space="preserve">La matriz de utilización doméstica del BCE (Tabla Insumo-Producto) como fuente de la estructura productiva.</w:t>
      </w:r>
    </w:p>
    <w:p>
      <w:pPr>
        <w:pStyle w:val="ListParagraph"/>
        <w:numPr>
          <w:ilvl w:val="0"/>
          <w:numId w:val="2"/>
        </w:numPr>
        <w:spacing w:after="100"/>
      </w:pPr>
      <w:r>
        <w:rPr>
          <w:sz w:val="22"/>
          <w:szCs w:val="22"/>
        </w:rPr>
        <w:t xml:space="preserve">El cálculo de los pesos w_ij (sección 5.2 de MG-DR-RC-22): la participación de cada industria relacionada j dentro del consumo intermedio total de la industria de origen i.</w:t>
      </w:r>
    </w:p>
    <w:p>
      <w:pPr>
        <w:pStyle w:val="ListParagraph"/>
        <w:numPr>
          <w:ilvl w:val="0"/>
          <w:numId w:val="2"/>
        </w:numPr>
        <w:spacing w:after="100"/>
      </w:pPr>
      <w:r>
        <w:rPr>
          <w:sz w:val="22"/>
          <w:szCs w:val="22"/>
        </w:rPr>
        <w:t xml:space="preserve">La homologación de códigos BCE ↔ CIIU ↔ clústeres internos del banco (sección 5.3).</w:t>
      </w:r>
    </w:p>
    <w:p>
      <w:pPr>
        <w:spacing w:after="160" w:line="300"/>
        <w:jc w:val="both"/>
      </w:pPr>
      <w:r>
        <w:rPr>
          <w:b w:val="false"/>
          <w:bCs w:val="false"/>
          <w:i w:val="false"/>
          <w:iCs w:val="false"/>
          <w:sz w:val="22"/>
          <w:szCs w:val="22"/>
        </w:rPr>
        <w:t xml:space="preserve">Lo que este documento agrega es una capa de dinámica mensual sobre esa estructura, y una forma de comprobar, con datos reales de ventas, si las relaciones identificadas por el BCE efectivamente se traducen en movimientos conjuntos.</w:t>
      </w:r>
    </w:p>
    <w:p>
      <w:pPr>
        <w:pStyle w:val="Heading1"/>
        <w:spacing w:after="160" w:before="320"/>
      </w:pPr>
      <w:r>
        <w:rPr>
          <w:b/>
          <w:bCs/>
          <w:color w:val="1F3864"/>
          <w:sz w:val="28"/>
          <w:szCs w:val="28"/>
        </w:rPr>
        <w:t xml:space="preserve">3. El problema que resuelve este complemento</w:t>
      </w:r>
    </w:p>
    <w:p>
      <w:pPr>
        <w:spacing w:after="160" w:line="300"/>
        <w:jc w:val="both"/>
      </w:pPr>
      <w:r>
        <w:rPr>
          <w:b w:val="false"/>
          <w:bCs w:val="false"/>
          <w:i w:val="false"/>
          <w:iCs w:val="false"/>
          <w:sz w:val="22"/>
          <w:szCs w:val="22"/>
        </w:rPr>
        <w:t xml:space="preserve">La Metodología de Relación Sectorial selecciona, para cada clúster de origen, sus relaciones más frecuentes (sección 5.5: Top(a)). Esa selección identifica CUÁLES clústeres están conectados, pero no CUÁNTO se mueven juntos mes a mes: dos clústeres pueden estar conectados con el mismo peso estructural y, sin embargo, uno puede transmitirle su deterioro al otro consistentemente mientras que el otro no.</w:t>
      </w:r>
    </w:p>
    <w:p>
      <w:pPr>
        <w:spacing w:after="160" w:line="300"/>
        <w:jc w:val="both"/>
      </w:pPr>
      <w:r>
        <w:rPr>
          <w:b w:val="false"/>
          <w:bCs w:val="false"/>
          <w:i w:val="false"/>
          <w:iCs w:val="false"/>
          <w:sz w:val="22"/>
          <w:szCs w:val="22"/>
        </w:rPr>
        <w:t xml:space="preserve">Adicionalmente, la Tabla Insumo-Producto del BCE se publica una vez al año, mientras que las ventas de las empresas se registran mensualmente. Este documento resuelve ambos puntos separando el análisis en dos capas: una estructura fija (que cambia solo cuando el BCE publica una tabla nueva) y una dinámica mensual (que cambia todos los meses).</w:t>
      </w:r>
    </w:p>
    <w:p>
      <w:pPr>
        <w:pStyle w:val="Heading1"/>
        <w:spacing w:after="160" w:before="320"/>
      </w:pPr>
      <w:r>
        <w:rPr>
          <w:b/>
          <w:bCs/>
          <w:color w:val="1F3864"/>
          <w:sz w:val="28"/>
          <w:szCs w:val="28"/>
        </w:rPr>
        <w:t xml:space="preserve">4. Idea central: estructura fija + dinámica mensual</w:t>
      </w:r>
    </w:p>
    <w:p>
      <w:pPr>
        <w:spacing w:after="160" w:line="300"/>
        <w:jc w:val="both"/>
      </w:pPr>
      <w:r>
        <w:rPr>
          <w:b w:val="false"/>
          <w:bCs w:val="false"/>
          <w:i w:val="false"/>
          <w:iCs w:val="false"/>
          <w:sz w:val="22"/>
          <w:szCs w:val="22"/>
        </w:rPr>
        <w:t xml:space="preserve">Una analogía simple: la estructura (los pesos w_ij) es como la tubería fija de un edificio — no cambia de un mes a otro. La dinámica mensual es el agua que fluye por esa tubería — su caudal sí cambia cada mes. La metodología original construye la tubería; este complemento mide qué tan seguido, cuando el caudal baja en un punto, también baja río abajo.</w:t>
      </w:r>
    </w:p>
    <w:p>
      <w:pPr>
        <w:pStyle w:val="Heading1"/>
        <w:spacing w:after="160" w:before="320"/>
      </w:pPr>
      <w:r>
        <w:rPr>
          <w:b/>
          <w:bCs/>
          <w:color w:val="1F3864"/>
          <w:sz w:val="28"/>
          <w:szCs w:val="28"/>
        </w:rPr>
        <w:t xml:space="preserve">5. Paso a paso de la metodología</w:t>
      </w:r>
    </w:p>
    <w:p>
      <w:pPr>
        <w:pStyle w:val="Heading2"/>
        <w:spacing w:after="120" w:before="240"/>
      </w:pPr>
      <w:r>
        <w:rPr>
          <w:b/>
          <w:bCs/>
          <w:color w:val="1F3864"/>
          <w:sz w:val="24"/>
          <w:szCs w:val="24"/>
        </w:rPr>
        <w:t xml:space="preserve">5.1 Estructura fija (matriz W)</w:t>
      </w:r>
    </w:p>
    <w:p>
      <w:pPr>
        <w:spacing w:after="160" w:line="300"/>
        <w:jc w:val="both"/>
      </w:pPr>
      <w:r>
        <w:rPr>
          <w:b w:val="false"/>
          <w:bCs w:val="false"/>
          <w:i w:val="false"/>
          <w:iCs w:val="false"/>
          <w:sz w:val="22"/>
          <w:szCs w:val="22"/>
        </w:rPr>
        <w:t xml:space="preserve">Se toma la matriz de pesos w_ij ya calculada según MG-DR-RC-22 y se promedia entre todos los períodos disponibles, obteniendo una única matriz de referencia W que no varía mes a mes. Esta matriz dice, para cada clúster de origen, cuáles son sus relaciones estructurales más fuertes.</w:t>
      </w:r>
    </w:p>
    <w:p>
      <w:pPr>
        <w:spacing w:after="160" w:line="300"/>
        <w:jc w:val="both"/>
      </w:pPr>
      <w:r>
        <w:rPr>
          <w:b w:val="false"/>
          <w:bCs w:val="false"/>
          <w:i w:val="false"/>
          <w:iCs w:val="false"/>
          <w:sz w:val="22"/>
          <w:szCs w:val="22"/>
        </w:rPr>
        <w:t xml:space="preserve">Del total de posibles relaciones, se conservan únicamente las 5 más fuertes por clúster de origen (el mismo criterio Top(a) de la sección 5.5 de MG-DR-RC-22), para evitar diluir el análisis con vínculos estadísticamente muy débiles.</w:t>
      </w:r>
    </w:p>
    <w:p>
      <w:pPr>
        <w:pStyle w:val="Heading2"/>
        <w:spacing w:after="120" w:before="240"/>
      </w:pPr>
      <w:r>
        <w:rPr>
          <w:b/>
          <w:bCs/>
          <w:color w:val="1F3864"/>
          <w:sz w:val="24"/>
          <w:szCs w:val="24"/>
        </w:rPr>
        <w:t xml:space="preserve">5.2 Choque mensual por clúster</w:t>
      </w:r>
    </w:p>
    <w:p>
      <w:pPr>
        <w:spacing w:after="160" w:line="300"/>
        <w:jc w:val="both"/>
      </w:pPr>
      <w:r>
        <w:rPr>
          <w:b w:val="false"/>
          <w:bCs w:val="false"/>
          <w:i w:val="false"/>
          <w:iCs w:val="false"/>
          <w:sz w:val="22"/>
          <w:szCs w:val="22"/>
        </w:rPr>
        <w:t xml:space="preserve">Cada mes, para cada clúster, se calcula cuánto cambiaron sus ventas respecto al mismo mes del año anterior:</w:t>
      </w:r>
    </w:p>
    <w:p>
      <w:pPr>
        <w:spacing w:after="120" w:before="120"/>
        <w:jc w:val="center"/>
      </w:pPr>
      <w:r>
        <w:rPr>
          <w:i/>
          <w:iCs/>
          <w:sz w:val="24"/>
          <w:szCs w:val="24"/>
        </w:rPr>
        <w:t xml:space="preserve">Choque(clúster, mes) = [ Ventas(mes) − Ventas(mismo mes, año anterior) ] / Ventas(mismo mes, año anterior)</w:t>
      </w:r>
    </w:p>
    <w:p>
      <w:pPr>
        <w:spacing w:after="160" w:line="300"/>
        <w:jc w:val="both"/>
      </w:pPr>
      <w:r>
        <w:rPr>
          <w:b w:val="false"/>
          <w:bCs w:val="false"/>
          <w:i w:val="false"/>
          <w:iCs w:val="false"/>
          <w:sz w:val="22"/>
          <w:szCs w:val="22"/>
        </w:rPr>
        <w:t xml:space="preserve">Usar la variación interanual (y no la variación de un mes al siguiente) evita confundir un contagio real con un patrón estacional propio del clúster (por ejemplo, Banano o Camarón tienen ciclos estacionales normales que no son contagio de nada).</w:t>
      </w:r>
    </w:p>
    <w:p>
      <w:pPr>
        <w:spacing w:after="160" w:line="300"/>
        <w:jc w:val="both"/>
      </w:pPr>
      <w:r>
        <w:rPr>
          <w:b w:val="false"/>
          <w:bCs w:val="false"/>
          <w:i w:val="false"/>
          <w:iCs w:val="false"/>
          <w:sz w:val="22"/>
          <w:szCs w:val="22"/>
        </w:rPr>
        <w:t xml:space="preserve">Ese choque se compara luego contra el propio historial reciente del clúster (ventana móvil de 12 meses, usando solo información ya conocida hasta ese mes, nunca meses futuros), para obtener un puntaje estandarizado:</w:t>
      </w:r>
    </w:p>
    <w:p>
      <w:pPr>
        <w:spacing w:after="120" w:before="120"/>
        <w:jc w:val="center"/>
      </w:pPr>
      <w:r>
        <w:rPr>
          <w:i/>
          <w:iCs/>
          <w:sz w:val="24"/>
          <w:szCs w:val="24"/>
        </w:rPr>
        <w:t xml:space="preserve">z(clúster, mes) = [ Choque(mes) − Promedio histórico ] / Desviación histórica</w:t>
      </w:r>
    </w:p>
    <w:p>
      <w:pPr>
        <w:spacing w:after="160" w:line="300"/>
        <w:jc w:val="both"/>
      </w:pPr>
      <w:r>
        <w:rPr>
          <w:b w:val="false"/>
          <w:bCs w:val="false"/>
          <w:i w:val="false"/>
          <w:iCs w:val="false"/>
          <w:sz w:val="22"/>
          <w:szCs w:val="22"/>
        </w:rPr>
        <w:t xml:space="preserve">Este puntaje z permite comparar clústeres muy distintos entre sí (uno naturalmente volátil, como Camarón, y otro estable, como Consumo Masivo) bajo una misma escala: cuántas desviaciones típicas se alejó del comportamiento normal de ESE clúster en particular, no de un umbral genérico igual para todos.</w:t>
      </w:r>
    </w:p>
    <w:p>
      <w:pPr>
        <w:pStyle w:val="Heading2"/>
        <w:spacing w:after="120" w:before="240"/>
      </w:pPr>
      <w:r>
        <w:rPr>
          <w:b/>
          <w:bCs/>
          <w:color w:val="1F3864"/>
          <w:sz w:val="24"/>
          <w:szCs w:val="24"/>
        </w:rPr>
        <w:t xml:space="preserve">5.3 ¿Cuándo se considera una caída significativa?</w:t>
      </w:r>
    </w:p>
    <w:p>
      <w:pPr>
        <w:spacing w:after="160" w:line="300"/>
        <w:jc w:val="both"/>
      </w:pPr>
      <w:r>
        <w:rPr>
          <w:b w:val="false"/>
          <w:bCs w:val="false"/>
          <w:i w:val="false"/>
          <w:iCs w:val="false"/>
          <w:sz w:val="22"/>
          <w:szCs w:val="22"/>
        </w:rPr>
        <w:t xml:space="preserve">Se define un umbral sobre el puntaje z. Con z ≤ −1.5, el mes en cuestión está entre el 7% más bajo de todo el historial reciente de ese clúster — un valor que se aleja lo suficiente del comportamiento normal como para tratarse como una señal, no como ruido habitual.</w:t>
      </w:r>
    </w:p>
    <w:p>
      <w:pPr>
        <w:spacing w:after="200" w:before="100"/>
        <w:jc w:val="both"/>
      </w:pPr>
      <w:r>
        <w:rPr>
          <w:i/>
          <w:iCs/>
          <w:color w:val="595959"/>
          <w:sz w:val="20"/>
          <w:szCs w:val="20"/>
        </w:rPr>
        <w:t xml:space="preserve">El umbral es ajustable: uno más estricto (−2.0) da menos alertas pero más confiables; uno más laxo (−1.0) da más alertas pero también más falsos positivos.</w:t>
      </w:r>
    </w:p>
    <w:p>
      <w:pPr>
        <w:pStyle w:val="Heading2"/>
        <w:spacing w:after="120" w:before="240"/>
      </w:pPr>
      <w:r>
        <w:rPr>
          <w:b/>
          <w:bCs/>
          <w:color w:val="1F3864"/>
          <w:sz w:val="24"/>
          <w:szCs w:val="24"/>
        </w:rPr>
        <w:t xml:space="preserve">5.4 Trazabilidad par a par</w:t>
      </w:r>
    </w:p>
    <w:p>
      <w:pPr>
        <w:spacing w:after="160" w:line="300"/>
        <w:jc w:val="both"/>
      </w:pPr>
      <w:r>
        <w:rPr>
          <w:b w:val="false"/>
          <w:bCs w:val="false"/>
          <w:i w:val="false"/>
          <w:iCs w:val="false"/>
          <w:sz w:val="22"/>
          <w:szCs w:val="22"/>
        </w:rPr>
        <w:t xml:space="preserve">Por cada mes en que un clúster de origen tuvo una caída significativa, se revisan sus relaciones estructurales (Top-5 de la sección 5.1) y se verifica si el clúster relacionado también tuvo una caída significativa, ya sea ese mismo mes o el mes inmediatamente siguiente. Se registran ambas ventanas de tiempo porque un contagio real puede manifestarse de inmediato (ambos clústeres reaccionan al mismo shock de mercado) o con un mes de rezago (el deterioro se transmite a través de la cadena de pagos/insumos).</w:t>
      </w:r>
    </w:p>
    <w:p>
      <w:pPr>
        <w:pStyle w:val="Heading2"/>
        <w:spacing w:after="120" w:before="240"/>
      </w:pPr>
      <w:r>
        <w:rPr>
          <w:b/>
          <w:bCs/>
          <w:color w:val="1F3864"/>
          <w:sz w:val="24"/>
          <w:szCs w:val="24"/>
        </w:rPr>
        <w:t xml:space="preserve">5.5 Tasa de contagio y lift</w:t>
      </w:r>
    </w:p>
    <w:p>
      <w:pPr>
        <w:spacing w:after="160" w:line="300"/>
        <w:jc w:val="both"/>
      </w:pPr>
      <w:r>
        <w:rPr>
          <w:b w:val="false"/>
          <w:bCs w:val="false"/>
          <w:i w:val="false"/>
          <w:iCs w:val="false"/>
          <w:sz w:val="22"/>
          <w:szCs w:val="22"/>
        </w:rPr>
        <w:t xml:space="preserve">Para cada par (origen, destino) se calculan tres tasas sobre el historial disponible:</w:t>
      </w:r>
    </w:p>
    <w:p>
      <w:pPr>
        <w:pStyle w:val="ListParagraph"/>
        <w:numPr>
          <w:ilvl w:val="0"/>
          <w:numId w:val="2"/>
        </w:numPr>
        <w:spacing w:after="100"/>
      </w:pPr>
      <w:r>
        <w:rPr>
          <w:sz w:val="22"/>
          <w:szCs w:val="22"/>
        </w:rPr>
        <w:t xml:space="preserve">Tasa base: en qué porcentaje de todos los meses el clúster destino tuvo, por su cuenta, una caída significativa (sin condicionar en nada).</w:t>
      </w:r>
    </w:p>
    <w:p>
      <w:pPr>
        <w:pStyle w:val="ListParagraph"/>
        <w:numPr>
          <w:ilvl w:val="0"/>
          <w:numId w:val="2"/>
        </w:numPr>
        <w:spacing w:after="100"/>
      </w:pPr>
      <w:r>
        <w:rPr>
          <w:sz w:val="22"/>
          <w:szCs w:val="22"/>
        </w:rPr>
        <w:t xml:space="preserve">Tasa condicional (mismo mes / mes siguiente): en qué porcentaje de las veces que el clúster ORIGEN cayó, el clúster DESTINO también cayó.</w:t>
      </w:r>
    </w:p>
    <w:p>
      <w:pPr>
        <w:spacing w:after="160" w:line="300"/>
        <w:jc w:val="both"/>
      </w:pPr>
      <w:r>
        <w:rPr>
          <w:b w:val="false"/>
          <w:bCs w:val="false"/>
          <w:i w:val="false"/>
          <w:iCs w:val="false"/>
          <w:sz w:val="22"/>
          <w:szCs w:val="22"/>
        </w:rPr>
        <w:t xml:space="preserve">El lift es la razón entre ambas:</w:t>
      </w:r>
    </w:p>
    <w:p>
      <w:pPr>
        <w:spacing w:after="120" w:before="120"/>
        <w:jc w:val="center"/>
      </w:pPr>
      <w:r>
        <w:rPr>
          <w:i/>
          <w:iCs/>
          <w:sz w:val="24"/>
          <w:szCs w:val="24"/>
        </w:rPr>
        <w:t xml:space="preserve">Lift = Tasa condicional / Tasa base</w:t>
      </w:r>
    </w:p>
    <w:p>
      <w:pPr>
        <w:spacing w:after="160" w:line="300"/>
        <w:jc w:val="both"/>
      </w:pPr>
      <w:r>
        <w:rPr>
          <w:b w:val="false"/>
          <w:bCs w:val="false"/>
          <w:i w:val="false"/>
          <w:iCs w:val="false"/>
          <w:sz w:val="22"/>
          <w:szCs w:val="22"/>
        </w:rPr>
        <w:t xml:space="preserve">Un lift de 1 significa que el destino cae igual de seguido con o sin el choque del origen — es decir, pura coincidencia. Un lift mayor a 1 indica que el destino cae con más frecuencia cuando el origen cae que en general — evidencia de que la relación estructural sí se traduce en un movimiento conjunto real, no solo teórico.</w:t>
      </w:r>
    </w:p>
    <w:p>
      <w:pPr>
        <w:pStyle w:val="Heading1"/>
        <w:spacing w:after="160" w:before="320"/>
      </w:pPr>
      <w:r>
        <w:rPr>
          <w:b/>
          <w:bCs/>
          <w:color w:val="1F3864"/>
          <w:sz w:val="28"/>
          <w:szCs w:val="28"/>
        </w:rPr>
        <w:t xml:space="preserve">6. Cómo leer un resultado — ejemplo</w:t>
      </w:r>
    </w:p>
    <w:p>
      <w:pPr>
        <w:spacing w:after="160" w:line="300"/>
        <w:jc w:val="both"/>
      </w:pPr>
      <w:r>
        <w:rPr>
          <w:b w:val="false"/>
          <w:bCs w:val="false"/>
          <w:i w:val="false"/>
          <w:iCs w:val="false"/>
          <w:sz w:val="22"/>
          <w:szCs w:val="22"/>
        </w:rPr>
        <w:t xml:space="preserve">Tomemos un caso real de la corrida más reciente: la relación AUTOMOTRIZ → TRANSPORTE Y ALMACENAMIENTO.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700"/>
      </w:tblGrid>
      <w:tr>
        <w:tc>
          <w:tcPr>
            <w:tcW w:type="dxa" w:w="2600"/>
            <w:shd w:fill="1F3864" w:color="auto" w:val="clear"/>
            <w:tcMar>
              <w:top w:type="dxa" w:w="80"/>
              <w:left w:type="dxa" w:w="100"/>
              <w:bottom w:type="dxa" w:w="80"/>
              <w:right w:type="dxa" w:w="100"/>
            </w:tcMar>
          </w:tcPr>
          <w:p>
            <w:r>
              <w:rPr>
                <w:b/>
                <w:bCs/>
                <w:color w:val="FFFFFF"/>
                <w:sz w:val="20"/>
                <w:szCs w:val="20"/>
              </w:rPr>
              <w:t xml:space="preserve">Concepto</w:t>
            </w:r>
          </w:p>
        </w:tc>
        <w:tc>
          <w:tcPr>
            <w:tcW w:type="dxa" w:w="2200"/>
            <w:shd w:fill="1F3864" w:color="auto" w:val="clear"/>
            <w:tcMar>
              <w:top w:type="dxa" w:w="80"/>
              <w:left w:type="dxa" w:w="100"/>
              <w:bottom w:type="dxa" w:w="80"/>
              <w:right w:type="dxa" w:w="100"/>
            </w:tcMar>
          </w:tcPr>
          <w:p>
            <w:r>
              <w:rPr>
                <w:b/>
                <w:bCs/>
                <w:color w:val="FFFFFF"/>
                <w:sz w:val="20"/>
                <w:szCs w:val="20"/>
              </w:rPr>
              <w:t xml:space="preserve">Valor</w:t>
            </w:r>
          </w:p>
        </w:tc>
        <w:tc>
          <w:tcPr>
            <w:tcW w:type="dxa" w:w="4700"/>
            <w:shd w:fill="1F3864" w:color="auto" w:val="clear"/>
            <w:tcMar>
              <w:top w:type="dxa" w:w="80"/>
              <w:left w:type="dxa" w:w="100"/>
              <w:bottom w:type="dxa" w:w="80"/>
              <w:right w:type="dxa" w:w="100"/>
            </w:tcMar>
          </w:tcPr>
          <w:p>
            <w:r>
              <w:rPr>
                <w:b/>
                <w:bCs/>
                <w:color w:val="FFFFFF"/>
                <w:sz w:val="20"/>
                <w:szCs w:val="20"/>
              </w:rPr>
              <w:t xml:space="preserve">Qué significa</w:t>
            </w:r>
          </w:p>
        </w:tc>
      </w:tr>
      <w:tr>
        <w:tc>
          <w:tcPr>
            <w:tcW w:type="dxa" w:w="2600"/>
            <w:tcMar>
              <w:top w:type="dxa" w:w="80"/>
              <w:left w:type="dxa" w:w="100"/>
              <w:bottom w:type="dxa" w:w="80"/>
              <w:right w:type="dxa" w:w="100"/>
            </w:tcMar>
          </w:tcPr>
          <w:p>
            <w:r>
              <w:rPr>
                <w:b w:val="false"/>
                <w:bCs w:val="false"/>
                <w:color w:val="000000"/>
                <w:sz w:val="20"/>
                <w:szCs w:val="20"/>
              </w:rPr>
              <w:t xml:space="preserve">Peso estructural (BCE)</w:t>
            </w:r>
          </w:p>
        </w:tc>
        <w:tc>
          <w:tcPr>
            <w:tcW w:type="dxa" w:w="2200"/>
            <w:tcMar>
              <w:top w:type="dxa" w:w="80"/>
              <w:left w:type="dxa" w:w="100"/>
              <w:bottom w:type="dxa" w:w="80"/>
              <w:right w:type="dxa" w:w="100"/>
            </w:tcMar>
          </w:tcPr>
          <w:p>
            <w:r>
              <w:rPr>
                <w:b w:val="false"/>
                <w:bCs w:val="false"/>
                <w:color w:val="000000"/>
                <w:sz w:val="20"/>
                <w:szCs w:val="20"/>
              </w:rPr>
              <w:t xml:space="preserve">5.2%</w:t>
            </w:r>
          </w:p>
        </w:tc>
        <w:tc>
          <w:tcPr>
            <w:tcW w:type="dxa" w:w="4700"/>
            <w:tcMar>
              <w:top w:type="dxa" w:w="80"/>
              <w:left w:type="dxa" w:w="100"/>
              <w:bottom w:type="dxa" w:w="80"/>
              <w:right w:type="dxa" w:w="100"/>
            </w:tcMar>
          </w:tcPr>
          <w:p>
            <w:r>
              <w:rPr>
                <w:b w:val="false"/>
                <w:bCs w:val="false"/>
                <w:color w:val="000000"/>
                <w:sz w:val="20"/>
                <w:szCs w:val="20"/>
              </w:rPr>
              <w:t xml:space="preserve">Participación de Transporte dentro de los insumos relacionados de Automotriz.</w:t>
            </w:r>
          </w:p>
        </w:tc>
      </w:tr>
      <w:tr>
        <w:tc>
          <w:tcPr>
            <w:tcW w:type="dxa" w:w="2600"/>
            <w:tcMar>
              <w:top w:type="dxa" w:w="80"/>
              <w:left w:type="dxa" w:w="100"/>
              <w:bottom w:type="dxa" w:w="80"/>
              <w:right w:type="dxa" w:w="100"/>
            </w:tcMar>
          </w:tcPr>
          <w:p>
            <w:r>
              <w:rPr>
                <w:b w:val="false"/>
                <w:bCs w:val="false"/>
                <w:color w:val="000000"/>
                <w:sz w:val="20"/>
                <w:szCs w:val="20"/>
              </w:rPr>
              <w:t xml:space="preserve">Eventos de caída en Automotriz</w:t>
            </w:r>
          </w:p>
        </w:tc>
        <w:tc>
          <w:tcPr>
            <w:tcW w:type="dxa" w:w="2200"/>
            <w:tcMar>
              <w:top w:type="dxa" w:w="80"/>
              <w:left w:type="dxa" w:w="100"/>
              <w:bottom w:type="dxa" w:w="80"/>
              <w:right w:type="dxa" w:w="100"/>
            </w:tcMar>
          </w:tcPr>
          <w:p>
            <w:r>
              <w:rPr>
                <w:b w:val="false"/>
                <w:bCs w:val="false"/>
                <w:color w:val="000000"/>
                <w:sz w:val="20"/>
                <w:szCs w:val="20"/>
              </w:rPr>
              <w:t xml:space="preserve">5 (de 36 meses)</w:t>
            </w:r>
          </w:p>
        </w:tc>
        <w:tc>
          <w:tcPr>
            <w:tcW w:type="dxa" w:w="4700"/>
            <w:tcMar>
              <w:top w:type="dxa" w:w="80"/>
              <w:left w:type="dxa" w:w="100"/>
              <w:bottom w:type="dxa" w:w="80"/>
              <w:right w:type="dxa" w:w="100"/>
            </w:tcMar>
          </w:tcPr>
          <w:p>
            <w:r>
              <w:rPr>
                <w:b w:val="false"/>
                <w:bCs w:val="false"/>
                <w:color w:val="000000"/>
                <w:sz w:val="20"/>
                <w:szCs w:val="20"/>
              </w:rPr>
              <w:t xml:space="preserve">Automotriz tuvo 5 caídas significativas en 3 años de historial.</w:t>
            </w:r>
          </w:p>
        </w:tc>
      </w:tr>
      <w:tr>
        <w:tc>
          <w:tcPr>
            <w:tcW w:type="dxa" w:w="2600"/>
            <w:tcMar>
              <w:top w:type="dxa" w:w="80"/>
              <w:left w:type="dxa" w:w="100"/>
              <w:bottom w:type="dxa" w:w="80"/>
              <w:right w:type="dxa" w:w="100"/>
            </w:tcMar>
          </w:tcPr>
          <w:p>
            <w:r>
              <w:rPr>
                <w:b w:val="false"/>
                <w:bCs w:val="false"/>
                <w:color w:val="000000"/>
                <w:sz w:val="20"/>
                <w:szCs w:val="20"/>
              </w:rPr>
              <w:t xml:space="preserve">Transporte también cayó, mismo mes</w:t>
            </w:r>
          </w:p>
        </w:tc>
        <w:tc>
          <w:tcPr>
            <w:tcW w:type="dxa" w:w="2200"/>
            <w:tcMar>
              <w:top w:type="dxa" w:w="80"/>
              <w:left w:type="dxa" w:w="100"/>
              <w:bottom w:type="dxa" w:w="80"/>
              <w:right w:type="dxa" w:w="100"/>
            </w:tcMar>
          </w:tcPr>
          <w:p>
            <w:r>
              <w:rPr>
                <w:b w:val="false"/>
                <w:bCs w:val="false"/>
                <w:color w:val="000000"/>
                <w:sz w:val="20"/>
                <w:szCs w:val="20"/>
              </w:rPr>
              <w:t xml:space="preserve">2 de 5 (40%)</w:t>
            </w:r>
          </w:p>
        </w:tc>
        <w:tc>
          <w:tcPr>
            <w:tcW w:type="dxa" w:w="4700"/>
            <w:tcMar>
              <w:top w:type="dxa" w:w="80"/>
              <w:left w:type="dxa" w:w="100"/>
              <w:bottom w:type="dxa" w:w="80"/>
              <w:right w:type="dxa" w:w="100"/>
            </w:tcMar>
          </w:tcPr>
          <w:p>
            <w:r>
              <w:rPr>
                <w:b w:val="false"/>
                <w:bCs w:val="false"/>
                <w:color w:val="000000"/>
                <w:sz w:val="20"/>
                <w:szCs w:val="20"/>
              </w:rPr>
              <w:t xml:space="preserve">Tasa condicional en la ventana contemporánea.</w:t>
            </w:r>
          </w:p>
        </w:tc>
      </w:tr>
      <w:tr>
        <w:tc>
          <w:tcPr>
            <w:tcW w:type="dxa" w:w="2600"/>
            <w:tcMar>
              <w:top w:type="dxa" w:w="80"/>
              <w:left w:type="dxa" w:w="100"/>
              <w:bottom w:type="dxa" w:w="80"/>
              <w:right w:type="dxa" w:w="100"/>
            </w:tcMar>
          </w:tcPr>
          <w:p>
            <w:r>
              <w:rPr>
                <w:b w:val="false"/>
                <w:bCs w:val="false"/>
                <w:color w:val="000000"/>
                <w:sz w:val="20"/>
                <w:szCs w:val="20"/>
              </w:rPr>
              <w:t xml:space="preserve">Transporte también cayó, mes siguiente</w:t>
            </w:r>
          </w:p>
        </w:tc>
        <w:tc>
          <w:tcPr>
            <w:tcW w:type="dxa" w:w="2200"/>
            <w:tcMar>
              <w:top w:type="dxa" w:w="80"/>
              <w:left w:type="dxa" w:w="100"/>
              <w:bottom w:type="dxa" w:w="80"/>
              <w:right w:type="dxa" w:w="100"/>
            </w:tcMar>
          </w:tcPr>
          <w:p>
            <w:r>
              <w:rPr>
                <w:b w:val="false"/>
                <w:bCs w:val="false"/>
                <w:color w:val="000000"/>
                <w:sz w:val="20"/>
                <w:szCs w:val="20"/>
              </w:rPr>
              <w:t xml:space="preserve">2 de 5 (40%)</w:t>
            </w:r>
          </w:p>
        </w:tc>
        <w:tc>
          <w:tcPr>
            <w:tcW w:type="dxa" w:w="4700"/>
            <w:tcMar>
              <w:top w:type="dxa" w:w="80"/>
              <w:left w:type="dxa" w:w="100"/>
              <w:bottom w:type="dxa" w:w="80"/>
              <w:right w:type="dxa" w:w="100"/>
            </w:tcMar>
          </w:tcPr>
          <w:p>
            <w:r>
              <w:rPr>
                <w:b w:val="false"/>
                <w:bCs w:val="false"/>
                <w:color w:val="000000"/>
                <w:sz w:val="20"/>
                <w:szCs w:val="20"/>
              </w:rPr>
              <w:t xml:space="preserve">Tasa condicional con un mes de rezago.</w:t>
            </w:r>
          </w:p>
        </w:tc>
      </w:tr>
      <w:tr>
        <w:tc>
          <w:tcPr>
            <w:tcW w:type="dxa" w:w="2600"/>
            <w:tcMar>
              <w:top w:type="dxa" w:w="80"/>
              <w:left w:type="dxa" w:w="100"/>
              <w:bottom w:type="dxa" w:w="80"/>
              <w:right w:type="dxa" w:w="100"/>
            </w:tcMar>
          </w:tcPr>
          <w:p>
            <w:r>
              <w:rPr>
                <w:b w:val="false"/>
                <w:bCs w:val="false"/>
                <w:color w:val="000000"/>
                <w:sz w:val="20"/>
                <w:szCs w:val="20"/>
              </w:rPr>
              <w:t xml:space="preserve">Tasa base de Transporte</w:t>
            </w:r>
          </w:p>
        </w:tc>
        <w:tc>
          <w:tcPr>
            <w:tcW w:type="dxa" w:w="2200"/>
            <w:tcMar>
              <w:top w:type="dxa" w:w="80"/>
              <w:left w:type="dxa" w:w="100"/>
              <w:bottom w:type="dxa" w:w="80"/>
              <w:right w:type="dxa" w:w="100"/>
            </w:tcMar>
          </w:tcPr>
          <w:p>
            <w:r>
              <w:rPr>
                <w:b w:val="false"/>
                <w:bCs w:val="false"/>
                <w:color w:val="000000"/>
                <w:sz w:val="20"/>
                <w:szCs w:val="20"/>
              </w:rPr>
              <w:t xml:space="preserve">11.1%</w:t>
            </w:r>
          </w:p>
        </w:tc>
        <w:tc>
          <w:tcPr>
            <w:tcW w:type="dxa" w:w="4700"/>
            <w:tcMar>
              <w:top w:type="dxa" w:w="80"/>
              <w:left w:type="dxa" w:w="100"/>
              <w:bottom w:type="dxa" w:w="80"/>
              <w:right w:type="dxa" w:w="100"/>
            </w:tcMar>
          </w:tcPr>
          <w:p>
            <w:r>
              <w:rPr>
                <w:b w:val="false"/>
                <w:bCs w:val="false"/>
                <w:color w:val="000000"/>
                <w:sz w:val="20"/>
                <w:szCs w:val="20"/>
              </w:rPr>
              <w:t xml:space="preserve">Con qué frecuencia cae Transporte sin condicionar en Automotriz.</w:t>
            </w:r>
          </w:p>
        </w:tc>
      </w:tr>
      <w:tr>
        <w:tc>
          <w:tcPr>
            <w:tcW w:type="dxa" w:w="2600"/>
            <w:tcMar>
              <w:top w:type="dxa" w:w="80"/>
              <w:left w:type="dxa" w:w="100"/>
              <w:bottom w:type="dxa" w:w="80"/>
              <w:right w:type="dxa" w:w="100"/>
            </w:tcMar>
          </w:tcPr>
          <w:p>
            <w:r>
              <w:rPr>
                <w:b w:val="false"/>
                <w:bCs w:val="false"/>
                <w:color w:val="000000"/>
                <w:sz w:val="20"/>
                <w:szCs w:val="20"/>
              </w:rPr>
              <w:t xml:space="preserve">Lift (ambas ventanas)</w:t>
            </w:r>
          </w:p>
        </w:tc>
        <w:tc>
          <w:tcPr>
            <w:tcW w:type="dxa" w:w="2200"/>
            <w:tcMar>
              <w:top w:type="dxa" w:w="80"/>
              <w:left w:type="dxa" w:w="100"/>
              <w:bottom w:type="dxa" w:w="80"/>
              <w:right w:type="dxa" w:w="100"/>
            </w:tcMar>
          </w:tcPr>
          <w:p>
            <w:r>
              <w:rPr>
                <w:b w:val="false"/>
                <w:bCs w:val="false"/>
                <w:color w:val="000000"/>
                <w:sz w:val="20"/>
                <w:szCs w:val="20"/>
              </w:rPr>
              <w:t xml:space="preserve">3.6</w:t>
            </w:r>
          </w:p>
        </w:tc>
        <w:tc>
          <w:tcPr>
            <w:tcW w:type="dxa" w:w="4700"/>
            <w:tcMar>
              <w:top w:type="dxa" w:w="80"/>
              <w:left w:type="dxa" w:w="100"/>
              <w:bottom w:type="dxa" w:w="80"/>
              <w:right w:type="dxa" w:w="100"/>
            </w:tcMar>
          </w:tcPr>
          <w:p>
            <w:r>
              <w:rPr>
                <w:b w:val="false"/>
                <w:bCs w:val="false"/>
                <w:color w:val="000000"/>
                <w:sz w:val="20"/>
                <w:szCs w:val="20"/>
              </w:rPr>
              <w:t xml:space="preserve">Cuando Automotriz cae, Transporte cae 3.6 veces más seguido de lo normal.</w:t>
            </w:r>
          </w:p>
        </w:tc>
      </w:tr>
    </w:tbl>
    <w:p>
      <w:pPr>
        <w:spacing w:after="160" w:line="300"/>
        <w:jc w:val="both"/>
      </w:pPr>
      <w:r>
        <w:rPr>
          <w:b w:val="false"/>
          <w:bCs w:val="false"/>
          <w:i w:val="false"/>
          <w:iCs w:val="false"/>
          <w:sz w:val="22"/>
          <w:szCs w:val="22"/>
        </w:rPr>
        <w:t xml:space="preserve"/>
      </w:r>
    </w:p>
    <w:p>
      <w:pPr>
        <w:spacing w:after="160" w:line="300"/>
        <w:jc w:val="both"/>
      </w:pPr>
      <w:r>
        <w:rPr>
          <w:b w:val="false"/>
          <w:bCs w:val="false"/>
          <w:i w:val="false"/>
          <w:iCs w:val="false"/>
          <w:sz w:val="22"/>
          <w:szCs w:val="22"/>
        </w:rPr>
        <w:t xml:space="preserve">La lectura para alguien sin conocimiento técnico de la metodología sería: “de las 5 veces que las ventas de Automotriz cayeron fuerte en los últimos 3 años, en 2 de ellas Transporte y Almacenamiento también cayó fuerte — el mismo mes y también al mes siguiente. Eso pasa muchas más veces de lo que pasaría por pura casualidad, así que hay evidencia de que el deterioro de Automotriz se traslada a Transporte, no solo en la tabla del BCE sino en las ventas reales.”</w:t>
      </w:r>
    </w:p>
    <w:p>
      <w:pPr>
        <w:spacing w:after="200" w:before="100"/>
        <w:jc w:val="both"/>
      </w:pPr>
      <w:r>
        <w:rPr>
          <w:i/>
          <w:iCs/>
          <w:color w:val="595959"/>
          <w:sz w:val="20"/>
          <w:szCs w:val="20"/>
        </w:rPr>
        <w:t xml:space="preserve">Un caso concreto, con las fechas exactas mes por mes, se puede generar para cualquier par de clústeres con la función explicar_caso() del script de R que acompaña este documento.</w:t>
      </w:r>
    </w:p>
    <w:p>
      <w:pPr>
        <w:pStyle w:val="Heading1"/>
        <w:spacing w:after="160" w:before="320"/>
      </w:pPr>
      <w:r>
        <w:rPr>
          <w:b/>
          <w:bCs/>
          <w:color w:val="1F3864"/>
          <w:sz w:val="28"/>
          <w:szCs w:val="28"/>
        </w:rPr>
        <w:t xml:space="preserve">7. Limitaciones y consideraciones</w:t>
      </w:r>
    </w:p>
    <w:p>
      <w:pPr>
        <w:pStyle w:val="ListParagraph"/>
        <w:numPr>
          <w:ilvl w:val="0"/>
          <w:numId w:val="2"/>
        </w:numPr>
        <w:spacing w:after="100"/>
      </w:pPr>
      <w:r>
        <w:rPr>
          <w:sz w:val="22"/>
          <w:szCs w:val="22"/>
        </w:rPr>
        <w:t xml:space="preserve">Correlación con rezago, no causalidad probada: que dos clústeres caigan juntos con más frecuencia de lo normal es evidencia de asociación, no una prueba de que uno causa la caída del otro.</w:t>
      </w:r>
    </w:p>
    <w:p>
      <w:pPr>
        <w:pStyle w:val="ListParagraph"/>
        <w:numPr>
          <w:ilvl w:val="0"/>
          <w:numId w:val="2"/>
        </w:numPr>
        <w:spacing w:after="100"/>
      </w:pPr>
      <w:r>
        <w:rPr>
          <w:sz w:val="22"/>
          <w:szCs w:val="22"/>
        </w:rPr>
        <w:t xml:space="preserve">Tamaño de muestra: con solo 36 meses de historial, algunos clústeres acumulan muy pocos eventos de caída (3-4). Con tan pocos casos, el lift calculado es poco confiable y debe tratarse como señal exploratoria, no como conclusión.</w:t>
      </w:r>
    </w:p>
    <w:p>
      <w:pPr>
        <w:pStyle w:val="ListParagraph"/>
        <w:numPr>
          <w:ilvl w:val="0"/>
          <w:numId w:val="2"/>
        </w:numPr>
        <w:spacing w:after="100"/>
      </w:pPr>
      <w:r>
        <w:rPr>
          <w:sz w:val="22"/>
          <w:szCs w:val="22"/>
        </w:rPr>
        <w:t xml:space="preserve">Cobertura de clústeres: no todos los clústeres de la bitácora interna del banco tienen una serie de ventas propia en los datos del SRI (algunos solo aparecen como destino de una relación, nunca como origen), por lo que no todos van a aparecer en la tabla de resultados.</w:t>
      </w:r>
    </w:p>
    <w:p>
      <w:pPr>
        <w:pStyle w:val="ListParagraph"/>
        <w:numPr>
          <w:ilvl w:val="0"/>
          <w:numId w:val="2"/>
        </w:numPr>
        <w:spacing w:after="100"/>
      </w:pPr>
      <w:r>
        <w:rPr>
          <w:sz w:val="22"/>
          <w:szCs w:val="22"/>
        </w:rPr>
        <w:t xml:space="preserve">La estructura (matriz W) es anual; solo se debe recalcular cuando el BCE publique una tabla de utilización nueva. La dinámica (choques mensuales) se recalcula cada mes.</w:t>
      </w:r>
    </w:p>
    <w:p>
      <w:pPr>
        <w:pStyle w:val="ListParagraph"/>
        <w:numPr>
          <w:ilvl w:val="0"/>
          <w:numId w:val="2"/>
        </w:numPr>
        <w:spacing w:after="100"/>
      </w:pPr>
      <w:r>
        <w:rPr>
          <w:sz w:val="22"/>
          <w:szCs w:val="22"/>
        </w:rPr>
        <w:t xml:space="preserve">Los resultados deben complementarse con criterio experto del negocio, igual que lo indica la Metodología de Relación Sectorial original para sus niveles de dependencia (alta / media / baja).</w:t>
      </w:r>
    </w:p>
    <w:p>
      <w:pPr>
        <w:pStyle w:val="Heading1"/>
        <w:spacing w:after="160" w:before="320"/>
      </w:pPr>
      <w:r>
        <w:rPr>
          <w:b/>
          <w:bCs/>
          <w:color w:val="1F3864"/>
          <w:sz w:val="28"/>
          <w:szCs w:val="28"/>
        </w:rPr>
        <w:t xml:space="preserve">8. Glosario</w:t>
      </w:r>
    </w:p>
    <w:p>
      <w:pPr>
        <w:pStyle w:val="ListParagraph"/>
        <w:numPr>
          <w:ilvl w:val="0"/>
          <w:numId w:val="2"/>
        </w:numPr>
        <w:spacing w:after="100"/>
      </w:pPr>
      <w:r>
        <w:rPr>
          <w:sz w:val="22"/>
          <w:szCs w:val="22"/>
        </w:rPr>
        <w:t xml:space="preserve">Clúster: agrupación interna del banco de actividades económicas afines (ej. Banano, Automotriz, Consumo Masivo).</w:t>
      </w:r>
    </w:p>
    <w:p>
      <w:pPr>
        <w:pStyle w:val="ListParagraph"/>
        <w:numPr>
          <w:ilvl w:val="0"/>
          <w:numId w:val="2"/>
        </w:numPr>
        <w:spacing w:after="100"/>
      </w:pPr>
      <w:r>
        <w:rPr>
          <w:sz w:val="22"/>
          <w:szCs w:val="22"/>
        </w:rPr>
        <w:t xml:space="preserve">Choque: variación interanual de ventas de un clúster en un mes determinado.</w:t>
      </w:r>
    </w:p>
    <w:p>
      <w:pPr>
        <w:pStyle w:val="ListParagraph"/>
        <w:numPr>
          <w:ilvl w:val="0"/>
          <w:numId w:val="2"/>
        </w:numPr>
        <w:spacing w:after="100"/>
      </w:pPr>
      <w:r>
        <w:rPr>
          <w:sz w:val="22"/>
          <w:szCs w:val="22"/>
        </w:rPr>
        <w:t xml:space="preserve">z-score (puntaje z): qué tan alejado está un choque del comportamiento histórico normal de ese mismo clúster, medido en desviaciones estándar.</w:t>
      </w:r>
    </w:p>
    <w:p>
      <w:pPr>
        <w:pStyle w:val="ListParagraph"/>
        <w:numPr>
          <w:ilvl w:val="0"/>
          <w:numId w:val="2"/>
        </w:numPr>
        <w:spacing w:after="100"/>
      </w:pPr>
      <w:r>
        <w:rPr>
          <w:sz w:val="22"/>
          <w:szCs w:val="22"/>
        </w:rPr>
        <w:t xml:space="preserve">Caída significativa: mes en que el z-score de un clúster cae por debajo del umbral definido (por defecto, −1.5).</w:t>
      </w:r>
    </w:p>
    <w:p>
      <w:pPr>
        <w:pStyle w:val="ListParagraph"/>
        <w:numPr>
          <w:ilvl w:val="0"/>
          <w:numId w:val="2"/>
        </w:numPr>
        <w:spacing w:after="100"/>
      </w:pPr>
      <w:r>
        <w:rPr>
          <w:sz w:val="22"/>
          <w:szCs w:val="22"/>
        </w:rPr>
        <w:t xml:space="preserve">Evento: cada ocurrencia de una caída significativa en el clúster de origen.</w:t>
      </w:r>
    </w:p>
    <w:p>
      <w:pPr>
        <w:pStyle w:val="ListParagraph"/>
        <w:numPr>
          <w:ilvl w:val="0"/>
          <w:numId w:val="2"/>
        </w:numPr>
        <w:spacing w:after="100"/>
      </w:pPr>
      <w:r>
        <w:rPr>
          <w:sz w:val="22"/>
          <w:szCs w:val="22"/>
        </w:rPr>
        <w:t xml:space="preserve">Tasa base: frecuencia con la que un clúster cae, sin condicionar en ningún otro clúster.</w:t>
      </w:r>
    </w:p>
    <w:p>
      <w:pPr>
        <w:pStyle w:val="ListParagraph"/>
        <w:numPr>
          <w:ilvl w:val="0"/>
          <w:numId w:val="2"/>
        </w:numPr>
        <w:spacing w:after="100"/>
      </w:pPr>
      <w:r>
        <w:rPr>
          <w:sz w:val="22"/>
          <w:szCs w:val="22"/>
        </w:rPr>
        <w:t xml:space="preserve">Tasa condicional: frecuencia con la que el clúster destino cae, dado que el clúster origen cayó.</w:t>
      </w:r>
    </w:p>
    <w:p>
      <w:pPr>
        <w:pStyle w:val="ListParagraph"/>
        <w:numPr>
          <w:ilvl w:val="0"/>
          <w:numId w:val="2"/>
        </w:numPr>
        <w:spacing w:after="100"/>
      </w:pPr>
      <w:r>
        <w:rPr>
          <w:sz w:val="22"/>
          <w:szCs w:val="22"/>
        </w:rPr>
        <w:t xml:space="preserve">Lift: razón entre la tasa condicional y la tasa base; mide si la co-ocurrencia es más frecuente que el azar.</w:t>
      </w:r>
    </w:p>
    <w:p>
      <w:pPr>
        <w:pStyle w:val="ListParagraph"/>
        <w:numPr>
          <w:ilvl w:val="0"/>
          <w:numId w:val="2"/>
        </w:numPr>
        <w:spacing w:after="100"/>
      </w:pPr>
      <w:r>
        <w:rPr>
          <w:sz w:val="22"/>
          <w:szCs w:val="22"/>
        </w:rPr>
        <w:t xml:space="preserve">Contagio sectorial: cuando la tasa condicional supera claramente a la tasa base (lift &gt; 1) de forma sostenida, con suficientes eventos para confiar en la medición.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2026-09-04T05:16:53.941Z</dcterms:created>
  <dcterms:modified xsi:type="dcterms:W3CDTF">2026-09-04T05:16:53.951Z</dcterms:modified>
</cp:coreProperties>
</file>

<file path=docProps/custom.xml><?xml version="1.0" encoding="utf-8"?>
<Properties xmlns="http://schemas.openxmlformats.org/officeDocument/2006/custom-properties" xmlns:vt="http://schemas.openxmlformats.org/officeDocument/2006/docPropsVTypes"/>
</file>