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Speech para el directorio: metodología de pérdida por El Niño</w:t>
      </w:r>
    </w:p>
    <w:p>
      <w:pPr/>
      <w:r>
        <w:t xml:space="preserve">Oct 29, 2026</w:t>
      </w:r>
      <w:r>
        <w:t xml:space="preserve"> · </w:t>
      </w:r>
      <w:r>
        <w:t xml:space="preserve">@Cristian</w:t>
      </w:r>
    </w:p>
    <w:p>
      <w:pPr/>
      <w:r>
        <w:t xml:space="preserve">Guion en lenguaje sencillo para las seis láminas de metodología y resultados, unos 6 minutos. Las cifras están en millones de dólares, igual que en las láminas.</w:t>
      </w:r>
    </w:p>
    <w:p>
      <w:pPr>
        <w:pStyle w:val="Heading2"/>
      </w:pPr>
      <w:r>
        <w:t xml:space="preserve">Glosario en palabras simples</w:t>
      </w:r>
    </w:p>
    <w:p>
      <w:pPr/>
      <w:r>
        <w:t xml:space="preserve">Usa estas frases cuando aparezca la sigla por primera vez; después basta la palabra en español.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248"/>
        <w:gridCol w:w="5111"/>
      </w:tblGrid>
      <w:tr>
        <w:trPr>
          <w:tblHeader/>
        </w:trPr>
        <w:tc>
          <w:tcPr>
            <w:tcW w:w="4248" w:type="dxa"/>
            <w:shd w:val="clear" w:color="auto" w:fill="F2F2F2"/>
          </w:tcPr>
          <w:p>
            <w:pPr/>
            <w:r>
              <w:t xml:space="preserve">Término de la lámina</w:t>
            </w:r>
          </w:p>
        </w:tc>
        <w:tc>
          <w:tcPr>
            <w:tcW w:w="5111" w:type="dxa"/>
            <w:shd w:val="clear" w:color="auto" w:fill="F2F2F2"/>
          </w:tcPr>
          <w:p>
            <w:pPr/>
            <w:r>
              <w:t xml:space="preserve">Cómo decirlo al directorio</w:t>
            </w:r>
          </w:p>
        </w:tc>
      </w:tr>
      <w:tr>
        <w:tc>
          <w:tcPr>
            <w:tcW w:w="4248" w:type="dxa"/>
          </w:tcPr>
          <w:p>
            <w:pPr/>
            <w:r>
              <w:t xml:space="preserve">PD (probabilidad de incumplimiento)</w:t>
            </w:r>
          </w:p>
        </w:tc>
        <w:tc>
          <w:tcPr>
            <w:tcW w:w="5111" w:type="dxa"/>
          </w:tcPr>
          <w:p>
            <w:pPr/>
            <w:r>
              <w:t xml:space="preserve">La probabilidad de que un cliente deje de pagar</w:t>
            </w:r>
          </w:p>
        </w:tc>
      </w:tr>
      <w:tr>
        <w:tc>
          <w:tcPr>
            <w:tcW w:w="4248" w:type="dxa"/>
          </w:tcPr>
          <w:p>
            <w:pPr/>
            <w:r>
              <w:t xml:space="preserve">LGD (severidad)</w:t>
            </w:r>
          </w:p>
        </w:tc>
        <w:tc>
          <w:tcPr>
            <w:tcW w:w="5111" w:type="dxa"/>
          </w:tcPr>
          <w:p>
            <w:pPr/>
            <w:r>
              <w:t xml:space="preserve">Lo que se pierde de cada dólar que no se paga, después de recuperar garantías y cobranza</w:t>
            </w:r>
          </w:p>
        </w:tc>
      </w:tr>
      <w:tr>
        <w:tc>
          <w:tcPr>
            <w:tcW w:w="4248" w:type="dxa"/>
          </w:tcPr>
          <w:p>
            <w:pPr/>
            <w:r>
              <w:t xml:space="preserve">EAD (saldo expuesto)</w:t>
            </w:r>
          </w:p>
        </w:tc>
        <w:tc>
          <w:tcPr>
            <w:tcW w:w="5111" w:type="dxa"/>
          </w:tcPr>
          <w:p>
            <w:pPr/>
            <w:r>
              <w:t xml:space="preserve">La cartera ubicada en los 142 cantones con influencia directa del Niño</w:t>
            </w:r>
          </w:p>
        </w:tc>
      </w:tr>
      <w:tr>
        <w:tc>
          <w:tcPr>
            <w:tcW w:w="4248" w:type="dxa"/>
          </w:tcPr>
          <w:p>
            <w:pPr/>
            <w:r>
              <w:t xml:space="preserve">Pérdida incurrida (PI)</w:t>
            </w:r>
          </w:p>
        </w:tc>
        <w:tc>
          <w:tcPr>
            <w:tcW w:w="5111" w:type="dxa"/>
          </w:tcPr>
          <w:p>
            <w:pPr/>
            <w:r>
              <w:t xml:space="preserve">La pérdida que ya registramos hoy en esa cartera</w:t>
            </w:r>
          </w:p>
        </w:tc>
      </w:tr>
      <w:tr>
        <w:tc>
          <w:tcPr>
            <w:tcW w:w="4248" w:type="dxa"/>
          </w:tcPr>
          <w:p>
            <w:pPr/>
            <w:r>
              <w:t xml:space="preserve">ΔPD</w:t>
            </w:r>
          </w:p>
        </w:tc>
        <w:tc>
          <w:tcPr>
            <w:tcW w:w="5111" w:type="dxa"/>
          </w:tcPr>
          <w:p>
            <w:pPr/>
            <w:r>
              <w:t xml:space="preserve">Cuánto sube la probabilidad de no pago con El Niño</w:t>
            </w:r>
          </w:p>
        </w:tc>
      </w:tr>
      <w:tr>
        <w:tc>
          <w:tcPr>
            <w:tcW w:w="4248" w:type="dxa"/>
          </w:tcPr>
          <w:p>
            <w:pPr/>
            <w:r>
              <w:t xml:space="preserve">pp (puntos porcentuales)</w:t>
            </w:r>
          </w:p>
        </w:tc>
        <w:tc>
          <w:tcPr>
            <w:tcW w:w="5111" w:type="dxa"/>
          </w:tcPr>
          <w:p>
            <w:pPr/>
            <w:r>
              <w:t xml:space="preserve">Puntos: pasar de 10 % a 15 % es subir 5 puntos</w:t>
            </w:r>
          </w:p>
        </w:tc>
      </w:tr>
    </w:tbl>
    <w:p>
      <w:pPr>
        <w:pStyle w:val="Heading2"/>
      </w:pPr>
      <w:r>
        <w:t xml:space="preserve">Speech: metodología</w:t>
      </w:r>
    </w:p>
    <w:p>
      <w:pPr>
        <w:pStyle w:val="Heading3"/>
      </w:pPr>
      <w:r>
        <w:t xml:space="preserve">Lámina "La tasa de pérdida equivale a PD × LGD"</w:t>
      </w:r>
    </w:p>
    <w:p>
      <w:pPr/>
      <w:r>
        <w:t xml:space="preserve">Para estimar cuánto podríamos perder usamos un principio sencillo, que es el estándar en la banca. Lo que se pierde en una cartera depende de dos cosas: de cuántos clientes dejan de pagar, y de cuánto perdemos de cada dólar que no se paga, después de recuperar garantías.</w:t>
      </w:r>
    </w:p>
    <w:p>
      <w:pPr/>
      <w:r>
        <w:t xml:space="preserve">Moody's, en su estudio de 2007, y los investigadores Hu y Perraudin lo plantean así: la pérdida es la tasa de incumplimiento multiplicada por la parte que no se recupera.</w:t>
      </w:r>
    </w:p>
    <w:p>
      <w:pPr/>
      <w:r>
        <w:t xml:space="preserve">Nuestra pérdida incurrida de hoy ya combina esas dos cosas. Por eso la usamos como punto de partida, y solo calculamos cuánto se sumaría por El Niño.</w:t>
      </w:r>
    </w:p>
    <w:p>
      <w:pPr>
        <w:pStyle w:val="Heading3"/>
      </w:pPr>
      <w:r>
        <w:t xml:space="preserve">Lámina "La PD sube 4.04 pp (moderado), 8.06 pp (severo) y 15 pp (crítico)"</w:t>
      </w:r>
    </w:p>
    <w:p>
      <w:pPr/>
      <w:r>
        <w:t xml:space="preserve">¿Cuántos clientes más dejarían de pagar? Para responder usamos los escenarios del Banco Central del Ecuador. El BCE clasifica las zonas del país en riesgo alto, medio y bajo frente a El Niño, y define cuánto sube la probabilidad de no pago en cada una.</w:t>
      </w:r>
    </w:p>
    <w:p>
      <w:pPr/>
      <w:r>
        <w:t xml:space="preserve">El escenario moderado replica lo que pasó en el Niño de 1997-98: la probabilidad de no pago sube 6, 5 y 3 puntos según la zona. El severo replica las dificultades de crédito de la pandemia: sube 15, 10 y 5 puntos. Y agregamos un escenario crítico, más exigente y propio, en el que todas las zonas se comportan como de riesgo alto: 15 puntos en todas.</w:t>
      </w:r>
    </w:p>
    <w:p>
      <w:pPr/>
      <w:r>
        <w:t xml:space="preserve">Como la cartera no está repartida por igual, ponderamos por cuánta cartera hay en cada zona; la mayor parte, el 57 %, está en zonas de riesgo bajo. Así, en promedio, la probabilidad de no pago sube 4 puntos en el moderado, 8 en el severo y 15 en el crítico.</w:t>
      </w:r>
    </w:p>
    <w:p>
      <w:pPr>
        <w:pStyle w:val="Heading3"/>
      </w:pPr>
      <w:r>
        <w:t xml:space="preserve">Lámina "La LGD convierte el aumento de PD en pérdida"</w:t>
      </w:r>
    </w:p>
    <w:p>
      <w:pPr/>
      <w:r>
        <w:t xml:space="preserve">No todo cliente que deja de pagar es una pérdida completa, porque recuperamos una parte con garantías y cobranza. El BCE estima que en microcrédito se pierde el 70 % de lo que no se paga, y en crédito productivo, que tiene mejores garantías, el 40 %.</w:t>
      </w:r>
    </w:p>
    <w:p>
      <w:pPr/>
      <w:r>
        <w:t xml:space="preserve">Veámoslo con 100 dólares prestados. En microfinanzas, con el escenario severo, 8 de cada 100 dólares más dejarían de pagarse. De cada dólar que no se paga perdemos 70 centavos, porque recuperamos 30 con garantías y cobranza. Entonces perdemos unos 5.6 dólares adicionales por cada 100 prestados; sobre los 449 millones expuestos, son 25.6 millones.</w:t>
      </w:r>
    </w:p>
    <w:p>
      <w:pPr/>
      <w:r>
        <w:t xml:space="preserve">Con la misma lógica: en PYMES, con el moderado, dejan de pagarse 4 dólares más de cada 100 y perdemos 40 centavos por dólar, es decir 1.6 dólares por cada 100. En Empresas, con el crítico, dejan de pagarse 15 dólares más de cada 100 y perdemos 40 centavos por dólar: 6 dólares por cada 100.</w:t>
      </w:r>
    </w:p>
    <w:p>
      <w:pPr>
        <w:pStyle w:val="Heading2"/>
      </w:pPr>
      <w:r>
        <w:t xml:space="preserve">Speech: resultados</w:t>
      </w:r>
    </w:p>
    <w:p>
      <w:pPr>
        <w:pStyle w:val="Heading3"/>
      </w:pPr>
      <w:r>
        <w:t xml:space="preserve">Lámina "Cada término de la fórmula es un paso del cálculo"</w:t>
      </w:r>
    </w:p>
    <w:p>
      <w:pPr/>
      <w:r>
        <w:t xml:space="preserve">Con eso, el cálculo se reduce a dos partes que se suman. Tomemos microfinanzas como ejemplo.</w:t>
      </w:r>
    </w:p>
    <w:p>
      <w:pPr/>
      <w:r>
        <w:t xml:space="preserve">La primera parte es lo que ya perdemos hoy: 449 millones de cartera expuesta por 9.8 % de pérdida actual, es decir, 44 millones. La segunda parte es lo que agrega El Niño: la misma cartera por el aumento de la pérdida, 5.7 puntos, que da 25.6 millones.</w:t>
      </w:r>
    </w:p>
    <w:p>
      <w:pPr/>
      <w:r>
        <w:t xml:space="preserve">Sumando las dos, la pérdida de microfinanzas llegaría a 69.6 millones, el 15.5 % de esa cartera.</w:t>
      </w:r>
    </w:p>
    <w:p>
      <w:pPr>
        <w:pStyle w:val="Heading3"/>
      </w:pPr>
      <w:r>
        <w:t xml:space="preserve">Lámina "Cómo se llega a los resultados de cada segmento"</w:t>
      </w:r>
    </w:p>
    <w:p>
      <w:pPr/>
      <w:r>
        <w:t xml:space="preserve">Hicimos el mismo cálculo en los tres segmentos, siempre con la misma lógica: pérdida de hoy más el aumento por El Niño.</w:t>
      </w:r>
    </w:p>
    <w:p>
      <w:pPr/>
      <w:r>
        <w:t xml:space="preserve">En microfinanzas, con el escenario severo, la pérdida pasa de 44 a 69.6 millones. En PYMES, con el moderado, pasa de 22 a 27.4 millones. En Empresas, con el escenario crítico, pasa de 13.4 a 58.2 millones.</w:t>
      </w:r>
    </w:p>
    <w:p>
      <w:pPr>
        <w:pStyle w:val="Heading3"/>
      </w:pPr>
      <w:r>
        <w:t xml:space="preserve">Lámina de resultados con la cartera nacional</w:t>
      </w:r>
    </w:p>
    <w:p>
      <w:pPr/>
      <w:r>
        <w:t xml:space="preserve">Esta tabla resume todo. Arriba están los parámetros del BCE: cuánta cartera del sistema hay en cada zona de riesgo y cuánto sube la probabilidad de no pago en cada escenario.</w:t>
      </w:r>
    </w:p>
    <w:p>
      <w:pPr/>
      <w:r>
        <w:t xml:space="preserve">Abajo están los resultados. Hoy la pérdida de la cartera expuesta es 79.4 millones. Si aplicamos el mismo escenario a los tres segmentos, subiría a 109.6 millones en el moderado, 139.9 en el severo y 191.5 en el crítico. Es decir, entre 30 y 112 millones adicionales, según la intensidad del fenómeno.</w:t>
      </w:r>
    </w:p>
    <w:p>
      <w:pPr/>
      <w:r>
        <w:t xml:space="preserve">Microfinanzas es el segmento más sensible en todos los escenarios, porque es donde más se pierde cuando un cliente deja de pagar.</w:t>
      </w:r>
    </w:p>
    <w:p>
      <w:pPr>
        <w:pStyle w:val="Heading2"/>
      </w:pPr>
      <w:r>
        <w:t xml:space="preserve">Preguntas probables y respuestas cortas</w:t>
      </w:r>
    </w:p>
    <w:p>
      <w:pPr/>
      <w:r>
        <w:rPr>
          <w:b/>
          <w:bCs/>
        </w:rPr>
        <w:t xml:space="preserve">¿De dónde salen los escenarios?</w:t>
      </w:r>
      <w:r>
        <w:t xml:space="preserve"> El moderado y el severo son los del Banco Central del Ecuador (Apuntes de Economía No. 75, Tabla 9). El moderado replica el Niño de 1997-98 y el severo, la pandemia. El crítico es un supuesto propio, más exigente.</w:t>
      </w:r>
    </w:p>
    <w:p>
      <w:pPr/>
      <w:r>
        <w:rPr>
          <w:b/>
          <w:bCs/>
        </w:rPr>
        <w:t xml:space="preserve">¿Por qué no usan una probabilidad de no pago propia?</w:t>
      </w:r>
      <w:r>
        <w:t xml:space="preserve"> Porque nuestra pérdida incurrida ya incluye la probabilidad de no pago y la severidad. Es la forma estándar de medir pérdidas, como hacen Moody's y el BCE.</w:t>
      </w:r>
    </w:p>
    <w:p>
      <w:pPr/>
      <w:r>
        <w:rPr>
          <w:b/>
          <w:bCs/>
        </w:rPr>
        <w:t xml:space="preserve">¿El resultado podría ser peor?</w:t>
      </w:r>
      <w:r>
        <w:t xml:space="preserve"> Sí. Mantenemos la severidad fija, como el BCE, pero en una crisis se recupera menos. Si en microfinanzas se perdiera el 80 % en lugar del 70 %, el escenario severo sumaría unos 10 millones más.</w:t>
      </w:r>
    </w:p>
    <w:p>
      <w:pPr/>
      <w:r>
        <w:rPr>
          <w:b/>
          <w:bCs/>
        </w:rPr>
        <w:t xml:space="preserve">¿Por qué Empresas va en el escenario crítico?</w:t>
      </w:r>
      <w:r>
        <w:t xml:space="preserve"> Es el supuesto más conservador. Con el escenario severo serían 37.5 millones en lugar de 58.2.</w:t>
      </w:r>
    </w:p>
    <w:p>
      <w:pPr/>
      <w:r>
        <w:rPr>
          <w:b/>
          <w:bCs/>
        </w:rPr>
        <w:t xml:space="preserve">¿Cuándo se vería el impacto?</w:t>
      </w:r>
      <w:r>
        <w:t xml:space="preserve"> El mayor efecto de las lluvias se espera entre noviembre de 2026 y marzo de 2027. El no pago llega con rezago, sobre todo durante 2027.</w:t>
      </w:r>
    </w:p>
    <w:p>
      <w:pPr>
        <w:pStyle w:val="Heading2"/>
      </w:pPr>
      <w:r>
        <w:t xml:space="preserve">Ajustes sugeridos antes de presentar</w:t>
      </w:r>
    </w:p>
    <w:p>
      <w:pPr/>
      <w:r>
        <w:t xml:space="preserve">La tabla final y la lámina de resultados por segmento muestran cifras distintas para Empresas; es lo primero que conviene corregir.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  <w:bCs/>
        </w:rPr>
        <w:t xml:space="preserve">Tabla final, columna "Pérdida Fenómeno Niño":</w:t>
      </w:r>
      <w:r>
        <w:t xml:space="preserve"> Empresas dice 21.6 (2.9 %) y el total 118.6, que corresponden al factor proporcional. Si Empresas va en el escenario crítico, como en la lámina de resultados, debe decir 58.2 (7.8 %) y el total 155.2 (+75.8 millones adicionales).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  <w:bCs/>
        </w:rPr>
        <w:t xml:space="preserve">Lámina "Cómo se llega a los resultados", Empresas:</w:t>
      </w:r>
      <w:r>
        <w:t xml:space="preserve"> el paso 2 dice "ΔPI = PI × (factor − 1) (lám. 10)", pero el cálculo es 15 × 40 %. Cambiarlo a "ΔPI = ΔPD × LGD".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  <w:bCs/>
        </w:rPr>
        <w:t xml:space="preserve">"Extremo BCE":</w:t>
      </w:r>
      <w:r>
        <w:t xml:space="preserve"> el BCE no tiene ese escenario; es un supuesto propio. Cambiarlo a "Crítico (supuesto propio)" y usar un solo nombre, crítico o extremo, en todas las láminas.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  <w:bCs/>
        </w:rPr>
        <w:t xml:space="preserve">Nota al pie de la tabla final:</w:t>
      </w:r>
      <w:r>
        <w:t xml:space="preserve"> dice "PI = Pérdida Adicional / Cartera Expuesta", pero el porcentaje es la pérdida total sobre la cartera expuesta (69.6 / 449.2 = 15.5 %). Sugerido: "(%): pérdida incurrida / cartera expuesta".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  <w:bCs/>
        </w:rPr>
        <w:t xml:space="preserve">Micro, escenario severo:</w:t>
      </w:r>
      <w:r>
        <w:t xml:space="preserve"> la tabla muestra 69.6 (15.4 %) en "Severo BCE" y 69.6 (15.5 %) en "Pérdida Fenómeno Niño". Usar 15.5 % en ambas.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  <w:bCs/>
        </w:rPr>
        <w:t xml:space="preserve">Lámina de la LGD:</w:t>
      </w:r>
      <w:r>
        <w:t xml:space="preserve"> la nota al pie aún menciona el factor de la pág. 49; quitarla si Empresas ya no usa factor.i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iCs/>
      <w:sz w:val="22"/>
      <w:szCs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  <w:szCs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iCs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  <w:szCs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zCs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Speech para el directorio metodología de pérdida por El Niño</dc:title>
  <dc:description>Claude Docs node/f65c85ab-5899@8 docx-w8</dc:description>
  <cp:revision>8</cp:revision>
</cp:coreProperties>
</file>