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Speech y defensa metodológica: pérdida por El Niño en Microfinanzas, PYMES y Empresas</w:t>
      </w:r>
    </w:p>
    <w:p>
      <w:pPr/>
      <w:r>
        <w:t xml:space="preserve">Oct 5, 2026</w:t>
      </w:r>
      <w:r>
        <w:t xml:space="preserve"> · </w:t>
      </w:r>
      <w:r>
        <w:t xml:space="preserve">@Cristian</w:t>
      </w:r>
    </w:p>
    <w:p>
      <w:pPr/>
      <w:r>
        <w:t xml:space="preserve">Con saldos a agosto de 2026, El Niño sumaría 39,2 MM de pérdida adicional en las tres carteras expuestas, calculados con la metodología del BCE (Apuntes de Economía No. 75).</w:t>
      </w:r>
    </w:p>
    <w:p>
      <w:pPr>
        <w:pStyle w:val="Heading2"/>
      </w:pPr>
      <w:r>
        <w:t xml:space="preserve">1. Speech completo (con fórmulas, citas y tablas)</w:t>
      </w:r>
    </w:p>
    <w:p>
      <w:pPr/>
      <w:r>
        <w:t xml:space="preserve">Duración aproximada: 6 a 7 minutos. El texto en párrafos es lo que se dice; cada tabla es tu guía rápida para ese paso.</w:t>
      </w:r>
    </w:p>
    <w:p>
      <w:pPr>
        <w:pStyle w:val="Heading3"/>
      </w:pPr>
      <w:r>
        <w:t xml:space="preserve">Paso 0. Apertura</w:t>
      </w:r>
    </w:p>
    <w:p>
      <w:pPr/>
      <w:r>
        <w:t xml:space="preserve">Buenos días. Voy a presentar cuánto podría costarnos el Fenómeno de El Niño en microfinanzas, PYMES y Empresas. Les voy a mostrar cada cálculo y de dónde sale cada dato.</w:t>
      </w:r>
    </w:p>
    <w:p>
      <w:pPr>
        <w:pStyle w:val="Heading3"/>
      </w:pPr>
      <w:r>
        <w:t xml:space="preserve">Paso 1. Contexto</w:t>
      </w:r>
    </w:p>
    <w:p>
      <w:pPr/>
      <w:r>
        <w:t xml:space="preserve">El 29 de agosto la Secretaría Nacional de Gestión de Riesgos declaró Alerta Roja en todo el país. A mediados de septiembre el mar estaba 2,9 °C sobre lo normal en el Pacífico central y 4,5 °C frente a nuestras costas. El Banco Central del Ecuador, en la nota al pie 3 de la página 8 de su Apunte de Economía 75, dice que una anomalía de 2 °C o más se califica como "muy fuerte". Es decir, este Niño ya está en esa categoría.</w:t>
      </w:r>
    </w:p>
    <w:p>
      <w:pPr/>
      <w:r>
        <w:t xml:space="preserve">Como referencia, el BCE recuerda en la página 9 que el Niño de 1997-98 causó daños por cerca del 2,7 % del PIB, y en la página 10 que la morosidad del sistema subió de 7,3 % a 9,3 %. También advierte, en la página 31, que el no pago de créditos llega incluso meses después del evento climático.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Dato</w:t>
            </w:r>
          </w:p>
        </w:tc>
        <w:tc>
          <w:tcPr>
            <w:tcW w:w="3120" w:type="dxa"/>
            <w:shd w:val="clear" w:color="auto" w:fill="F2F2F2"/>
          </w:tcPr>
          <w:p>
            <w:pPr/>
            <w:r>
              <w:t xml:space="preserve">Valor</w:t>
            </w:r>
          </w:p>
        </w:tc>
        <w:tc>
          <w:tcPr>
            <w:tcW w:w="3120" w:type="dxa"/>
            <w:shd w:val="clear" w:color="auto" w:fill="F2F2F2"/>
          </w:tcPr>
          <w:p>
            <w:pPr/>
            <w:r>
              <w:t xml:space="preserve">Fuente</w:t>
            </w:r>
          </w:p>
        </w:tc>
      </w:tr>
      <w:tr>
        <w:tc>
          <w:tcPr>
            <w:tcW w:w="3120" w:type="dxa"/>
          </w:tcPr>
          <w:p>
            <w:pPr/>
            <w:r>
              <w:t xml:space="preserve">Alerta</w:t>
            </w:r>
          </w:p>
        </w:tc>
        <w:tc>
          <w:tcPr>
            <w:tcW w:w="3120" w:type="dxa"/>
          </w:tcPr>
          <w:p>
            <w:pPr/>
            <w:r>
              <w:t xml:space="preserve">Roja nacional desde el 29/08/2026</w:t>
            </w:r>
          </w:p>
        </w:tc>
        <w:tc>
          <w:tcPr>
            <w:tcW w:w="3120" w:type="dxa"/>
          </w:tcPr>
          <w:p>
            <w:pPr/>
            <w:r>
              <w:t xml:space="preserve">SNGR, Resolución SNGR-238-2026</w:t>
            </w:r>
          </w:p>
        </w:tc>
      </w:tr>
      <w:tr>
        <w:tc>
          <w:tcPr>
            <w:tcW w:w="3120" w:type="dxa"/>
          </w:tcPr>
          <w:p>
            <w:pPr/>
            <w:r>
              <w:t xml:space="preserve">Anomalía del mar</w:t>
            </w:r>
          </w:p>
        </w:tc>
        <w:tc>
          <w:tcPr>
            <w:tcW w:w="3120" w:type="dxa"/>
          </w:tcPr>
          <w:p>
            <w:pPr/>
            <w:r>
              <w:t xml:space="preserve">+2,9 °C (Pacífico central) y +4,5 °C (costa)</w:t>
            </w:r>
          </w:p>
        </w:tc>
        <w:tc>
          <w:tcPr>
            <w:tcW w:w="3120" w:type="dxa"/>
          </w:tcPr>
          <w:p>
            <w:pPr/>
            <w:r>
              <w:t xml:space="preserve">Informe CN-ERFEN 009-2026</w:t>
            </w:r>
          </w:p>
        </w:tc>
      </w:tr>
      <w:tr>
        <w:tc>
          <w:tcPr>
            <w:tcW w:w="3120" w:type="dxa"/>
          </w:tcPr>
          <w:p>
            <w:pPr/>
            <w:r>
              <w:t xml:space="preserve">Umbral de "muy fuerte"</w:t>
            </w:r>
          </w:p>
        </w:tc>
        <w:tc>
          <w:tcPr>
            <w:tcW w:w="3120" w:type="dxa"/>
          </w:tcPr>
          <w:p>
            <w:pPr/>
            <w:r>
              <w:t xml:space="preserve">2 °C o más</w:t>
            </w:r>
          </w:p>
        </w:tc>
        <w:tc>
          <w:tcPr>
            <w:tcW w:w="3120" w:type="dxa"/>
          </w:tcPr>
          <w:p>
            <w:pPr/>
            <w:r>
              <w:t xml:space="preserve">BCE, pág. 8, nota al pie 3</w:t>
            </w:r>
          </w:p>
        </w:tc>
      </w:tr>
      <w:tr>
        <w:tc>
          <w:tcPr>
            <w:tcW w:w="3120" w:type="dxa"/>
          </w:tcPr>
          <w:p>
            <w:pPr/>
            <w:r>
              <w:t xml:space="preserve">Niño 1997-98</w:t>
            </w:r>
          </w:p>
        </w:tc>
        <w:tc>
          <w:tcPr>
            <w:tcW w:w="3120" w:type="dxa"/>
          </w:tcPr>
          <w:p>
            <w:pPr/>
            <w:r>
              <w:t xml:space="preserve">Daños ≈ 2,7 % del PIB; morosidad 7,3 % → 9,3 %</w:t>
            </w:r>
          </w:p>
        </w:tc>
        <w:tc>
          <w:tcPr>
            <w:tcW w:w="3120" w:type="dxa"/>
          </w:tcPr>
          <w:p>
            <w:pPr/>
            <w:r>
              <w:t xml:space="preserve">BCE, págs. 9 y 10</w:t>
            </w:r>
          </w:p>
        </w:tc>
      </w:tr>
      <w:tr>
        <w:tc>
          <w:tcPr>
            <w:tcW w:w="3120" w:type="dxa"/>
          </w:tcPr>
          <w:p>
            <w:pPr/>
            <w:r>
              <w:t xml:space="preserve">Rezago del impacto en pagos</w:t>
            </w:r>
          </w:p>
        </w:tc>
        <w:tc>
          <w:tcPr>
            <w:tcW w:w="3120" w:type="dxa"/>
          </w:tcPr>
          <w:p>
            <w:pPr/>
            <w:r>
              <w:t xml:space="preserve">Meses después del evento</w:t>
            </w:r>
          </w:p>
        </w:tc>
        <w:tc>
          <w:tcPr>
            <w:tcW w:w="3120" w:type="dxa"/>
          </w:tcPr>
          <w:p>
            <w:pPr/>
            <w:r>
              <w:t xml:space="preserve">BCE, pág. 31</w:t>
            </w:r>
          </w:p>
        </w:tc>
      </w:tr>
      <w:tr>
        <w:tc>
          <w:tcPr>
            <w:tcW w:w="3120" w:type="dxa"/>
          </w:tcPr>
          <w:p>
            <w:pPr/>
            <w:r>
              <w:t xml:space="preserve">Mayor impacto esperado</w:t>
            </w:r>
          </w:p>
        </w:tc>
        <w:tc>
          <w:tcPr>
            <w:tcW w:w="3120" w:type="dxa"/>
          </w:tcPr>
          <w:p>
            <w:pPr/>
            <w:r>
              <w:t xml:space="preserve">Noviembre 2026 a marzo 2027</w:t>
            </w:r>
          </w:p>
        </w:tc>
        <w:tc>
          <w:tcPr>
            <w:tcW w:w="3120" w:type="dxa"/>
          </w:tcPr>
          <w:p>
            <w:pPr/>
            <w:r>
              <w:t xml:space="preserve">Comité ERFEN</w:t>
            </w:r>
          </w:p>
        </w:tc>
      </w:tr>
    </w:tbl>
    <w:p>
      <w:pPr>
        <w:pStyle w:val="Heading3"/>
      </w:pPr>
      <w:r>
        <w:t xml:space="preserve">Paso 2. Exposición y pérdida actual</w:t>
      </w:r>
    </w:p>
    <w:p>
      <w:pPr/>
      <w:r>
        <w:t xml:space="preserve">Definimos la zona expuesta con 142 cantones declarados con influencia directa. Es la lista de 143 cantones que usa el BCE en la página 11, sin Quito. A agosto tenemos 1.529,8 millones expuestos.</w:t>
      </w:r>
    </w:p>
    <w:p>
      <w:pPr/>
      <w:r>
        <w:t xml:space="preserve">Primero calculamos la pérdida actual: multiplicamos el saldo expuesto por la pérdida incurrida de cada segmento. Por ejemplo, en microfinanzas, 449,2 millones por 9,8 % da 44,0 millones.</w:t>
      </w:r>
    </w:p>
    <w:p>
      <w:pPr>
        <w:pStyle w:val="Code"/>
      </w:pPr>
      <w:bookmarkStart w:id="1" w:name="bongo_lang_latex_1"/>
      <w:bookmarkEnd w:id="1"/>
      <w:r>
        <w:t xml:space="preserve">\text{Pérdida actual} = \text{Saldo expuesto} \times PI_{actual}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Segmento</w:t>
            </w:r>
          </w:p>
        </w:tc>
        <w:tc>
          <w:tcPr>
            <w:tcW w:w="1560" w:type="dxa"/>
            <w:shd w:val="clear" w:color="auto" w:fill="F2F2F2"/>
          </w:tcPr>
          <w:p>
            <w:pPr/>
            <w:r>
              <w:t xml:space="preserve">Saldo expuesto (USD MM)</w:t>
            </w:r>
          </w:p>
        </w:tc>
        <w:tc>
          <w:tcPr>
            <w:tcW w:w="1560" w:type="dxa"/>
            <w:shd w:val="clear" w:color="auto" w:fill="F2F2F2"/>
          </w:tcPr>
          <w:p>
            <w:pPr/>
            <w:r>
              <w:t xml:space="preserve">% del segmento</w:t>
            </w:r>
          </w:p>
        </w:tc>
        <w:tc>
          <w:tcPr>
            <w:tcW w:w="1560" w:type="dxa"/>
            <w:shd w:val="clear" w:color="auto" w:fill="F2F2F2"/>
          </w:tcPr>
          <w:p>
            <w:pPr/>
            <w:r>
              <w:t xml:space="preserve">PI actual</w:t>
            </w:r>
          </w:p>
        </w:tc>
        <w:tc>
          <w:tcPr>
            <w:tcW w:w="1560" w:type="dxa"/>
            <w:shd w:val="clear" w:color="auto" w:fill="F2F2F2"/>
          </w:tcPr>
          <w:p>
            <w:pPr/>
            <w:r>
              <w:t xml:space="preserve">Cálculo</w:t>
            </w:r>
          </w:p>
        </w:tc>
        <w:tc>
          <w:tcPr>
            <w:tcW w:w="1560" w:type="dxa"/>
            <w:shd w:val="clear" w:color="auto" w:fill="F2F2F2"/>
          </w:tcPr>
          <w:p>
            <w:pPr/>
            <w:r>
              <w:t xml:space="preserve">Pérdida actual (USD MM)</w:t>
            </w:r>
          </w:p>
        </w:tc>
      </w:tr>
      <w:tr>
        <w:tc>
          <w:tcPr>
            <w:tcW w:w="1560" w:type="dxa"/>
          </w:tcPr>
          <w:p>
            <w:pPr/>
            <w:r>
              <w:t xml:space="preserve">Microfinanzas</w:t>
            </w:r>
          </w:p>
        </w:tc>
        <w:tc>
          <w:tcPr>
            <w:tcW w:w="1560" w:type="dxa"/>
          </w:tcPr>
          <w:p>
            <w:pPr/>
            <w:r>
              <w:t xml:space="preserve">449,2</w:t>
            </w:r>
          </w:p>
        </w:tc>
        <w:tc>
          <w:tcPr>
            <w:tcW w:w="1560" w:type="dxa"/>
          </w:tcPr>
          <w:p>
            <w:pPr/>
            <w:r>
              <w:t xml:space="preserve">19 %</w:t>
            </w:r>
          </w:p>
        </w:tc>
        <w:tc>
          <w:tcPr>
            <w:tcW w:w="1560" w:type="dxa"/>
          </w:tcPr>
          <w:p>
            <w:pPr/>
            <w:r>
              <w:t xml:space="preserve">9,8 %</w:t>
            </w:r>
          </w:p>
        </w:tc>
        <w:tc>
          <w:tcPr>
            <w:tcW w:w="1560" w:type="dxa"/>
          </w:tcPr>
          <w:p>
            <w:pPr/>
            <w:r>
              <w:t xml:space="preserve">449,2 × 9,8 %</w:t>
            </w:r>
          </w:p>
        </w:tc>
        <w:tc>
          <w:tcPr>
            <w:tcW w:w="1560" w:type="dxa"/>
          </w:tcPr>
          <w:p>
            <w:pPr/>
            <w:r>
              <w:t xml:space="preserve">44,0</w:t>
            </w:r>
          </w:p>
        </w:tc>
      </w:tr>
      <w:tr>
        <w:tc>
          <w:tcPr>
            <w:tcW w:w="1560" w:type="dxa"/>
          </w:tcPr>
          <w:p>
            <w:pPr/>
            <w:r>
              <w:t xml:space="preserve">PYMES</w:t>
            </w:r>
          </w:p>
        </w:tc>
        <w:tc>
          <w:tcPr>
            <w:tcW w:w="1560" w:type="dxa"/>
          </w:tcPr>
          <w:p>
            <w:pPr/>
            <w:r>
              <w:t xml:space="preserve">334,0</w:t>
            </w:r>
          </w:p>
        </w:tc>
        <w:tc>
          <w:tcPr>
            <w:tcW w:w="1560" w:type="dxa"/>
          </w:tcPr>
          <w:p>
            <w:pPr/>
            <w:r>
              <w:t xml:space="preserve">20 %</w:t>
            </w:r>
          </w:p>
        </w:tc>
        <w:tc>
          <w:tcPr>
            <w:tcW w:w="1560" w:type="dxa"/>
          </w:tcPr>
          <w:p>
            <w:pPr/>
            <w:r>
              <w:t xml:space="preserve">6,6 %</w:t>
            </w:r>
          </w:p>
        </w:tc>
        <w:tc>
          <w:tcPr>
            <w:tcW w:w="1560" w:type="dxa"/>
          </w:tcPr>
          <w:p>
            <w:pPr/>
            <w:r>
              <w:t xml:space="preserve">334,0 × 6,6 %</w:t>
            </w:r>
          </w:p>
        </w:tc>
        <w:tc>
          <w:tcPr>
            <w:tcW w:w="1560" w:type="dxa"/>
          </w:tcPr>
          <w:p>
            <w:pPr/>
            <w:r>
              <w:t xml:space="preserve">22,0</w:t>
            </w:r>
          </w:p>
        </w:tc>
      </w:tr>
      <w:tr>
        <w:tc>
          <w:tcPr>
            <w:tcW w:w="1560" w:type="dxa"/>
          </w:tcPr>
          <w:p>
            <w:pPr/>
            <w:r>
              <w:t xml:space="preserve">Empresas</w:t>
            </w:r>
          </w:p>
        </w:tc>
        <w:tc>
          <w:tcPr>
            <w:tcW w:w="1560" w:type="dxa"/>
          </w:tcPr>
          <w:p>
            <w:pPr/>
            <w:r>
              <w:t xml:space="preserve">746,6</w:t>
            </w:r>
          </w:p>
        </w:tc>
        <w:tc>
          <w:tcPr>
            <w:tcW w:w="1560" w:type="dxa"/>
          </w:tcPr>
          <w:p>
            <w:pPr/>
            <w:r>
              <w:t xml:space="preserve">20 %</w:t>
            </w:r>
          </w:p>
        </w:tc>
        <w:tc>
          <w:tcPr>
            <w:tcW w:w="1560" w:type="dxa"/>
          </w:tcPr>
          <w:p>
            <w:pPr/>
            <w:r>
              <w:t xml:space="preserve">1,8 %</w:t>
            </w:r>
          </w:p>
        </w:tc>
        <w:tc>
          <w:tcPr>
            <w:tcW w:w="1560" w:type="dxa"/>
          </w:tcPr>
          <w:p>
            <w:pPr/>
            <w:r>
              <w:t xml:space="preserve">746,6 × 1,8 %</w:t>
            </w:r>
          </w:p>
        </w:tc>
        <w:tc>
          <w:tcPr>
            <w:tcW w:w="1560" w:type="dxa"/>
          </w:tcPr>
          <w:p>
            <w:pPr/>
            <w:r>
              <w:t xml:space="preserve">13,4</w:t>
            </w:r>
          </w:p>
        </w:tc>
      </w:tr>
      <w:tr>
        <w:tc>
          <w:tcPr>
            <w:tcW w:w="1560" w:type="dxa"/>
          </w:tcPr>
          <w:p>
            <w:pPr/>
            <w:r>
              <w:t xml:space="preserve">Total</w:t>
            </w:r>
          </w:p>
        </w:tc>
        <w:tc>
          <w:tcPr>
            <w:tcW w:w="1560" w:type="dxa"/>
          </w:tcPr>
          <w:p>
            <w:pPr/>
            <w:r>
              <w:t xml:space="preserve">1.529,8</w:t>
            </w:r>
          </w:p>
        </w:tc>
        <w:tc>
          <w:tcPr>
            <w:tcW w:w="1560" w:type="dxa"/>
          </w:tcPr>
          <w:p>
            <w:pPr/>
            <w:r>
              <w:t xml:space="preserve">—</w:t>
            </w:r>
          </w:p>
        </w:tc>
        <w:tc>
          <w:tcPr>
            <w:tcW w:w="1560" w:type="dxa"/>
          </w:tcPr>
          <w:p>
            <w:pPr/>
            <w:r>
              <w:t xml:space="preserve">5,2 %</w:t>
            </w:r>
          </w:p>
        </w:tc>
        <w:tc>
          <w:tcPr>
            <w:tcW w:w="1560" w:type="dxa"/>
          </w:tcPr>
          <w:p>
            <w:pPr/>
          </w:p>
        </w:tc>
        <w:tc>
          <w:tcPr>
            <w:tcW w:w="1560" w:type="dxa"/>
          </w:tcPr>
          <w:p>
            <w:pPr/>
            <w:r>
              <w:t xml:space="preserve">79,4</w:t>
            </w:r>
          </w:p>
        </w:tc>
      </w:tr>
    </w:tbl>
    <w:p>
      <w:pPr>
        <w:pStyle w:val="Heading3"/>
      </w:pPr>
      <w:r>
        <w:t xml:space="preserve">Paso 3. La fórmula y por qué es válida</w:t>
      </w:r>
    </w:p>
    <w:p>
      <w:pPr/>
      <w:r>
        <w:t xml:space="preserve">Para estimar la pérdida usamos la fórmula de pérdida esperada: probabilidad de incumplimiento por severidad por exposición. El BCE la usa en las páginas 35 y 36 de su Apunte 75, siguiendo Basilea III.</w:t>
      </w:r>
    </w:p>
    <w:p>
      <w:pPr>
        <w:pStyle w:val="Code"/>
      </w:pPr>
      <w:bookmarkStart w:id="2" w:name="bongo_lang_latex_2"/>
      <w:bookmarkEnd w:id="2"/>
      <w:r>
        <w:t xml:space="preserve">PE = PD \times LGD \times EAD</w:t>
      </w:r>
    </w:p>
    <w:p>
      <w:pPr/>
      <w:r>
        <w:t xml:space="preserve">¿Por qué podemos partir de nuestra pérdida incurrida? Porque una tasa de pérdida equivale a la tasa de incumplimiento multiplicada por la severidad. Moody's, en la página 45 de su estudio de 2007, dice que las pérdidas de crédito son función de la probabilidad de incumplimiento y de la severidad, y calcula la tasa de pérdida como tasa de incumplimiento por uno menos la recuperación. Hu y Perraudin dicen lo mismo en la página 3 y lo escriben como ecuación en la página 11.</w:t>
      </w:r>
    </w:p>
    <w:p>
      <w:pPr/>
      <w:r>
        <w:t xml:space="preserve">Como uno menos la recuperación es la severidad, nuestra pérdida incurrida ya equivale a PD por LGD. Entonces no reemplazamos la PD: tomamos la pérdida actual como base y le sumamos solo lo que agrega El Niño, que es el aumento de la PD por la severidad.</w:t>
      </w:r>
    </w:p>
    <w:p>
      <w:pPr>
        <w:pStyle w:val="Code"/>
      </w:pPr>
      <w:bookmarkStart w:id="3" w:name="bongo_lang_latex_3"/>
      <w:bookmarkEnd w:id="3"/>
      <w:r>
        <w:t xml:space="preserve">(PD + \Delta PD) \times LGD = \underbrace{PD \times LGD}_{PI_{actual}} + \Delta PD \times LGD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Autor</w:t>
            </w:r>
          </w:p>
        </w:tc>
        <w:tc>
          <w:tcPr>
            <w:tcW w:w="3120" w:type="dxa"/>
            <w:shd w:val="clear" w:color="auto" w:fill="F2F2F2"/>
          </w:tcPr>
          <w:p>
            <w:pPr/>
            <w:r>
              <w:t xml:space="preserve">Dónde</w:t>
            </w:r>
          </w:p>
        </w:tc>
        <w:tc>
          <w:tcPr>
            <w:tcW w:w="3120" w:type="dxa"/>
            <w:shd w:val="clear" w:color="auto" w:fill="F2F2F2"/>
          </w:tcPr>
          <w:p>
            <w:pPr/>
            <w:r>
              <w:t xml:space="preserve">Qué dice</w:t>
            </w:r>
          </w:p>
        </w:tc>
      </w:tr>
      <w:tr>
        <w:tc>
          <w:tcPr>
            <w:tcW w:w="3120" w:type="dxa"/>
          </w:tcPr>
          <w:p>
            <w:pPr/>
            <w:r>
              <w:t xml:space="preserve">BCE (2024)</w:t>
            </w:r>
          </w:p>
        </w:tc>
        <w:tc>
          <w:tcPr>
            <w:tcW w:w="3120" w:type="dxa"/>
          </w:tcPr>
          <w:p>
            <w:pPr/>
            <w:r>
              <w:t xml:space="preserve">Págs. 35-36</w:t>
            </w:r>
          </w:p>
        </w:tc>
        <w:tc>
          <w:tcPr>
            <w:tcW w:w="3120" w:type="dxa"/>
          </w:tcPr>
          <w:p>
            <w:pPr/>
            <w:r>
              <w:t xml:space="preserve">Pérdida esperada según Basilea III: PE = PD × EAD × LGD</w:t>
            </w:r>
          </w:p>
        </w:tc>
      </w:tr>
      <w:tr>
        <w:tc>
          <w:tcPr>
            <w:tcW w:w="3120" w:type="dxa"/>
          </w:tcPr>
          <w:p>
            <w:pPr/>
            <w:r>
              <w:t xml:space="preserve">Moody's (2007)</w:t>
            </w:r>
          </w:p>
        </w:tc>
        <w:tc>
          <w:tcPr>
            <w:tcW w:w="3120" w:type="dxa"/>
          </w:tcPr>
          <w:p>
            <w:pPr/>
            <w:r>
              <w:t xml:space="preserve">Pág. 45</w:t>
            </w:r>
          </w:p>
        </w:tc>
        <w:tc>
          <w:tcPr>
            <w:tcW w:w="3120" w:type="dxa"/>
          </w:tcPr>
          <w:p>
            <w:pPr/>
            <w:r>
              <w:t xml:space="preserve">Las pérdidas son "a function of both probability of default (PD) as well as the severity of default (LGD)"; tasa de pérdida = D × (1 − r)</w:t>
            </w:r>
          </w:p>
        </w:tc>
      </w:tr>
      <w:tr>
        <w:tc>
          <w:tcPr>
            <w:tcW w:w="3120" w:type="dxa"/>
          </w:tcPr>
          <w:p>
            <w:pPr/>
            <w:r>
              <w:t xml:space="preserve">Hu y Perraudin (2006)</w:t>
            </w:r>
          </w:p>
        </w:tc>
        <w:tc>
          <w:tcPr>
            <w:tcW w:w="3120" w:type="dxa"/>
          </w:tcPr>
          <w:p>
            <w:pPr/>
            <w:r>
              <w:t xml:space="preserve">Pág. 3; pág. 11, ecuación 5.1</w:t>
            </w:r>
          </w:p>
        </w:tc>
        <w:tc>
          <w:tcPr>
            <w:tcW w:w="3120" w:type="dxa"/>
          </w:tcPr>
          <w:p>
            <w:pPr/>
            <w:r>
              <w:t xml:space="preserve">Pérdida total = tasa de incumplimiento × (1 − recuperación)</w:t>
            </w:r>
          </w:p>
        </w:tc>
      </w:tr>
      <w:tr>
        <w:tc>
          <w:tcPr>
            <w:tcW w:w="3120" w:type="dxa"/>
          </w:tcPr>
          <w:p>
            <w:pPr/>
            <w:r>
              <w:t xml:space="preserve">NIIF 9</w:t>
            </w:r>
          </w:p>
        </w:tc>
        <w:tc>
          <w:tcPr>
            <w:tcW w:w="3120" w:type="dxa"/>
          </w:tcPr>
          <w:p>
            <w:pPr/>
            <w:r>
              <w:t xml:space="preserve">Ejemplo ilustrativo 9 (párr. IE53)</w:t>
            </w:r>
          </w:p>
        </w:tc>
        <w:tc>
          <w:tcPr>
            <w:tcW w:w="3120" w:type="dxa"/>
          </w:tcPr>
          <w:p>
            <w:pPr/>
            <w:r>
              <w:t xml:space="preserve">La pérdida esperada puede medirse con una tasa de pérdida, sin PD explícita</w:t>
            </w:r>
          </w:p>
        </w:tc>
      </w:tr>
    </w:tbl>
    <w:p>
      <w:pPr>
        <w:pStyle w:val="Heading3"/>
      </w:pPr>
      <w:r>
        <w:t xml:space="preserve">Paso 4. Cuánto sube la PD con El Niño</w:t>
      </w:r>
    </w:p>
    <w:p>
      <w:pPr/>
      <w:r>
        <w:t xml:space="preserve">El BCE, en la Tabla 9 de la página 39, define cuánto sube la PD según el riesgo de la zona. En el escenario severo sube 15, 10 y 5 puntos en zonas de riesgo alto, medio y bajo; en el moderado, 6, 5 y 3. En esa misma tabla dice que la severidad "se mantiene igual al escenario base": el BCE solo mueve la PD, igual que nosotros.</w:t>
      </w:r>
    </w:p>
    <w:p>
      <w:pPr/>
      <w:r>
        <w:t xml:space="preserve">Como aún no tenemos nuestra mezcla por zona, usamos la del sistema, que el BCE publica en la página 23: 3.830, 4.940 y 11.804 millones en zonas de riesgo alto, medio y bajo, sobre un total de 20.574. Multiplicamos cada aumento por su peso y sumamos: la PD sube 8,06 puntos en el severo y 4,04 en el moderado.</w:t>
      </w:r>
    </w:p>
    <w:p>
      <w:pPr>
        <w:pStyle w:val="Code"/>
      </w:pPr>
      <w:bookmarkStart w:id="4" w:name="bongo_lang_latex_4"/>
      <w:bookmarkEnd w:id="4"/>
      <w:r>
        <w:t xml:space="preserve">\Delta PD = 18{,}6\% \times \text{shock}_{Alta} + 24{,}0\% \times \text{shock}_{Media} + 57{,}4\% \times \text{shock}_{Baja}</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Zona</w:t>
            </w:r>
          </w:p>
        </w:tc>
        <w:tc>
          <w:tcPr>
            <w:tcW w:w="1560" w:type="dxa"/>
            <w:shd w:val="clear" w:color="auto" w:fill="F2F2F2"/>
          </w:tcPr>
          <w:p>
            <w:pPr/>
            <w:r>
              <w:t xml:space="preserve">Peso (BCE pág. 23)</w:t>
            </w:r>
          </w:p>
        </w:tc>
        <w:tc>
          <w:tcPr>
            <w:tcW w:w="1560" w:type="dxa"/>
            <w:shd w:val="clear" w:color="auto" w:fill="F2F2F2"/>
          </w:tcPr>
          <w:p>
            <w:pPr/>
            <w:r>
              <w:t xml:space="preserve">Shock moderado (pág. 39)</w:t>
            </w:r>
          </w:p>
        </w:tc>
        <w:tc>
          <w:tcPr>
            <w:tcW w:w="1560" w:type="dxa"/>
            <w:shd w:val="clear" w:color="auto" w:fill="F2F2F2"/>
          </w:tcPr>
          <w:p>
            <w:pPr/>
            <w:r>
              <w:t xml:space="preserve">Shock severo (pág. 39)</w:t>
            </w:r>
          </w:p>
        </w:tc>
        <w:tc>
          <w:tcPr>
            <w:tcW w:w="1560" w:type="dxa"/>
            <w:shd w:val="clear" w:color="auto" w:fill="F2F2F2"/>
          </w:tcPr>
          <w:p>
            <w:pPr/>
            <w:r>
              <w:t xml:space="preserve">Moderado × peso</w:t>
            </w:r>
          </w:p>
        </w:tc>
        <w:tc>
          <w:tcPr>
            <w:tcW w:w="1560" w:type="dxa"/>
            <w:shd w:val="clear" w:color="auto" w:fill="F2F2F2"/>
          </w:tcPr>
          <w:p>
            <w:pPr/>
            <w:r>
              <w:t xml:space="preserve">Severo × peso</w:t>
            </w:r>
          </w:p>
        </w:tc>
      </w:tr>
      <w:tr>
        <w:tc>
          <w:tcPr>
            <w:tcW w:w="1560" w:type="dxa"/>
          </w:tcPr>
          <w:p>
            <w:pPr/>
            <w:r>
              <w:t xml:space="preserve">Alta</w:t>
            </w:r>
          </w:p>
        </w:tc>
        <w:tc>
          <w:tcPr>
            <w:tcW w:w="1560" w:type="dxa"/>
          </w:tcPr>
          <w:p>
            <w:pPr/>
            <w:r>
              <w:t xml:space="preserve">18,6 %</w:t>
            </w:r>
          </w:p>
        </w:tc>
        <w:tc>
          <w:tcPr>
            <w:tcW w:w="1560" w:type="dxa"/>
          </w:tcPr>
          <w:p>
            <w:pPr/>
            <w:r>
              <w:t xml:space="preserve">+6 pp</w:t>
            </w:r>
          </w:p>
        </w:tc>
        <w:tc>
          <w:tcPr>
            <w:tcW w:w="1560" w:type="dxa"/>
          </w:tcPr>
          <w:p>
            <w:pPr/>
            <w:r>
              <w:t xml:space="preserve">+15 pp</w:t>
            </w:r>
          </w:p>
        </w:tc>
        <w:tc>
          <w:tcPr>
            <w:tcW w:w="1560" w:type="dxa"/>
          </w:tcPr>
          <w:p>
            <w:pPr/>
            <w:r>
              <w:t xml:space="preserve">1,12</w:t>
            </w:r>
          </w:p>
        </w:tc>
        <w:tc>
          <w:tcPr>
            <w:tcW w:w="1560" w:type="dxa"/>
          </w:tcPr>
          <w:p>
            <w:pPr/>
            <w:r>
              <w:t xml:space="preserve">2,79</w:t>
            </w:r>
          </w:p>
        </w:tc>
      </w:tr>
      <w:tr>
        <w:tc>
          <w:tcPr>
            <w:tcW w:w="1560" w:type="dxa"/>
          </w:tcPr>
          <w:p>
            <w:pPr/>
            <w:r>
              <w:t xml:space="preserve">Media</w:t>
            </w:r>
          </w:p>
        </w:tc>
        <w:tc>
          <w:tcPr>
            <w:tcW w:w="1560" w:type="dxa"/>
          </w:tcPr>
          <w:p>
            <w:pPr/>
            <w:r>
              <w:t xml:space="preserve">24,0 %</w:t>
            </w:r>
          </w:p>
        </w:tc>
        <w:tc>
          <w:tcPr>
            <w:tcW w:w="1560" w:type="dxa"/>
          </w:tcPr>
          <w:p>
            <w:pPr/>
            <w:r>
              <w:t xml:space="preserve">+5 pp</w:t>
            </w:r>
          </w:p>
        </w:tc>
        <w:tc>
          <w:tcPr>
            <w:tcW w:w="1560" w:type="dxa"/>
          </w:tcPr>
          <w:p>
            <w:pPr/>
            <w:r>
              <w:t xml:space="preserve">+10 pp</w:t>
            </w:r>
          </w:p>
        </w:tc>
        <w:tc>
          <w:tcPr>
            <w:tcW w:w="1560" w:type="dxa"/>
          </w:tcPr>
          <w:p>
            <w:pPr/>
            <w:r>
              <w:t xml:space="preserve">1,20</w:t>
            </w:r>
          </w:p>
        </w:tc>
        <w:tc>
          <w:tcPr>
            <w:tcW w:w="1560" w:type="dxa"/>
          </w:tcPr>
          <w:p>
            <w:pPr/>
            <w:r>
              <w:t xml:space="preserve">2,40</w:t>
            </w:r>
          </w:p>
        </w:tc>
      </w:tr>
      <w:tr>
        <w:tc>
          <w:tcPr>
            <w:tcW w:w="1560" w:type="dxa"/>
          </w:tcPr>
          <w:p>
            <w:pPr/>
            <w:r>
              <w:t xml:space="preserve">Baja</w:t>
            </w:r>
          </w:p>
        </w:tc>
        <w:tc>
          <w:tcPr>
            <w:tcW w:w="1560" w:type="dxa"/>
          </w:tcPr>
          <w:p>
            <w:pPr/>
            <w:r>
              <w:t xml:space="preserve">57,4 %</w:t>
            </w:r>
          </w:p>
        </w:tc>
        <w:tc>
          <w:tcPr>
            <w:tcW w:w="1560" w:type="dxa"/>
          </w:tcPr>
          <w:p>
            <w:pPr/>
            <w:r>
              <w:t xml:space="preserve">+3 pp</w:t>
            </w:r>
          </w:p>
        </w:tc>
        <w:tc>
          <w:tcPr>
            <w:tcW w:w="1560" w:type="dxa"/>
          </w:tcPr>
          <w:p>
            <w:pPr/>
            <w:r>
              <w:t xml:space="preserve">+5 pp</w:t>
            </w:r>
          </w:p>
        </w:tc>
        <w:tc>
          <w:tcPr>
            <w:tcW w:w="1560" w:type="dxa"/>
          </w:tcPr>
          <w:p>
            <w:pPr/>
            <w:r>
              <w:t xml:space="preserve">1,72</w:t>
            </w:r>
          </w:p>
        </w:tc>
        <w:tc>
          <w:tcPr>
            <w:tcW w:w="1560" w:type="dxa"/>
          </w:tcPr>
          <w:p>
            <w:pPr/>
            <w:r>
              <w:t xml:space="preserve">2,87</w:t>
            </w:r>
          </w:p>
        </w:tc>
      </w:tr>
      <w:tr>
        <w:tc>
          <w:tcPr>
            <w:tcW w:w="1560" w:type="dxa"/>
          </w:tcPr>
          <w:p>
            <w:pPr/>
            <w:r>
              <w:t xml:space="preserve">ΔPD ponderado</w:t>
            </w:r>
          </w:p>
        </w:tc>
        <w:tc>
          <w:tcPr>
            <w:tcW w:w="1560" w:type="dxa"/>
          </w:tcPr>
          <w:p>
            <w:pPr/>
            <w:r>
              <w:t xml:space="preserve">100 %</w:t>
            </w:r>
          </w:p>
        </w:tc>
        <w:tc>
          <w:tcPr>
            <w:tcW w:w="1560" w:type="dxa"/>
          </w:tcPr>
          <w:p>
            <w:pPr/>
          </w:p>
        </w:tc>
        <w:tc>
          <w:tcPr>
            <w:tcW w:w="1560" w:type="dxa"/>
          </w:tcPr>
          <w:p>
            <w:pPr/>
          </w:p>
        </w:tc>
        <w:tc>
          <w:tcPr>
            <w:tcW w:w="1560" w:type="dxa"/>
          </w:tcPr>
          <w:p>
            <w:pPr/>
            <w:r>
              <w:t xml:space="preserve">4,04 pp</w:t>
            </w:r>
          </w:p>
        </w:tc>
        <w:tc>
          <w:tcPr>
            <w:tcW w:w="1560" w:type="dxa"/>
          </w:tcPr>
          <w:p>
            <w:pPr/>
            <w:r>
              <w:t xml:space="preserve">8,06 pp</w:t>
            </w:r>
          </w:p>
        </w:tc>
      </w:tr>
    </w:tbl>
    <w:p>
      <w:pPr>
        <w:pStyle w:val="Heading3"/>
      </w:pPr>
      <w:r>
        <w:t xml:space="preserve">Paso 5. Severidad: del aumento de PD al aumento de pérdida</w:t>
      </w:r>
    </w:p>
    <w:p>
      <w:pPr/>
      <w:r>
        <w:t xml:space="preserve">El aumento de PD se convierte en pérdida al multiplicarlo por la severidad. El BCE, en la página 37, asigna 70 % al microcrédito y 40 % al crédito productivo, porque las garantías del productivo son más líquidas. En microfinanzas, 8,06 puntos por 70 % da 5,64 puntos; la lámina usa 5,7. En PYMES, 4,04 por 40 % da 1,62 puntos.</w:t>
      </w:r>
    </w:p>
    <w:p>
      <w:pPr>
        <w:pStyle w:val="Code"/>
      </w:pPr>
      <w:bookmarkStart w:id="5" w:name="bongo_lang_latex_5"/>
      <w:bookmarkEnd w:id="5"/>
      <w:r>
        <w:t xml:space="preserve">\Delta PI = \Delta PD \times LGD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Segmento</w:t>
            </w:r>
          </w:p>
        </w:tc>
        <w:tc>
          <w:tcPr>
            <w:tcW w:w="1560" w:type="dxa"/>
            <w:shd w:val="clear" w:color="auto" w:fill="F2F2F2"/>
          </w:tcPr>
          <w:p>
            <w:pPr/>
            <w:r>
              <w:t xml:space="preserve">Escenario</w:t>
            </w:r>
          </w:p>
        </w:tc>
        <w:tc>
          <w:tcPr>
            <w:tcW w:w="1560" w:type="dxa"/>
            <w:shd w:val="clear" w:color="auto" w:fill="F2F2F2"/>
          </w:tcPr>
          <w:p>
            <w:pPr/>
            <w:r>
              <w:t xml:space="preserve">ΔPD</w:t>
            </w:r>
          </w:p>
        </w:tc>
        <w:tc>
          <w:tcPr>
            <w:tcW w:w="1560" w:type="dxa"/>
            <w:shd w:val="clear" w:color="auto" w:fill="F2F2F2"/>
          </w:tcPr>
          <w:p>
            <w:pPr/>
            <w:r>
              <w:t xml:space="preserve">LGD (BCE pág. 37)</w:t>
            </w:r>
          </w:p>
        </w:tc>
        <w:tc>
          <w:tcPr>
            <w:tcW w:w="1560" w:type="dxa"/>
            <w:shd w:val="clear" w:color="auto" w:fill="F2F2F2"/>
          </w:tcPr>
          <w:p>
            <w:pPr/>
            <w:r>
              <w:t xml:space="preserve">Cálculo</w:t>
            </w:r>
          </w:p>
        </w:tc>
        <w:tc>
          <w:tcPr>
            <w:tcW w:w="1560" w:type="dxa"/>
            <w:shd w:val="clear" w:color="auto" w:fill="F2F2F2"/>
          </w:tcPr>
          <w:p>
            <w:pPr/>
            <w:r>
              <w:t xml:space="preserve">Aumento de la tasa de pérdida</w:t>
            </w:r>
          </w:p>
        </w:tc>
      </w:tr>
      <w:tr>
        <w:tc>
          <w:tcPr>
            <w:tcW w:w="1560" w:type="dxa"/>
          </w:tcPr>
          <w:p>
            <w:pPr/>
            <w:r>
              <w:t xml:space="preserve">Microfinanzas</w:t>
            </w:r>
          </w:p>
        </w:tc>
        <w:tc>
          <w:tcPr>
            <w:tcW w:w="1560" w:type="dxa"/>
          </w:tcPr>
          <w:p>
            <w:pPr/>
            <w:r>
              <w:t xml:space="preserve">Severo</w:t>
            </w:r>
          </w:p>
        </w:tc>
        <w:tc>
          <w:tcPr>
            <w:tcW w:w="1560" w:type="dxa"/>
          </w:tcPr>
          <w:p>
            <w:pPr/>
            <w:r>
              <w:t xml:space="preserve">8,06 pp</w:t>
            </w:r>
          </w:p>
        </w:tc>
        <w:tc>
          <w:tcPr>
            <w:tcW w:w="1560" w:type="dxa"/>
          </w:tcPr>
          <w:p>
            <w:pPr/>
            <w:r>
              <w:t xml:space="preserve">70 %</w:t>
            </w:r>
          </w:p>
        </w:tc>
        <w:tc>
          <w:tcPr>
            <w:tcW w:w="1560" w:type="dxa"/>
          </w:tcPr>
          <w:p>
            <w:pPr/>
            <w:r>
              <w:t xml:space="preserve">8,06 × 70 %</w:t>
            </w:r>
          </w:p>
        </w:tc>
        <w:tc>
          <w:tcPr>
            <w:tcW w:w="1560" w:type="dxa"/>
          </w:tcPr>
          <w:p>
            <w:pPr/>
            <w:r>
              <w:t xml:space="preserve">5,64 pp (lámina: 5,7 pp)</w:t>
            </w:r>
          </w:p>
        </w:tc>
      </w:tr>
      <w:tr>
        <w:tc>
          <w:tcPr>
            <w:tcW w:w="1560" w:type="dxa"/>
          </w:tcPr>
          <w:p>
            <w:pPr/>
            <w:r>
              <w:t xml:space="preserve">PYMES</w:t>
            </w:r>
          </w:p>
        </w:tc>
        <w:tc>
          <w:tcPr>
            <w:tcW w:w="1560" w:type="dxa"/>
          </w:tcPr>
          <w:p>
            <w:pPr/>
            <w:r>
              <w:t xml:space="preserve">Moderado</w:t>
            </w:r>
          </w:p>
        </w:tc>
        <w:tc>
          <w:tcPr>
            <w:tcW w:w="1560" w:type="dxa"/>
          </w:tcPr>
          <w:p>
            <w:pPr/>
            <w:r>
              <w:t xml:space="preserve">4,04 pp</w:t>
            </w:r>
          </w:p>
        </w:tc>
        <w:tc>
          <w:tcPr>
            <w:tcW w:w="1560" w:type="dxa"/>
          </w:tcPr>
          <w:p>
            <w:pPr/>
            <w:r>
              <w:t xml:space="preserve">40 %</w:t>
            </w:r>
          </w:p>
        </w:tc>
        <w:tc>
          <w:tcPr>
            <w:tcW w:w="1560" w:type="dxa"/>
          </w:tcPr>
          <w:p>
            <w:pPr/>
            <w:r>
              <w:t xml:space="preserve">4,04 × 40 %</w:t>
            </w:r>
          </w:p>
        </w:tc>
        <w:tc>
          <w:tcPr>
            <w:tcW w:w="1560" w:type="dxa"/>
          </w:tcPr>
          <w:p>
            <w:pPr/>
            <w:r>
              <w:t xml:space="preserve">1,62 pp</w:t>
            </w:r>
          </w:p>
        </w:tc>
      </w:tr>
      <w:tr>
        <w:tc>
          <w:tcPr>
            <w:tcW w:w="1560" w:type="dxa"/>
          </w:tcPr>
          <w:p>
            <w:pPr/>
            <w:r>
              <w:t xml:space="preserve">Empresas</w:t>
            </w:r>
          </w:p>
        </w:tc>
        <w:tc>
          <w:tcPr>
            <w:tcW w:w="1560" w:type="dxa"/>
          </w:tcPr>
          <w:p>
            <w:pPr/>
            <w:r>
              <w:t xml:space="preserve">Factor (paso 6)</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bl>
    <w:p>
      <w:pPr>
        <w:pStyle w:val="Heading3"/>
      </w:pPr>
      <w:r>
        <w:t xml:space="preserve">Paso 6. Empresas: un factor proporcional</w:t>
      </w:r>
    </w:p>
    <w:p>
      <w:pPr/>
      <w:r>
        <w:t xml:space="preserve">En Empresas aplicamos un aumento proporcional y no puntos fijos. Sumar puntos fijos de PD pesa mucho en una cartera de PD baja: con el método anterior, Empresas pasaría de 1,8 % a 5,0 %. Este criterio es consistente con el modelo de Vasicek que está detrás de la fórmula de Basilea, donde el aumento de la PD en estrés depende de la PD de partida.</w:t>
      </w:r>
    </w:p>
    <w:p>
      <w:pPr/>
      <w:r>
        <w:t xml:space="preserve">El factor sale de la Tabla 15 de la página 49 del BCE: la pérdida esperada de la banca privada pasa de 791 millones en el escenario base a 1.230 millones en el severo. 1.230 dividido para 791 da 1,555, que redondeamos a 1,6. Multiplicamos 1,8 % por 1,6 y obtenemos 2,9 %.</w:t>
      </w:r>
    </w:p>
    <w:p>
      <w:pPr>
        <w:pStyle w:val="Code"/>
      </w:pPr>
      <w:bookmarkStart w:id="6" w:name="bongo_lang_latex_6"/>
      <w:bookmarkEnd w:id="6"/>
      <w:r>
        <w:t xml:space="preserve">PI_{El\ Ni\tilde{n}o} = PI_{actual} \times \frac{1.230}{791} = 1{,}8\% \times 1{,}6 \approx 2{,}9\%</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Dato</w:t>
            </w:r>
          </w:p>
        </w:tc>
        <w:tc>
          <w:tcPr>
            <w:tcW w:w="3120" w:type="dxa"/>
            <w:shd w:val="clear" w:color="auto" w:fill="F2F2F2"/>
          </w:tcPr>
          <w:p>
            <w:pPr/>
            <w:r>
              <w:t xml:space="preserve">Valor</w:t>
            </w:r>
          </w:p>
        </w:tc>
        <w:tc>
          <w:tcPr>
            <w:tcW w:w="3120" w:type="dxa"/>
            <w:shd w:val="clear" w:color="auto" w:fill="F2F2F2"/>
          </w:tcPr>
          <w:p>
            <w:pPr/>
            <w:r>
              <w:t xml:space="preserve">Fuente</w:t>
            </w:r>
          </w:p>
        </w:tc>
      </w:tr>
      <w:tr>
        <w:tc>
          <w:tcPr>
            <w:tcW w:w="3120" w:type="dxa"/>
          </w:tcPr>
          <w:p>
            <w:pPr/>
            <w:r>
              <w:t xml:space="preserve">Pérdida esperada de la banca privada, escenario base</w:t>
            </w:r>
          </w:p>
        </w:tc>
        <w:tc>
          <w:tcPr>
            <w:tcW w:w="3120" w:type="dxa"/>
          </w:tcPr>
          <w:p>
            <w:pPr/>
            <w:r>
              <w:t xml:space="preserve">791 MM</w:t>
            </w:r>
          </w:p>
        </w:tc>
        <w:tc>
          <w:tcPr>
            <w:tcW w:w="3120" w:type="dxa"/>
          </w:tcPr>
          <w:p>
            <w:pPr/>
            <w:r>
              <w:t xml:space="preserve">BCE pág. 49, Tabla 15</w:t>
            </w:r>
          </w:p>
        </w:tc>
      </w:tr>
      <w:tr>
        <w:tc>
          <w:tcPr>
            <w:tcW w:w="3120" w:type="dxa"/>
          </w:tcPr>
          <w:p>
            <w:pPr/>
            <w:r>
              <w:t xml:space="preserve">Pérdida esperada de la banca privada, escenario severo</w:t>
            </w:r>
          </w:p>
        </w:tc>
        <w:tc>
          <w:tcPr>
            <w:tcW w:w="3120" w:type="dxa"/>
          </w:tcPr>
          <w:p>
            <w:pPr/>
            <w:r>
              <w:t xml:space="preserve">1.230 MM</w:t>
            </w:r>
          </w:p>
        </w:tc>
        <w:tc>
          <w:tcPr>
            <w:tcW w:w="3120" w:type="dxa"/>
          </w:tcPr>
          <w:p>
            <w:pPr/>
            <w:r>
              <w:t xml:space="preserve">BCE pág. 49, Tabla 15</w:t>
            </w:r>
          </w:p>
        </w:tc>
      </w:tr>
      <w:tr>
        <w:tc>
          <w:tcPr>
            <w:tcW w:w="3120" w:type="dxa"/>
          </w:tcPr>
          <w:p>
            <w:pPr/>
            <w:r>
              <w:t xml:space="preserve">Factor</w:t>
            </w:r>
          </w:p>
        </w:tc>
        <w:tc>
          <w:tcPr>
            <w:tcW w:w="3120" w:type="dxa"/>
          </w:tcPr>
          <w:p>
            <w:pPr/>
            <w:r>
              <w:t xml:space="preserve">1.230 / 791 = 1,555 ≈ 1,6</w:t>
            </w:r>
          </w:p>
        </w:tc>
        <w:tc>
          <w:tcPr>
            <w:tcW w:w="3120" w:type="dxa"/>
          </w:tcPr>
          <w:p>
            <w:pPr/>
            <w:r>
              <w:t xml:space="preserve">Cálculo propio</w:t>
            </w:r>
          </w:p>
        </w:tc>
      </w:tr>
      <w:tr>
        <w:tc>
          <w:tcPr>
            <w:tcW w:w="3120" w:type="dxa"/>
          </w:tcPr>
          <w:p>
            <w:pPr/>
            <w:r>
              <w:t xml:space="preserve">PI El Niño de Empresas</w:t>
            </w:r>
          </w:p>
        </w:tc>
        <w:tc>
          <w:tcPr>
            <w:tcW w:w="3120" w:type="dxa"/>
          </w:tcPr>
          <w:p>
            <w:pPr/>
            <w:r>
              <w:t xml:space="preserve">1,8 % × 1,6 = 2,9 %</w:t>
            </w:r>
          </w:p>
        </w:tc>
        <w:tc>
          <w:tcPr>
            <w:tcW w:w="3120" w:type="dxa"/>
          </w:tcPr>
          <w:p>
            <w:pPr/>
            <w:r>
              <w:t xml:space="preserve">Lámina</w:t>
            </w:r>
          </w:p>
        </w:tc>
      </w:tr>
      <w:tr>
        <w:tc>
          <w:tcPr>
            <w:tcW w:w="3120" w:type="dxa"/>
          </w:tcPr>
          <w:p>
            <w:pPr/>
            <w:r>
              <w:t xml:space="preserve">Con el factor sin redondear</w:t>
            </w:r>
          </w:p>
        </w:tc>
        <w:tc>
          <w:tcPr>
            <w:tcW w:w="3120" w:type="dxa"/>
          </w:tcPr>
          <w:p>
            <w:pPr/>
            <w:r>
              <w:t xml:space="preserve">2,8 % (+7,5 MM)</w:t>
            </w:r>
          </w:p>
        </w:tc>
        <w:tc>
          <w:tcPr>
            <w:tcW w:w="3120" w:type="dxa"/>
          </w:tcPr>
          <w:p>
            <w:pPr/>
            <w:r>
              <w:t xml:space="preserve">Referencia</w:t>
            </w:r>
          </w:p>
        </w:tc>
      </w:tr>
      <w:tr>
        <w:tc>
          <w:tcPr>
            <w:tcW w:w="3120" w:type="dxa"/>
          </w:tcPr>
          <w:p>
            <w:pPr/>
            <w:r>
              <w:t xml:space="preserve">Con el método aditivo</w:t>
            </w:r>
          </w:p>
        </w:tc>
        <w:tc>
          <w:tcPr>
            <w:tcW w:w="3120" w:type="dxa"/>
          </w:tcPr>
          <w:p>
            <w:pPr/>
            <w:r>
              <w:t xml:space="preserve">5,0 % (+24,1 MM)</w:t>
            </w:r>
          </w:p>
        </w:tc>
        <w:tc>
          <w:tcPr>
            <w:tcW w:w="3120" w:type="dxa"/>
          </w:tcPr>
          <w:p>
            <w:pPr/>
            <w:r>
              <w:t xml:space="preserve">Referencia</w:t>
            </w:r>
          </w:p>
        </w:tc>
      </w:tr>
    </w:tbl>
    <w:p>
      <w:pPr>
        <w:pStyle w:val="Heading3"/>
      </w:pPr>
      <w:r>
        <w:t xml:space="preserve">Paso 7. Resultados por segmento</w:t>
      </w:r>
    </w:p>
    <w:p>
      <w:pPr/>
      <w:r>
        <w:t xml:space="preserve">Ahora multiplicamos el aumento de la tasa de pérdida por el saldo expuesto y lo sumamos a la pérdida actual. En microfinanzas, 449,2 millones por 5,7 % da 25,6 millones adicionales: la pérdida pasa de 44,0 a 69,6 millones, el 15,5 % de la cartera expuesta. En PYMES, 334,0 millones por 1,62 % da 5,4 millones: la pérdida llega a 27,4 millones, el 8,2 %. En Empresas, la pérdida llega a 21,6 millones, el 2,9 %, es decir, 8,2 millones adicionales.</w:t>
      </w:r>
    </w:p>
    <w:p>
      <w:pPr/>
      <w:r>
        <w:t xml:space="preserve">En total, El Niño sumaría 39,2 millones de pérdida adicional, y la pérdida de la cartera expuesta pasaría de 79,4 a 118,6 millones.</w:t>
      </w:r>
    </w:p>
    <w:p>
      <w:pPr>
        <w:pStyle w:val="Code"/>
      </w:pPr>
      <w:bookmarkStart w:id="7" w:name="bongo_lang_latex_7"/>
      <w:bookmarkEnd w:id="7"/>
      <w:r>
        <w:t xml:space="preserve">\text{Pérdida El Niño} = \text{Pérdida actual} + \text{Saldo expuesto} \times \Delta PI</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Segmento</w:t>
            </w:r>
          </w:p>
        </w:tc>
        <w:tc>
          <w:tcPr>
            <w:tcW w:w="1337" w:type="dxa"/>
            <w:shd w:val="clear" w:color="auto" w:fill="F2F2F2"/>
          </w:tcPr>
          <w:p>
            <w:pPr/>
            <w:r>
              <w:t xml:space="preserve">Saldo expuesto (USD MM)</w:t>
            </w:r>
          </w:p>
        </w:tc>
        <w:tc>
          <w:tcPr>
            <w:tcW w:w="1337" w:type="dxa"/>
            <w:shd w:val="clear" w:color="auto" w:fill="F2F2F2"/>
          </w:tcPr>
          <w:p>
            <w:pPr/>
            <w:r>
              <w:t xml:space="preserve">Pérdida actual (USD MM)</w:t>
            </w:r>
          </w:p>
        </w:tc>
        <w:tc>
          <w:tcPr>
            <w:tcW w:w="1337" w:type="dxa"/>
            <w:shd w:val="clear" w:color="auto" w:fill="F2F2F2"/>
          </w:tcPr>
          <w:p>
            <w:pPr/>
            <w:r>
              <w:t xml:space="preserve">Cálculo del adicional</w:t>
            </w:r>
          </w:p>
        </w:tc>
        <w:tc>
          <w:tcPr>
            <w:tcW w:w="1337" w:type="dxa"/>
            <w:shd w:val="clear" w:color="auto" w:fill="F2F2F2"/>
          </w:tcPr>
          <w:p>
            <w:pPr/>
            <w:r>
              <w:t xml:space="preserve">Adicional (USD MM)</w:t>
            </w:r>
          </w:p>
        </w:tc>
        <w:tc>
          <w:tcPr>
            <w:tcW w:w="1337" w:type="dxa"/>
            <w:shd w:val="clear" w:color="auto" w:fill="F2F2F2"/>
          </w:tcPr>
          <w:p>
            <w:pPr/>
            <w:r>
              <w:t xml:space="preserve">Pérdida El Niño (USD MM)</w:t>
            </w:r>
          </w:p>
        </w:tc>
        <w:tc>
          <w:tcPr>
            <w:tcW w:w="1337" w:type="dxa"/>
            <w:shd w:val="clear" w:color="auto" w:fill="F2F2F2"/>
          </w:tcPr>
          <w:p>
            <w:pPr/>
            <w:r>
              <w:t xml:space="preserve">PI El Niño</w:t>
            </w:r>
          </w:p>
        </w:tc>
      </w:tr>
      <w:tr>
        <w:tc>
          <w:tcPr>
            <w:tcW w:w="1337" w:type="dxa"/>
          </w:tcPr>
          <w:p>
            <w:pPr/>
            <w:r>
              <w:t xml:space="preserve">Microfinanzas</w:t>
            </w:r>
          </w:p>
        </w:tc>
        <w:tc>
          <w:tcPr>
            <w:tcW w:w="1337" w:type="dxa"/>
          </w:tcPr>
          <w:p>
            <w:pPr/>
            <w:r>
              <w:t xml:space="preserve">449,2</w:t>
            </w:r>
          </w:p>
        </w:tc>
        <w:tc>
          <w:tcPr>
            <w:tcW w:w="1337" w:type="dxa"/>
          </w:tcPr>
          <w:p>
            <w:pPr/>
            <w:r>
              <w:t xml:space="preserve">44,0</w:t>
            </w:r>
          </w:p>
        </w:tc>
        <w:tc>
          <w:tcPr>
            <w:tcW w:w="1337" w:type="dxa"/>
          </w:tcPr>
          <w:p>
            <w:pPr/>
            <w:r>
              <w:t xml:space="preserve">449,2 × 5,7 %</w:t>
            </w:r>
          </w:p>
        </w:tc>
        <w:tc>
          <w:tcPr>
            <w:tcW w:w="1337" w:type="dxa"/>
          </w:tcPr>
          <w:p>
            <w:pPr/>
            <w:r>
              <w:t xml:space="preserve">+25,6</w:t>
            </w:r>
          </w:p>
        </w:tc>
        <w:tc>
          <w:tcPr>
            <w:tcW w:w="1337" w:type="dxa"/>
          </w:tcPr>
          <w:p>
            <w:pPr/>
            <w:r>
              <w:t xml:space="preserve">69,6</w:t>
            </w:r>
          </w:p>
        </w:tc>
        <w:tc>
          <w:tcPr>
            <w:tcW w:w="1337" w:type="dxa"/>
          </w:tcPr>
          <w:p>
            <w:pPr/>
            <w:r>
              <w:t xml:space="preserve">15,5 %</w:t>
            </w:r>
          </w:p>
        </w:tc>
      </w:tr>
      <w:tr>
        <w:tc>
          <w:tcPr>
            <w:tcW w:w="1337" w:type="dxa"/>
          </w:tcPr>
          <w:p>
            <w:pPr/>
            <w:r>
              <w:t xml:space="preserve">PYMES</w:t>
            </w:r>
          </w:p>
        </w:tc>
        <w:tc>
          <w:tcPr>
            <w:tcW w:w="1337" w:type="dxa"/>
          </w:tcPr>
          <w:p>
            <w:pPr/>
            <w:r>
              <w:t xml:space="preserve">334,0</w:t>
            </w:r>
          </w:p>
        </w:tc>
        <w:tc>
          <w:tcPr>
            <w:tcW w:w="1337" w:type="dxa"/>
          </w:tcPr>
          <w:p>
            <w:pPr/>
            <w:r>
              <w:t xml:space="preserve">22,0</w:t>
            </w:r>
          </w:p>
        </w:tc>
        <w:tc>
          <w:tcPr>
            <w:tcW w:w="1337" w:type="dxa"/>
          </w:tcPr>
          <w:p>
            <w:pPr/>
            <w:r>
              <w:t xml:space="preserve">334,0 × 1,62 %</w:t>
            </w:r>
          </w:p>
        </w:tc>
        <w:tc>
          <w:tcPr>
            <w:tcW w:w="1337" w:type="dxa"/>
          </w:tcPr>
          <w:p>
            <w:pPr/>
            <w:r>
              <w:t xml:space="preserve">+5,4</w:t>
            </w:r>
          </w:p>
        </w:tc>
        <w:tc>
          <w:tcPr>
            <w:tcW w:w="1337" w:type="dxa"/>
          </w:tcPr>
          <w:p>
            <w:pPr/>
            <w:r>
              <w:t xml:space="preserve">27,4</w:t>
            </w:r>
          </w:p>
        </w:tc>
        <w:tc>
          <w:tcPr>
            <w:tcW w:w="1337" w:type="dxa"/>
          </w:tcPr>
          <w:p>
            <w:pPr/>
            <w:r>
              <w:t xml:space="preserve">8,2 %</w:t>
            </w:r>
          </w:p>
        </w:tc>
      </w:tr>
      <w:tr>
        <w:tc>
          <w:tcPr>
            <w:tcW w:w="1337" w:type="dxa"/>
          </w:tcPr>
          <w:p>
            <w:pPr/>
            <w:r>
              <w:t xml:space="preserve">Empresas</w:t>
            </w:r>
          </w:p>
        </w:tc>
        <w:tc>
          <w:tcPr>
            <w:tcW w:w="1337" w:type="dxa"/>
          </w:tcPr>
          <w:p>
            <w:pPr/>
            <w:r>
              <w:t xml:space="preserve">746,6</w:t>
            </w:r>
          </w:p>
        </w:tc>
        <w:tc>
          <w:tcPr>
            <w:tcW w:w="1337" w:type="dxa"/>
          </w:tcPr>
          <w:p>
            <w:pPr/>
            <w:r>
              <w:t xml:space="preserve">13,4</w:t>
            </w:r>
          </w:p>
        </w:tc>
        <w:tc>
          <w:tcPr>
            <w:tcW w:w="1337" w:type="dxa"/>
          </w:tcPr>
          <w:p>
            <w:pPr/>
            <w:r>
              <w:t xml:space="preserve">746,6 × (2,9 % − 1,8 %)</w:t>
            </w:r>
          </w:p>
        </w:tc>
        <w:tc>
          <w:tcPr>
            <w:tcW w:w="1337" w:type="dxa"/>
          </w:tcPr>
          <w:p>
            <w:pPr/>
            <w:r>
              <w:t xml:space="preserve">+8,2</w:t>
            </w:r>
          </w:p>
        </w:tc>
        <w:tc>
          <w:tcPr>
            <w:tcW w:w="1337" w:type="dxa"/>
          </w:tcPr>
          <w:p>
            <w:pPr/>
            <w:r>
              <w:t xml:space="preserve">21,6</w:t>
            </w:r>
          </w:p>
        </w:tc>
        <w:tc>
          <w:tcPr>
            <w:tcW w:w="1337" w:type="dxa"/>
          </w:tcPr>
          <w:p>
            <w:pPr/>
            <w:r>
              <w:t xml:space="preserve">2,9 %</w:t>
            </w:r>
          </w:p>
        </w:tc>
      </w:tr>
      <w:tr>
        <w:tc>
          <w:tcPr>
            <w:tcW w:w="1337" w:type="dxa"/>
          </w:tcPr>
          <w:p>
            <w:pPr/>
            <w:r>
              <w:t xml:space="preserve">Total</w:t>
            </w:r>
          </w:p>
        </w:tc>
        <w:tc>
          <w:tcPr>
            <w:tcW w:w="1337" w:type="dxa"/>
          </w:tcPr>
          <w:p>
            <w:pPr/>
            <w:r>
              <w:t xml:space="preserve">1.529,8</w:t>
            </w:r>
          </w:p>
        </w:tc>
        <w:tc>
          <w:tcPr>
            <w:tcW w:w="1337" w:type="dxa"/>
          </w:tcPr>
          <w:p>
            <w:pPr/>
            <w:r>
              <w:t xml:space="preserve">79,4</w:t>
            </w:r>
          </w:p>
        </w:tc>
        <w:tc>
          <w:tcPr>
            <w:tcW w:w="1337" w:type="dxa"/>
          </w:tcPr>
          <w:p>
            <w:pPr/>
          </w:p>
        </w:tc>
        <w:tc>
          <w:tcPr>
            <w:tcW w:w="1337" w:type="dxa"/>
          </w:tcPr>
          <w:p>
            <w:pPr/>
            <w:r>
              <w:t xml:space="preserve">+39,2</w:t>
            </w:r>
          </w:p>
        </w:tc>
        <w:tc>
          <w:tcPr>
            <w:tcW w:w="1337" w:type="dxa"/>
          </w:tcPr>
          <w:p>
            <w:pPr/>
            <w:r>
              <w:t xml:space="preserve">118,6</w:t>
            </w:r>
          </w:p>
        </w:tc>
        <w:tc>
          <w:tcPr>
            <w:tcW w:w="1337" w:type="dxa"/>
          </w:tcPr>
          <w:p>
            <w:pPr/>
            <w:r>
              <w:t xml:space="preserve">7,8 %</w:t>
            </w:r>
          </w:p>
        </w:tc>
      </w:tr>
    </w:tbl>
    <w:p>
      <w:pPr>
        <w:pStyle w:val="Heading3"/>
      </w:pPr>
      <w:r>
        <w:t xml:space="preserve">Paso 8. Rango de escenarios</w:t>
      </w:r>
    </w:p>
    <w:p>
      <w:pPr/>
      <w:r>
        <w:t xml:space="preserve">Para dar contexto, aplicamos el mismo escenario del BCE a los tres segmentos. El BCE explica en la página 40 que su escenario moderado replica los efectos del Niño de 1997-98, y el severo, las dificultades crediticias de la pandemia. Con el moderado en los tres, el adicional sería de 30,2 millones; con el severo, de 60,5 millones.</w:t>
      </w:r>
    </w:p>
    <w:p>
      <w:pPr/>
      <w:r>
        <w:t xml:space="preserve">En un escenario extremo, que es un supuesto nuestro donde toda la cartera expuesta se comporta como zona de riesgo alto, llegaría a 112 millones. Nuestro escenario asignado, de 39,2 millones, queda entre el moderado y el severo.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Escenario (pérdida adicional, USD MM)</w:t>
            </w:r>
          </w:p>
        </w:tc>
        <w:tc>
          <w:tcPr>
            <w:tcW w:w="1872" w:type="dxa"/>
            <w:shd w:val="clear" w:color="auto" w:fill="F2F2F2"/>
          </w:tcPr>
          <w:p>
            <w:pPr/>
            <w:r>
              <w:t xml:space="preserve">Microfinanzas</w:t>
            </w:r>
          </w:p>
        </w:tc>
        <w:tc>
          <w:tcPr>
            <w:tcW w:w="1872" w:type="dxa"/>
            <w:shd w:val="clear" w:color="auto" w:fill="F2F2F2"/>
          </w:tcPr>
          <w:p>
            <w:pPr/>
            <w:r>
              <w:t xml:space="preserve">PYMES</w:t>
            </w:r>
          </w:p>
        </w:tc>
        <w:tc>
          <w:tcPr>
            <w:tcW w:w="1872" w:type="dxa"/>
            <w:shd w:val="clear" w:color="auto" w:fill="F2F2F2"/>
          </w:tcPr>
          <w:p>
            <w:pPr/>
            <w:r>
              <w:t xml:space="preserve">Empresas</w:t>
            </w:r>
          </w:p>
        </w:tc>
        <w:tc>
          <w:tcPr>
            <w:tcW w:w="1872" w:type="dxa"/>
            <w:shd w:val="clear" w:color="auto" w:fill="F2F2F2"/>
          </w:tcPr>
          <w:p>
            <w:pPr/>
            <w:r>
              <w:t xml:space="preserve">Total</w:t>
            </w:r>
          </w:p>
        </w:tc>
      </w:tr>
      <w:tr>
        <w:tc>
          <w:tcPr>
            <w:tcW w:w="1872" w:type="dxa"/>
          </w:tcPr>
          <w:p>
            <w:pPr/>
            <w:r>
              <w:t xml:space="preserve">Asignado (láminas)</w:t>
            </w:r>
          </w:p>
        </w:tc>
        <w:tc>
          <w:tcPr>
            <w:tcW w:w="1872" w:type="dxa"/>
          </w:tcPr>
          <w:p>
            <w:pPr/>
            <w:r>
              <w:t xml:space="preserve">+25,6</w:t>
            </w:r>
          </w:p>
        </w:tc>
        <w:tc>
          <w:tcPr>
            <w:tcW w:w="1872" w:type="dxa"/>
          </w:tcPr>
          <w:p>
            <w:pPr/>
            <w:r>
              <w:t xml:space="preserve">+5,4</w:t>
            </w:r>
          </w:p>
        </w:tc>
        <w:tc>
          <w:tcPr>
            <w:tcW w:w="1872" w:type="dxa"/>
          </w:tcPr>
          <w:p>
            <w:pPr/>
            <w:r>
              <w:t xml:space="preserve">+8,2</w:t>
            </w:r>
          </w:p>
        </w:tc>
        <w:tc>
          <w:tcPr>
            <w:tcW w:w="1872" w:type="dxa"/>
          </w:tcPr>
          <w:p>
            <w:pPr/>
            <w:r>
              <w:t xml:space="preserve">+39,2</w:t>
            </w:r>
          </w:p>
        </w:tc>
      </w:tr>
      <w:tr>
        <w:tc>
          <w:tcPr>
            <w:tcW w:w="1872" w:type="dxa"/>
          </w:tcPr>
          <w:p>
            <w:pPr/>
            <w:r>
              <w:t xml:space="preserve">Moderado BCE (≈ Niño 1997-98, pág. 40)</w:t>
            </w:r>
          </w:p>
        </w:tc>
        <w:tc>
          <w:tcPr>
            <w:tcW w:w="1872" w:type="dxa"/>
          </w:tcPr>
          <w:p>
            <w:pPr/>
            <w:r>
              <w:t xml:space="preserve">+12,7</w:t>
            </w:r>
          </w:p>
        </w:tc>
        <w:tc>
          <w:tcPr>
            <w:tcW w:w="1872" w:type="dxa"/>
          </w:tcPr>
          <w:p>
            <w:pPr/>
            <w:r>
              <w:t xml:space="preserve">+5,4</w:t>
            </w:r>
          </w:p>
        </w:tc>
        <w:tc>
          <w:tcPr>
            <w:tcW w:w="1872" w:type="dxa"/>
          </w:tcPr>
          <w:p>
            <w:pPr/>
            <w:r>
              <w:t xml:space="preserve">+12,1</w:t>
            </w:r>
          </w:p>
        </w:tc>
        <w:tc>
          <w:tcPr>
            <w:tcW w:w="1872" w:type="dxa"/>
          </w:tcPr>
          <w:p>
            <w:pPr/>
            <w:r>
              <w:t xml:space="preserve">+30,2</w:t>
            </w:r>
          </w:p>
        </w:tc>
      </w:tr>
      <w:tr>
        <w:tc>
          <w:tcPr>
            <w:tcW w:w="1872" w:type="dxa"/>
          </w:tcPr>
          <w:p>
            <w:pPr/>
            <w:r>
              <w:t xml:space="preserve">Severo BCE (≈ COVID-19, pág. 40)</w:t>
            </w:r>
          </w:p>
        </w:tc>
        <w:tc>
          <w:tcPr>
            <w:tcW w:w="1872" w:type="dxa"/>
          </w:tcPr>
          <w:p>
            <w:pPr/>
            <w:r>
              <w:t xml:space="preserve">+25,6</w:t>
            </w:r>
          </w:p>
        </w:tc>
        <w:tc>
          <w:tcPr>
            <w:tcW w:w="1872" w:type="dxa"/>
          </w:tcPr>
          <w:p>
            <w:pPr/>
            <w:r>
              <w:t xml:space="preserve">+10,8</w:t>
            </w:r>
          </w:p>
        </w:tc>
        <w:tc>
          <w:tcPr>
            <w:tcW w:w="1872" w:type="dxa"/>
          </w:tcPr>
          <w:p>
            <w:pPr/>
            <w:r>
              <w:t xml:space="preserve">+24,1</w:t>
            </w:r>
          </w:p>
        </w:tc>
        <w:tc>
          <w:tcPr>
            <w:tcW w:w="1872" w:type="dxa"/>
          </w:tcPr>
          <w:p>
            <w:pPr/>
            <w:r>
              <w:t xml:space="preserve">+60,5</w:t>
            </w:r>
          </w:p>
        </w:tc>
      </w:tr>
      <w:tr>
        <w:tc>
          <w:tcPr>
            <w:tcW w:w="1872" w:type="dxa"/>
          </w:tcPr>
          <w:p>
            <w:pPr/>
            <w:r>
              <w:t xml:space="preserve">Extremo (supuesto propio)</w:t>
            </w:r>
          </w:p>
        </w:tc>
        <w:tc>
          <w:tcPr>
            <w:tcW w:w="1872" w:type="dxa"/>
          </w:tcPr>
          <w:p>
            <w:pPr/>
            <w:r>
              <w:t xml:space="preserve">+47,2</w:t>
            </w:r>
          </w:p>
        </w:tc>
        <w:tc>
          <w:tcPr>
            <w:tcW w:w="1872" w:type="dxa"/>
          </w:tcPr>
          <w:p>
            <w:pPr/>
            <w:r>
              <w:t xml:space="preserve">+20,0</w:t>
            </w:r>
          </w:p>
        </w:tc>
        <w:tc>
          <w:tcPr>
            <w:tcW w:w="1872" w:type="dxa"/>
          </w:tcPr>
          <w:p>
            <w:pPr/>
            <w:r>
              <w:t xml:space="preserve">+44,8</w:t>
            </w:r>
          </w:p>
        </w:tc>
        <w:tc>
          <w:tcPr>
            <w:tcW w:w="1872" w:type="dxa"/>
          </w:tcPr>
          <w:p>
            <w:pPr/>
            <w:r>
              <w:t xml:space="preserve">+112,0</w:t>
            </w:r>
          </w:p>
        </w:tc>
      </w:tr>
    </w:tbl>
    <w:p>
      <w:pPr>
        <w:pStyle w:val="Heading3"/>
      </w:pPr>
      <w:r>
        <w:t xml:space="preserve">Paso 9. Limitaciones, con lo que dicen los autores</w:t>
      </w:r>
    </w:p>
    <w:p>
      <w:pPr/>
      <w:r>
        <w:t xml:space="preserve">Mantener la severidad fija, como hace el BCE, tiende a subestimar la pérdida. Hu y Perraudin encuentran, en el resumen de la página 1, que las tasas de incumplimiento y de recuperación están correlacionadas negativamente. En la Tabla 5 de la página 22 esa correlación es de −0,22, y en la conclusión de la página 15 dicen que las recuperaciones tienden a ser bajas cuando los incumplimientos son altos. Moody's, en la página 8, atribuye las recuperaciones altas de 2006 a la buena economía y a los pocos incumplimientos.</w:t>
      </w:r>
    </w:p>
    <w:p>
      <w:pPr/>
      <w:r>
        <w:t xml:space="preserve">Para dimensionarlo: si la severidad de microfinanzas subiera de 70 % a 80 %, su pérdida pasaría de 15,5 % a 17,7 %, unos 10 millones más. Otras dos limitaciones: usamos la mezcla de zonas del sistema y no la nuestra, y suponemos que la pérdida incurrida de agosto es igual a la de julio.</w:t>
      </w:r>
    </w:p>
    <w:p>
      <w:pPr>
        <w:pStyle w:val="Code"/>
      </w:pPr>
      <w:bookmarkStart w:id="8" w:name="bongo_lang_latex_8"/>
      <w:bookmarkEnd w:id="8"/>
      <w:r>
        <w:t xml:space="preserve">PD_{implícita} = \frac{9{,}8\%}{70\%} = 14{,}0\% \quad\Rightarrow\quad PD_{estrés} = 14{,}0\% + 8{,}1 = 22{,}1\% \quad\Rightarrow\quad 22{,}1\% \times 80\% = 17{,}7\%</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Severidad de micro</w:t>
            </w:r>
          </w:p>
        </w:tc>
        <w:tc>
          <w:tcPr>
            <w:tcW w:w="2340" w:type="dxa"/>
            <w:shd w:val="clear" w:color="auto" w:fill="F2F2F2"/>
          </w:tcPr>
          <w:p>
            <w:pPr/>
            <w:r>
              <w:t xml:space="preserve">PD en estrés</w:t>
            </w:r>
          </w:p>
        </w:tc>
        <w:tc>
          <w:tcPr>
            <w:tcW w:w="2340" w:type="dxa"/>
            <w:shd w:val="clear" w:color="auto" w:fill="F2F2F2"/>
          </w:tcPr>
          <w:p>
            <w:pPr/>
            <w:r>
              <w:t xml:space="preserve">Pérdida El Niño</w:t>
            </w:r>
          </w:p>
        </w:tc>
        <w:tc>
          <w:tcPr>
            <w:tcW w:w="2340" w:type="dxa"/>
            <w:shd w:val="clear" w:color="auto" w:fill="F2F2F2"/>
          </w:tcPr>
          <w:p>
            <w:pPr/>
            <w:r>
              <w:t xml:space="preserve">Diferencia</w:t>
            </w:r>
          </w:p>
        </w:tc>
      </w:tr>
      <w:tr>
        <w:tc>
          <w:tcPr>
            <w:tcW w:w="2340" w:type="dxa"/>
          </w:tcPr>
          <w:p>
            <w:pPr/>
            <w:r>
              <w:t xml:space="preserve">70 % (BCE)</w:t>
            </w:r>
          </w:p>
        </w:tc>
        <w:tc>
          <w:tcPr>
            <w:tcW w:w="2340" w:type="dxa"/>
          </w:tcPr>
          <w:p>
            <w:pPr/>
            <w:r>
              <w:t xml:space="preserve">22,1 %</w:t>
            </w:r>
          </w:p>
        </w:tc>
        <w:tc>
          <w:tcPr>
            <w:tcW w:w="2340" w:type="dxa"/>
          </w:tcPr>
          <w:p>
            <w:pPr/>
            <w:r>
              <w:t xml:space="preserve">15,5 % · 69,6 MM</w:t>
            </w:r>
          </w:p>
        </w:tc>
        <w:tc>
          <w:tcPr>
            <w:tcW w:w="2340" w:type="dxa"/>
          </w:tcPr>
          <w:p>
            <w:pPr/>
            <w:r>
              <w:t xml:space="preserve">—</w:t>
            </w:r>
          </w:p>
        </w:tc>
      </w:tr>
      <w:tr>
        <w:tc>
          <w:tcPr>
            <w:tcW w:w="2340" w:type="dxa"/>
          </w:tcPr>
          <w:p>
            <w:pPr/>
            <w:r>
              <w:t xml:space="preserve">80 % (sensibilidad)</w:t>
            </w:r>
          </w:p>
        </w:tc>
        <w:tc>
          <w:tcPr>
            <w:tcW w:w="2340" w:type="dxa"/>
          </w:tcPr>
          <w:p>
            <w:pPr/>
            <w:r>
              <w:t xml:space="preserve">22,1 %</w:t>
            </w:r>
          </w:p>
        </w:tc>
        <w:tc>
          <w:tcPr>
            <w:tcW w:w="2340" w:type="dxa"/>
          </w:tcPr>
          <w:p>
            <w:pPr/>
            <w:r>
              <w:t xml:space="preserve">17,7 % · 79,6 MM</w:t>
            </w:r>
          </w:p>
        </w:tc>
        <w:tc>
          <w:tcPr>
            <w:tcW w:w="2340" w:type="dxa"/>
          </w:tcPr>
          <w:p>
            <w:pPr/>
            <w:r>
              <w:t xml:space="preserve">+10,0 MM</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Autor</w:t>
            </w:r>
          </w:p>
        </w:tc>
        <w:tc>
          <w:tcPr>
            <w:tcW w:w="3120" w:type="dxa"/>
            <w:shd w:val="clear" w:color="auto" w:fill="F2F2F2"/>
          </w:tcPr>
          <w:p>
            <w:pPr/>
            <w:r>
              <w:t xml:space="preserve">Dónde</w:t>
            </w:r>
          </w:p>
        </w:tc>
        <w:tc>
          <w:tcPr>
            <w:tcW w:w="3120" w:type="dxa"/>
            <w:shd w:val="clear" w:color="auto" w:fill="F2F2F2"/>
          </w:tcPr>
          <w:p>
            <w:pPr/>
            <w:r>
              <w:t xml:space="preserve">Qué dice</w:t>
            </w:r>
          </w:p>
        </w:tc>
      </w:tr>
      <w:tr>
        <w:tc>
          <w:tcPr>
            <w:tcW w:w="3120" w:type="dxa"/>
          </w:tcPr>
          <w:p>
            <w:pPr/>
            <w:r>
              <w:t xml:space="preserve">Hu y Perraudin (2006)</w:t>
            </w:r>
          </w:p>
        </w:tc>
        <w:tc>
          <w:tcPr>
            <w:tcW w:w="3120" w:type="dxa"/>
          </w:tcPr>
          <w:p>
            <w:pPr/>
            <w:r>
              <w:t xml:space="preserve">Pág. 1, resumen</w:t>
            </w:r>
          </w:p>
        </w:tc>
        <w:tc>
          <w:tcPr>
            <w:tcW w:w="3120" w:type="dxa"/>
          </w:tcPr>
          <w:p>
            <w:pPr/>
            <w:r>
              <w:t xml:space="preserve">Incumplimiento y recuperación "are, in fact, negatively correlated"</w:t>
            </w:r>
          </w:p>
        </w:tc>
      </w:tr>
      <w:tr>
        <w:tc>
          <w:tcPr>
            <w:tcW w:w="3120" w:type="dxa"/>
          </w:tcPr>
          <w:p>
            <w:pPr/>
            <w:r>
              <w:t xml:space="preserve">Hu y Perraudin (2006)</w:t>
            </w:r>
          </w:p>
        </w:tc>
        <w:tc>
          <w:tcPr>
            <w:tcW w:w="3120" w:type="dxa"/>
          </w:tcPr>
          <w:p>
            <w:pPr/>
            <w:r>
              <w:t xml:space="preserve">Pág. 22, Tabla 5</w:t>
            </w:r>
          </w:p>
        </w:tc>
        <w:tc>
          <w:tcPr>
            <w:tcW w:w="3120" w:type="dxa"/>
          </w:tcPr>
          <w:p>
            <w:pPr/>
            <w:r>
              <w:t xml:space="preserve">Correlación de −0,22 desde 1982</w:t>
            </w:r>
          </w:p>
        </w:tc>
      </w:tr>
      <w:tr>
        <w:tc>
          <w:tcPr>
            <w:tcW w:w="3120" w:type="dxa"/>
          </w:tcPr>
          <w:p>
            <w:pPr/>
            <w:r>
              <w:t xml:space="preserve">Hu y Perraudin (2006)</w:t>
            </w:r>
          </w:p>
        </w:tc>
        <w:tc>
          <w:tcPr>
            <w:tcW w:w="3120" w:type="dxa"/>
          </w:tcPr>
          <w:p>
            <w:pPr/>
            <w:r>
              <w:t xml:space="preserve">Pág. 15, conclusión</w:t>
            </w:r>
          </w:p>
        </w:tc>
        <w:tc>
          <w:tcPr>
            <w:tcW w:w="3120" w:type="dxa"/>
          </w:tcPr>
          <w:p>
            <w:pPr/>
            <w:r>
              <w:t xml:space="preserve">"recoveries tend to be low when default rates are high"</w:t>
            </w:r>
          </w:p>
        </w:tc>
      </w:tr>
      <w:tr>
        <w:tc>
          <w:tcPr>
            <w:tcW w:w="3120" w:type="dxa"/>
          </w:tcPr>
          <w:p>
            <w:pPr/>
            <w:r>
              <w:t xml:space="preserve">Moody's (2007)</w:t>
            </w:r>
          </w:p>
        </w:tc>
        <w:tc>
          <w:tcPr>
            <w:tcW w:w="3120" w:type="dxa"/>
          </w:tcPr>
          <w:p>
            <w:pPr/>
            <w:r>
              <w:t xml:space="preserve">Pág. 8, último párrafo</w:t>
            </w:r>
          </w:p>
        </w:tc>
        <w:tc>
          <w:tcPr>
            <w:tcW w:w="3120" w:type="dxa"/>
          </w:tcPr>
          <w:p>
            <w:pPr/>
            <w:r>
              <w:t xml:space="preserve">Recuperaciones altas por buena economía y pocos incumplimientos</w:t>
            </w:r>
          </w:p>
        </w:tc>
      </w:tr>
    </w:tbl>
    <w:p>
      <w:pPr>
        <w:pStyle w:val="Heading3"/>
      </w:pPr>
      <w:r>
        <w:t xml:space="preserve">Paso 10. Cierre</w:t>
      </w:r>
    </w:p>
    <w:p>
      <w:pPr/>
      <w:r>
        <w:t xml:space="preserve">El evento que modeló el BCE en 2024 terminó con un impacto "bajo", según la página 57; el actual ya supera los 2 °C. Por eso el escenario severo es la referencia razonable. El BCE estima además que un Niño fuerte restaría 1,4 puntos al crecimiento del PIB de 2027.</w:t>
      </w:r>
    </w:p>
    <w:p>
      <w:pPr/>
      <w:r>
        <w:t xml:space="preserve">Si la Junta de Política y Regulación Financiera activa diferimientos, la mora visible se retrasará, pero la pérdida no desaparece. Proponemos monitorear estas carteras cada mes por zona y actualizar los escenarios con cada boletín del ERFEN.</w:t>
      </w:r>
    </w:p>
    <w:p>
      <w:pPr>
        <w:pStyle w:val="Heading2"/>
      </w:pPr>
      <w:r>
        <w:t xml:space="preserve">2. Fórmulas y cálculo paso a paso</w:t>
      </w:r>
    </w:p>
    <w:p>
      <w:pPr/>
      <w:r>
        <w:t xml:space="preserve">Cinco fórmulas producen todos los números de las láminas. La central es:</w:t>
      </w:r>
    </w:p>
    <w:p>
      <w:pPr>
        <w:pStyle w:val="Code"/>
      </w:pPr>
      <w:bookmarkStart w:id="9" w:name="bongo_lang_latex_9"/>
      <w:bookmarkEnd w:id="9"/>
      <w:r>
        <w:t xml:space="preserve">\text{Pérdida El Niño} = \underbrace{\text{Saldo} \times PI_{actual}}_{\text{pérdida actual}} + \underbrace{\text{Saldo} \times \Delta PD \times LGD}_{\text{pérdida adicional}}</w:t>
      </w:r>
    </w:p>
    <w:p>
      <w:pPr/>
      <w:r>
        <w:t xml:space="preserve">Se justifica porque la tasa de pérdida es PD × LGD. Si la PD sube en ΔPD con la LGD fija:</w:t>
      </w:r>
    </w:p>
    <w:p>
      <w:pPr>
        <w:pStyle w:val="Code"/>
      </w:pPr>
      <w:bookmarkStart w:id="10" w:name="bongo_lang_latex_10"/>
      <w:bookmarkEnd w:id="10"/>
      <w:r>
        <w:t xml:space="preserve">(PD + \Delta PD) \times LGD = PD \times LGD + \Delta PD \times LGD = PI_{actual} + \Delta PD \times LGD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Fórmula</w:t>
            </w:r>
          </w:p>
        </w:tc>
        <w:tc>
          <w:tcPr>
            <w:tcW w:w="3120" w:type="dxa"/>
            <w:shd w:val="clear" w:color="auto" w:fill="F2F2F2"/>
          </w:tcPr>
          <w:p>
            <w:pPr/>
            <w:r>
              <w:t xml:space="preserve">Fuente</w:t>
            </w:r>
          </w:p>
        </w:tc>
      </w:tr>
      <w:tr>
        <w:tc>
          <w:tcPr>
            <w:tcW w:w="3120" w:type="dxa"/>
          </w:tcPr>
          <w:p>
            <w:pPr/>
            <w:r>
              <w:t xml:space="preserve">F1</w:t>
            </w:r>
          </w:p>
        </w:tc>
        <w:tc>
          <w:tcPr>
            <w:tcW w:w="3120" w:type="dxa"/>
          </w:tcPr>
          <w:p>
            <w:pPr/>
            <w:r>
              <w:t xml:space="preserve">Pérdida actual = Saldo expuesto × PI actual</w:t>
            </w:r>
          </w:p>
        </w:tc>
        <w:tc>
          <w:tcPr>
            <w:tcW w:w="3120" w:type="dxa"/>
          </w:tcPr>
          <w:p>
            <w:pPr/>
            <w:r>
              <w:t xml:space="preserve">Datos internos (láminas)</w:t>
            </w:r>
          </w:p>
        </w:tc>
      </w:tr>
      <w:tr>
        <w:tc>
          <w:tcPr>
            <w:tcW w:w="3120" w:type="dxa"/>
          </w:tcPr>
          <w:p>
            <w:pPr/>
            <w:r>
              <w:t xml:space="preserve">F2</w:t>
            </w:r>
          </w:p>
        </w:tc>
        <w:tc>
          <w:tcPr>
            <w:tcW w:w="3120" w:type="dxa"/>
          </w:tcPr>
          <w:p>
            <w:pPr/>
            <w:r>
              <w:t xml:space="preserve">ΔPD = 18,6 % × shock Alto + 24,0 % × shock Medio + 57,4 % × shock Bajo</w:t>
            </w:r>
          </w:p>
        </w:tc>
        <w:tc>
          <w:tcPr>
            <w:tcW w:w="3120" w:type="dxa"/>
          </w:tcPr>
          <w:p>
            <w:pPr/>
            <w:r>
              <w:t xml:space="preserve">Shocks: BCE pág. 39, Tabla 9. Pesos: BCE pág. 23</w:t>
            </w:r>
          </w:p>
        </w:tc>
      </w:tr>
      <w:tr>
        <w:tc>
          <w:tcPr>
            <w:tcW w:w="3120" w:type="dxa"/>
          </w:tcPr>
          <w:p>
            <w:pPr/>
            <w:r>
              <w:t xml:space="preserve">F3</w:t>
            </w:r>
          </w:p>
        </w:tc>
        <w:tc>
          <w:tcPr>
            <w:tcW w:w="3120" w:type="dxa"/>
          </w:tcPr>
          <w:p>
            <w:pPr/>
            <w:r>
              <w:t xml:space="preserve">Pérdida adicional = Saldo expuesto × ΔPD × LGD</w:t>
            </w:r>
          </w:p>
        </w:tc>
        <w:tc>
          <w:tcPr>
            <w:tcW w:w="3120" w:type="dxa"/>
          </w:tcPr>
          <w:p>
            <w:pPr/>
            <w:r>
              <w:t xml:space="preserve">Fórmula: BCE págs. 35-36. LGD: BCE pág. 37</w:t>
            </w:r>
          </w:p>
        </w:tc>
      </w:tr>
      <w:tr>
        <w:tc>
          <w:tcPr>
            <w:tcW w:w="3120" w:type="dxa"/>
          </w:tcPr>
          <w:p>
            <w:pPr/>
            <w:r>
              <w:t xml:space="preserve">F4</w:t>
            </w:r>
          </w:p>
        </w:tc>
        <w:tc>
          <w:tcPr>
            <w:tcW w:w="3120" w:type="dxa"/>
          </w:tcPr>
          <w:p>
            <w:pPr/>
            <w:r>
              <w:t xml:space="preserve">Pérdida El Niño = Pérdida actual + Pérdida adicional</w:t>
            </w:r>
          </w:p>
        </w:tc>
        <w:tc>
          <w:tcPr>
            <w:tcW w:w="3120" w:type="dxa"/>
          </w:tcPr>
          <w:p>
            <w:pPr/>
            <w:r>
              <w:t xml:space="preserve">Suma de F1 y F3</w:t>
            </w:r>
          </w:p>
        </w:tc>
      </w:tr>
      <w:tr>
        <w:tc>
          <w:tcPr>
            <w:tcW w:w="3120" w:type="dxa"/>
          </w:tcPr>
          <w:p>
            <w:pPr/>
            <w:r>
              <w:t xml:space="preserve">F5</w:t>
            </w:r>
          </w:p>
        </w:tc>
        <w:tc>
          <w:tcPr>
            <w:tcW w:w="3120" w:type="dxa"/>
          </w:tcPr>
          <w:p>
            <w:pPr/>
            <w:r>
              <w:t xml:space="preserve">PI El Niño = PI actual × factor (solo Empresas)</w:t>
            </w:r>
          </w:p>
        </w:tc>
        <w:tc>
          <w:tcPr>
            <w:tcW w:w="3120" w:type="dxa"/>
          </w:tcPr>
          <w:p>
            <w:pPr/>
            <w:r>
              <w:t xml:space="preserve">Factor: BCE pág. 49, Tabla 15</w:t>
            </w:r>
          </w:p>
        </w:tc>
      </w:tr>
    </w:tbl>
    <w:p>
      <w:pPr/>
      <w:r>
        <w:rPr>
          <w:b/>
        </w:rPr>
        <w:t xml:space="preserve">Cálculo por segmento.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Paso</w:t>
            </w:r>
          </w:p>
        </w:tc>
        <w:tc>
          <w:tcPr>
            <w:tcW w:w="2340" w:type="dxa"/>
            <w:shd w:val="clear" w:color="auto" w:fill="F2F2F2"/>
          </w:tcPr>
          <w:p>
            <w:pPr/>
            <w:r>
              <w:t xml:space="preserve">Microfinanzas</w:t>
            </w:r>
          </w:p>
        </w:tc>
        <w:tc>
          <w:tcPr>
            <w:tcW w:w="2340" w:type="dxa"/>
            <w:shd w:val="clear" w:color="auto" w:fill="F2F2F2"/>
          </w:tcPr>
          <w:p>
            <w:pPr/>
            <w:r>
              <w:t xml:space="preserve">PYMES</w:t>
            </w:r>
          </w:p>
        </w:tc>
        <w:tc>
          <w:tcPr>
            <w:tcW w:w="2340" w:type="dxa"/>
            <w:shd w:val="clear" w:color="auto" w:fill="F2F2F2"/>
          </w:tcPr>
          <w:p>
            <w:pPr/>
            <w:r>
              <w:t xml:space="preserve">Empresas</w:t>
            </w:r>
          </w:p>
        </w:tc>
      </w:tr>
      <w:tr>
        <w:tc>
          <w:tcPr>
            <w:tcW w:w="2340" w:type="dxa"/>
          </w:tcPr>
          <w:p>
            <w:pPr/>
            <w:r>
              <w:t xml:space="preserve">Saldo expuesto (USD MM)</w:t>
            </w:r>
          </w:p>
        </w:tc>
        <w:tc>
          <w:tcPr>
            <w:tcW w:w="2340" w:type="dxa"/>
          </w:tcPr>
          <w:p>
            <w:pPr/>
            <w:r>
              <w:t xml:space="preserve">449,2</w:t>
            </w:r>
          </w:p>
        </w:tc>
        <w:tc>
          <w:tcPr>
            <w:tcW w:w="2340" w:type="dxa"/>
          </w:tcPr>
          <w:p>
            <w:pPr/>
            <w:r>
              <w:t xml:space="preserve">334,0</w:t>
            </w:r>
          </w:p>
        </w:tc>
        <w:tc>
          <w:tcPr>
            <w:tcW w:w="2340" w:type="dxa"/>
          </w:tcPr>
          <w:p>
            <w:pPr/>
            <w:r>
              <w:t xml:space="preserve">746,6</w:t>
            </w:r>
          </w:p>
        </w:tc>
      </w:tr>
      <w:tr>
        <w:tc>
          <w:tcPr>
            <w:tcW w:w="2340" w:type="dxa"/>
          </w:tcPr>
          <w:p>
            <w:pPr/>
            <w:r>
              <w:t xml:space="preserve">PI actual</w:t>
            </w:r>
          </w:p>
        </w:tc>
        <w:tc>
          <w:tcPr>
            <w:tcW w:w="2340" w:type="dxa"/>
          </w:tcPr>
          <w:p>
            <w:pPr/>
            <w:r>
              <w:t xml:space="preserve">9,8 %</w:t>
            </w:r>
          </w:p>
        </w:tc>
        <w:tc>
          <w:tcPr>
            <w:tcW w:w="2340" w:type="dxa"/>
          </w:tcPr>
          <w:p>
            <w:pPr/>
            <w:r>
              <w:t xml:space="preserve">6,6 %</w:t>
            </w:r>
          </w:p>
        </w:tc>
        <w:tc>
          <w:tcPr>
            <w:tcW w:w="2340" w:type="dxa"/>
          </w:tcPr>
          <w:p>
            <w:pPr/>
            <w:r>
              <w:t xml:space="preserve">1,8 %</w:t>
            </w:r>
          </w:p>
        </w:tc>
      </w:tr>
      <w:tr>
        <w:tc>
          <w:tcPr>
            <w:tcW w:w="2340" w:type="dxa"/>
          </w:tcPr>
          <w:p>
            <w:pPr/>
            <w:r>
              <w:t xml:space="preserve">F1: Pérdida actual (USD MM)</w:t>
            </w:r>
          </w:p>
        </w:tc>
        <w:tc>
          <w:tcPr>
            <w:tcW w:w="2340" w:type="dxa"/>
          </w:tcPr>
          <w:p>
            <w:pPr/>
            <w:r>
              <w:t xml:space="preserve">44,0</w:t>
            </w:r>
          </w:p>
        </w:tc>
        <w:tc>
          <w:tcPr>
            <w:tcW w:w="2340" w:type="dxa"/>
          </w:tcPr>
          <w:p>
            <w:pPr/>
            <w:r>
              <w:t xml:space="preserve">22,0</w:t>
            </w:r>
          </w:p>
        </w:tc>
        <w:tc>
          <w:tcPr>
            <w:tcW w:w="2340" w:type="dxa"/>
          </w:tcPr>
          <w:p>
            <w:pPr/>
            <w:r>
              <w:t xml:space="preserve">13,4</w:t>
            </w:r>
          </w:p>
        </w:tc>
      </w:tr>
      <w:tr>
        <w:tc>
          <w:tcPr>
            <w:tcW w:w="2340" w:type="dxa"/>
          </w:tcPr>
          <w:p>
            <w:pPr/>
            <w:r>
              <w:t xml:space="preserve">Escenario aplicado</w:t>
            </w:r>
          </w:p>
        </w:tc>
        <w:tc>
          <w:tcPr>
            <w:tcW w:w="2340" w:type="dxa"/>
          </w:tcPr>
          <w:p>
            <w:pPr/>
            <w:r>
              <w:t xml:space="preserve">Severo BCE</w:t>
            </w:r>
          </w:p>
        </w:tc>
        <w:tc>
          <w:tcPr>
            <w:tcW w:w="2340" w:type="dxa"/>
          </w:tcPr>
          <w:p>
            <w:pPr/>
            <w:r>
              <w:t xml:space="preserve">Moderado BCE</w:t>
            </w:r>
          </w:p>
        </w:tc>
        <w:tc>
          <w:tcPr>
            <w:tcW w:w="2340" w:type="dxa"/>
          </w:tcPr>
          <w:p>
            <w:pPr/>
            <w:r>
              <w:t xml:space="preserve">Factor severo BCE</w:t>
            </w:r>
          </w:p>
        </w:tc>
      </w:tr>
      <w:tr>
        <w:tc>
          <w:tcPr>
            <w:tcW w:w="2340" w:type="dxa"/>
          </w:tcPr>
          <w:p>
            <w:pPr/>
            <w:r>
              <w:t xml:space="preserve">F2: ΔPD ponderado</w:t>
            </w:r>
          </w:p>
        </w:tc>
        <w:tc>
          <w:tcPr>
            <w:tcW w:w="2340" w:type="dxa"/>
          </w:tcPr>
          <w:p>
            <w:pPr/>
            <w:r>
              <w:t xml:space="preserve">8,06 pp</w:t>
            </w:r>
          </w:p>
        </w:tc>
        <w:tc>
          <w:tcPr>
            <w:tcW w:w="2340" w:type="dxa"/>
          </w:tcPr>
          <w:p>
            <w:pPr/>
            <w:r>
              <w:t xml:space="preserve">4,04 pp</w:t>
            </w:r>
          </w:p>
        </w:tc>
        <w:tc>
          <w:tcPr>
            <w:tcW w:w="2340" w:type="dxa"/>
          </w:tcPr>
          <w:p>
            <w:pPr/>
            <w:r>
              <w:t xml:space="preserve">—</w:t>
            </w:r>
          </w:p>
        </w:tc>
      </w:tr>
      <w:tr>
        <w:tc>
          <w:tcPr>
            <w:tcW w:w="2340" w:type="dxa"/>
          </w:tcPr>
          <w:p>
            <w:pPr/>
            <w:r>
              <w:t xml:space="preserve">LGD (BCE)</w:t>
            </w:r>
          </w:p>
        </w:tc>
        <w:tc>
          <w:tcPr>
            <w:tcW w:w="2340" w:type="dxa"/>
          </w:tcPr>
          <w:p>
            <w:pPr/>
            <w:r>
              <w:t xml:space="preserve">70 %</w:t>
            </w:r>
          </w:p>
        </w:tc>
        <w:tc>
          <w:tcPr>
            <w:tcW w:w="2340" w:type="dxa"/>
          </w:tcPr>
          <w:p>
            <w:pPr/>
            <w:r>
              <w:t xml:space="preserve">40 %</w:t>
            </w:r>
          </w:p>
        </w:tc>
        <w:tc>
          <w:tcPr>
            <w:tcW w:w="2340" w:type="dxa"/>
          </w:tcPr>
          <w:p>
            <w:pPr/>
            <w:r>
              <w:t xml:space="preserve">—</w:t>
            </w:r>
          </w:p>
        </w:tc>
      </w:tr>
      <w:tr>
        <w:tc>
          <w:tcPr>
            <w:tcW w:w="2340" w:type="dxa"/>
          </w:tcPr>
          <w:p>
            <w:pPr/>
            <w:r>
              <w:t xml:space="preserve">Aumento de la tasa de pérdida</w:t>
            </w:r>
          </w:p>
        </w:tc>
        <w:tc>
          <w:tcPr>
            <w:tcW w:w="2340" w:type="dxa"/>
          </w:tcPr>
          <w:p>
            <w:pPr/>
            <w:r>
              <w:t xml:space="preserve">5,7 pp (8,06 × 70 % = 5,64)</w:t>
            </w:r>
          </w:p>
        </w:tc>
        <w:tc>
          <w:tcPr>
            <w:tcW w:w="2340" w:type="dxa"/>
          </w:tcPr>
          <w:p>
            <w:pPr/>
            <w:r>
              <w:t xml:space="preserve">1,62 pp (4,04 × 40 %)</w:t>
            </w:r>
          </w:p>
        </w:tc>
        <w:tc>
          <w:tcPr>
            <w:tcW w:w="2340" w:type="dxa"/>
          </w:tcPr>
          <w:p>
            <w:pPr/>
            <w:r>
              <w:t xml:space="preserve">×1,6 (1,8 % → 2,9 %)</w:t>
            </w:r>
          </w:p>
        </w:tc>
      </w:tr>
      <w:tr>
        <w:tc>
          <w:tcPr>
            <w:tcW w:w="2340" w:type="dxa"/>
          </w:tcPr>
          <w:p>
            <w:pPr/>
            <w:r>
              <w:t xml:space="preserve">F3: Pérdida adicional (USD MM)</w:t>
            </w:r>
          </w:p>
        </w:tc>
        <w:tc>
          <w:tcPr>
            <w:tcW w:w="2340" w:type="dxa"/>
          </w:tcPr>
          <w:p>
            <w:pPr/>
            <w:r>
              <w:t xml:space="preserve">+25,6</w:t>
            </w:r>
          </w:p>
        </w:tc>
        <w:tc>
          <w:tcPr>
            <w:tcW w:w="2340" w:type="dxa"/>
          </w:tcPr>
          <w:p>
            <w:pPr/>
            <w:r>
              <w:t xml:space="preserve">+5,4</w:t>
            </w:r>
          </w:p>
        </w:tc>
        <w:tc>
          <w:tcPr>
            <w:tcW w:w="2340" w:type="dxa"/>
          </w:tcPr>
          <w:p>
            <w:pPr/>
            <w:r>
              <w:t xml:space="preserve">+8,2</w:t>
            </w:r>
          </w:p>
        </w:tc>
      </w:tr>
      <w:tr>
        <w:tc>
          <w:tcPr>
            <w:tcW w:w="2340" w:type="dxa"/>
          </w:tcPr>
          <w:p>
            <w:pPr/>
            <w:r>
              <w:t xml:space="preserve">F4: Pérdida El Niño (USD MM)</w:t>
            </w:r>
          </w:p>
        </w:tc>
        <w:tc>
          <w:tcPr>
            <w:tcW w:w="2340" w:type="dxa"/>
          </w:tcPr>
          <w:p>
            <w:pPr/>
            <w:r>
              <w:t xml:space="preserve">69,6</w:t>
            </w:r>
          </w:p>
        </w:tc>
        <w:tc>
          <w:tcPr>
            <w:tcW w:w="2340" w:type="dxa"/>
          </w:tcPr>
          <w:p>
            <w:pPr/>
            <w:r>
              <w:t xml:space="preserve">27,4</w:t>
            </w:r>
          </w:p>
        </w:tc>
        <w:tc>
          <w:tcPr>
            <w:tcW w:w="2340" w:type="dxa"/>
          </w:tcPr>
          <w:p>
            <w:pPr/>
            <w:r>
              <w:t xml:space="preserve">21,6</w:t>
            </w:r>
          </w:p>
        </w:tc>
      </w:tr>
      <w:tr>
        <w:tc>
          <w:tcPr>
            <w:tcW w:w="2340" w:type="dxa"/>
          </w:tcPr>
          <w:p>
            <w:pPr/>
            <w:r>
              <w:t xml:space="preserve">PI El Niño</w:t>
            </w:r>
          </w:p>
        </w:tc>
        <w:tc>
          <w:tcPr>
            <w:tcW w:w="2340" w:type="dxa"/>
          </w:tcPr>
          <w:p>
            <w:pPr/>
            <w:r>
              <w:t xml:space="preserve">15,5 %</w:t>
            </w:r>
          </w:p>
        </w:tc>
        <w:tc>
          <w:tcPr>
            <w:tcW w:w="2340" w:type="dxa"/>
          </w:tcPr>
          <w:p>
            <w:pPr/>
            <w:r>
              <w:t xml:space="preserve">8,2 %</w:t>
            </w:r>
          </w:p>
        </w:tc>
        <w:tc>
          <w:tcPr>
            <w:tcW w:w="2340" w:type="dxa"/>
          </w:tcPr>
          <w:p>
            <w:pPr/>
            <w:r>
              <w:t xml:space="preserve">2,9 %</w:t>
            </w:r>
          </w:p>
        </w:tc>
      </w:tr>
    </w:tbl>
    <w:p>
      <w:pPr/>
      <w:r>
        <w:rPr>
          <w:b/>
        </w:rPr>
        <w:t xml:space="preserve">Detalle de los cálculos intermedios.</w:t>
      </w:r>
    </w:p>
    <w:p>
      <w:pPr>
        <w:pStyle w:val="ListParagraph"/>
        <w:numPr>
          <w:ilvl w:val="0"/>
          <w:numId w:val="2"/>
        </w:numPr>
      </w:pPr>
      <w:r>
        <w:t xml:space="preserve">ΔPD severo: 18,6 % × 15 + 24,0 % × 10 + 57,4 % × 5 = 2,79 + 2,40 + 2,87 = 8,06 pp.</w:t>
      </w:r>
    </w:p>
    <w:p>
      <w:pPr>
        <w:pStyle w:val="ListParagraph"/>
        <w:numPr>
          <w:ilvl w:val="0"/>
          <w:numId w:val="2"/>
        </w:numPr>
      </w:pPr>
      <w:r>
        <w:t xml:space="preserve">ΔPD moderado: 18,6 % × 6 + 24,0 % × 5 + 57,4 % × 3 = 1,12 + 1,20 + 1,72 = 4,04 pp.</w:t>
      </w:r>
    </w:p>
    <w:p>
      <w:pPr>
        <w:pStyle w:val="ListParagraph"/>
        <w:numPr>
          <w:ilvl w:val="0"/>
          <w:numId w:val="2"/>
        </w:numPr>
      </w:pPr>
      <w:r>
        <w:t xml:space="preserve">Pesos por zona: 3.830 / 20.574 = 18,6 %; 4.940 / 20.574 = 24,0 %; 11.804 / 20.574 = 57,4 % (BCE pág. 23).</w:t>
      </w:r>
    </w:p>
    <w:p>
      <w:pPr>
        <w:pStyle w:val="ListParagraph"/>
        <w:numPr>
          <w:ilvl w:val="0"/>
          <w:numId w:val="2"/>
        </w:numPr>
      </w:pPr>
      <w:r>
        <w:t xml:space="preserve">Factor de Empresas: 1.230 / 791 = 1,555, redondeado a 1,6 (BCE pág. 49). Sin redondear daría 2,8 % y +7,5 MM.</w:t>
      </w:r>
    </w:p>
    <w:p>
      <w:pPr>
        <w:pStyle w:val="ListParagraph"/>
        <w:numPr>
          <w:ilvl w:val="0"/>
          <w:numId w:val="2"/>
        </w:numPr>
      </w:pPr>
      <w:r>
        <w:t xml:space="preserve">Micro: la lámina usa 5,7 pp, calibrado en el cálculo original de julio. Con los 5,64 pp exactos daría 15,4 % y +25,3 MM.</w:t>
      </w:r>
    </w:p>
    <w:p>
      <w:pPr>
        <w:pStyle w:val="Heading2"/>
      </w:pPr>
      <w:r>
        <w:t xml:space="preserve">3. Resultados y rango</w:t>
      </w:r>
    </w:p>
    <w:p>
      <w:pPr/>
      <w:r>
        <w:t xml:space="preserve">El escenario asignado suma +39,2 MM, entre el moderado (+30,2 MM) y el severo (+60,5 MM) del BCE aplicados por igual a los tres segmentos.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Escenario (pérdida adicional, USD MM)</w:t>
            </w:r>
          </w:p>
        </w:tc>
        <w:tc>
          <w:tcPr>
            <w:tcW w:w="1872" w:type="dxa"/>
            <w:shd w:val="clear" w:color="auto" w:fill="F2F2F2"/>
          </w:tcPr>
          <w:p>
            <w:pPr/>
            <w:r>
              <w:t xml:space="preserve">Microfinanzas</w:t>
            </w:r>
          </w:p>
        </w:tc>
        <w:tc>
          <w:tcPr>
            <w:tcW w:w="1872" w:type="dxa"/>
            <w:shd w:val="clear" w:color="auto" w:fill="F2F2F2"/>
          </w:tcPr>
          <w:p>
            <w:pPr/>
            <w:r>
              <w:t xml:space="preserve">PYMES</w:t>
            </w:r>
          </w:p>
        </w:tc>
        <w:tc>
          <w:tcPr>
            <w:tcW w:w="1872" w:type="dxa"/>
            <w:shd w:val="clear" w:color="auto" w:fill="F2F2F2"/>
          </w:tcPr>
          <w:p>
            <w:pPr/>
            <w:r>
              <w:t xml:space="preserve">Empresas</w:t>
            </w:r>
          </w:p>
        </w:tc>
        <w:tc>
          <w:tcPr>
            <w:tcW w:w="1872" w:type="dxa"/>
            <w:shd w:val="clear" w:color="auto" w:fill="F2F2F2"/>
          </w:tcPr>
          <w:p>
            <w:pPr/>
            <w:r>
              <w:t xml:space="preserve">Total</w:t>
            </w:r>
          </w:p>
        </w:tc>
      </w:tr>
      <w:tr>
        <w:tc>
          <w:tcPr>
            <w:tcW w:w="1872" w:type="dxa"/>
          </w:tcPr>
          <w:p>
            <w:pPr/>
            <w:r>
              <w:t xml:space="preserve">Asignado (láminas)</w:t>
            </w:r>
          </w:p>
        </w:tc>
        <w:tc>
          <w:tcPr>
            <w:tcW w:w="1872" w:type="dxa"/>
          </w:tcPr>
          <w:p>
            <w:pPr/>
            <w:r>
              <w:t xml:space="preserve">+25,6</w:t>
            </w:r>
          </w:p>
        </w:tc>
        <w:tc>
          <w:tcPr>
            <w:tcW w:w="1872" w:type="dxa"/>
          </w:tcPr>
          <w:p>
            <w:pPr/>
            <w:r>
              <w:t xml:space="preserve">+5,4</w:t>
            </w:r>
          </w:p>
        </w:tc>
        <w:tc>
          <w:tcPr>
            <w:tcW w:w="1872" w:type="dxa"/>
          </w:tcPr>
          <w:p>
            <w:pPr/>
            <w:r>
              <w:t xml:space="preserve">+8,2</w:t>
            </w:r>
          </w:p>
        </w:tc>
        <w:tc>
          <w:tcPr>
            <w:tcW w:w="1872" w:type="dxa"/>
          </w:tcPr>
          <w:p>
            <w:pPr/>
            <w:r>
              <w:t xml:space="preserve">+39,2</w:t>
            </w:r>
          </w:p>
        </w:tc>
      </w:tr>
      <w:tr>
        <w:tc>
          <w:tcPr>
            <w:tcW w:w="1872" w:type="dxa"/>
          </w:tcPr>
          <w:p>
            <w:pPr/>
            <w:r>
              <w:t xml:space="preserve">Moderado BCE, los tres segmentos</w:t>
            </w:r>
          </w:p>
        </w:tc>
        <w:tc>
          <w:tcPr>
            <w:tcW w:w="1872" w:type="dxa"/>
          </w:tcPr>
          <w:p>
            <w:pPr/>
            <w:r>
              <w:t xml:space="preserve">+12,7</w:t>
            </w:r>
          </w:p>
        </w:tc>
        <w:tc>
          <w:tcPr>
            <w:tcW w:w="1872" w:type="dxa"/>
          </w:tcPr>
          <w:p>
            <w:pPr/>
            <w:r>
              <w:t xml:space="preserve">+5,4</w:t>
            </w:r>
          </w:p>
        </w:tc>
        <w:tc>
          <w:tcPr>
            <w:tcW w:w="1872" w:type="dxa"/>
          </w:tcPr>
          <w:p>
            <w:pPr/>
            <w:r>
              <w:t xml:space="preserve">+12,1</w:t>
            </w:r>
          </w:p>
        </w:tc>
        <w:tc>
          <w:tcPr>
            <w:tcW w:w="1872" w:type="dxa"/>
          </w:tcPr>
          <w:p>
            <w:pPr/>
            <w:r>
              <w:t xml:space="preserve">+30,2</w:t>
            </w:r>
          </w:p>
        </w:tc>
      </w:tr>
      <w:tr>
        <w:tc>
          <w:tcPr>
            <w:tcW w:w="1872" w:type="dxa"/>
          </w:tcPr>
          <w:p>
            <w:pPr/>
            <w:r>
              <w:t xml:space="preserve">Severo BCE, los tres segmentos</w:t>
            </w:r>
          </w:p>
        </w:tc>
        <w:tc>
          <w:tcPr>
            <w:tcW w:w="1872" w:type="dxa"/>
          </w:tcPr>
          <w:p>
            <w:pPr/>
            <w:r>
              <w:t xml:space="preserve">+25,6</w:t>
            </w:r>
          </w:p>
        </w:tc>
        <w:tc>
          <w:tcPr>
            <w:tcW w:w="1872" w:type="dxa"/>
          </w:tcPr>
          <w:p>
            <w:pPr/>
            <w:r>
              <w:t xml:space="preserve">+10,8</w:t>
            </w:r>
          </w:p>
        </w:tc>
        <w:tc>
          <w:tcPr>
            <w:tcW w:w="1872" w:type="dxa"/>
          </w:tcPr>
          <w:p>
            <w:pPr/>
            <w:r>
              <w:t xml:space="preserve">+24,1</w:t>
            </w:r>
          </w:p>
        </w:tc>
        <w:tc>
          <w:tcPr>
            <w:tcW w:w="1872" w:type="dxa"/>
          </w:tcPr>
          <w:p>
            <w:pPr/>
            <w:r>
              <w:t xml:space="preserve">+60,5</w:t>
            </w:r>
          </w:p>
        </w:tc>
      </w:tr>
      <w:tr>
        <w:tc>
          <w:tcPr>
            <w:tcW w:w="1872" w:type="dxa"/>
          </w:tcPr>
          <w:p>
            <w:pPr/>
            <w:r>
              <w:t xml:space="preserve">Extremo (supuesto propio: toda la cartera como zona Alta)</w:t>
            </w:r>
          </w:p>
        </w:tc>
        <w:tc>
          <w:tcPr>
            <w:tcW w:w="1872" w:type="dxa"/>
          </w:tcPr>
          <w:p>
            <w:pPr/>
            <w:r>
              <w:t xml:space="preserve">+47,2</w:t>
            </w:r>
          </w:p>
        </w:tc>
        <w:tc>
          <w:tcPr>
            <w:tcW w:w="1872" w:type="dxa"/>
          </w:tcPr>
          <w:p>
            <w:pPr/>
            <w:r>
              <w:t xml:space="preserve">+20,0</w:t>
            </w:r>
          </w:p>
        </w:tc>
        <w:tc>
          <w:tcPr>
            <w:tcW w:w="1872" w:type="dxa"/>
          </w:tcPr>
          <w:p>
            <w:pPr/>
            <w:r>
              <w:t xml:space="preserve">+44,8</w:t>
            </w:r>
          </w:p>
        </w:tc>
        <w:tc>
          <w:tcPr>
            <w:tcW w:w="1872" w:type="dxa"/>
          </w:tcPr>
          <w:p>
            <w:pPr/>
            <w:r>
              <w:t xml:space="preserve">+112,0</w:t>
            </w:r>
          </w:p>
        </w:tc>
      </w:tr>
    </w:tbl>
    <w:p>
      <w:pPr/>
      <w:r>
        <w:rPr>
          <w:b/>
        </w:rPr>
        <w:t xml:space="preserve">Sensibilidad a la LGD (micro, escenario severo).</w:t>
      </w:r>
      <w:r>
        <w:t xml:space="preserve"> La PD implícita hoy es 9,8 % / 70 % = 14,0 %; en estrés sube a 22,1 %. Con LGD de 70 % la pérdida es 15,5 % (69,6 MM); con LGD de 80 % sería 17,7 % (79,6 MM), unos 10 MM más.</w:t>
      </w:r>
    </w:p>
    <w:p>
      <w:pPr/>
      <w:r>
        <w:t xml:space="preserve">Supuestos: la PI actual de agosto es igual a la de julio, la mezcla de zonas es la del sistema y las LGD son las del BCE. El salto de exposición de julio a agosto (+24 % en micro, +19 % en PYMES) apunta a un cambio en la definición de la zona, que conviene confirmar.</w:t>
      </w:r>
    </w:p>
    <w:p>
      <w:pPr>
        <w:pStyle w:val="Heading2"/>
      </w:pPr>
      <w:r>
        <w:t xml:space="preserve">4. Qué dicen las fuentes</w:t>
      </w:r>
    </w:p>
    <w:p>
      <w:pPr/>
      <w:r>
        <w:t xml:space="preserve">El BCE da la fórmula y los parámetros; Moody's y Hu y Perraudin respaldan que tasa de pérdida = tasa de incumplimiento × LGD.</w:t>
      </w:r>
    </w:p>
    <w:p>
      <w:pPr/>
      <w:r>
        <w:rPr>
          <w:b/>
        </w:rPr>
        <w:t xml:space="preserve">BCE, Apuntes de Economía No. 75 (abril 2024).</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Ubicación</w:t>
            </w:r>
          </w:p>
        </w:tc>
        <w:tc>
          <w:tcPr>
            <w:tcW w:w="3120" w:type="dxa"/>
            <w:shd w:val="clear" w:color="auto" w:fill="F2F2F2"/>
          </w:tcPr>
          <w:p>
            <w:pPr/>
            <w:r>
              <w:t xml:space="preserve">Qué dice</w:t>
            </w:r>
          </w:p>
        </w:tc>
        <w:tc>
          <w:tcPr>
            <w:tcW w:w="3120" w:type="dxa"/>
            <w:shd w:val="clear" w:color="auto" w:fill="F2F2F2"/>
          </w:tcPr>
          <w:p>
            <w:pPr/>
            <w:r>
              <w:t xml:space="preserve">Para qué lo usamos</w:t>
            </w:r>
          </w:p>
        </w:tc>
      </w:tr>
      <w:tr>
        <w:tc>
          <w:tcPr>
            <w:tcW w:w="3120" w:type="dxa"/>
          </w:tcPr>
          <w:p>
            <w:pPr/>
            <w:r>
              <w:t xml:space="preserve">Págs. 35-36, sección 3.3</w:t>
            </w:r>
          </w:p>
        </w:tc>
        <w:tc>
          <w:tcPr>
            <w:tcW w:w="3120" w:type="dxa"/>
          </w:tcPr>
          <w:p>
            <w:pPr/>
            <w:r>
              <w:t xml:space="preserve">Usa la pérdida esperada "establecido por las mejores prácticas internacionales de Basilea III": PE = PD × EAD × LGD</w:t>
            </w:r>
          </w:p>
        </w:tc>
        <w:tc>
          <w:tcPr>
            <w:tcW w:w="3120" w:type="dxa"/>
          </w:tcPr>
          <w:p>
            <w:pPr/>
            <w:r>
              <w:t xml:space="preserve">Fórmula base</w:t>
            </w:r>
          </w:p>
        </w:tc>
      </w:tr>
      <w:tr>
        <w:tc>
          <w:tcPr>
            <w:tcW w:w="3120" w:type="dxa"/>
          </w:tcPr>
          <w:p>
            <w:pPr/>
            <w:r>
              <w:t xml:space="preserve">Pág. 37, primer párrafo</w:t>
            </w:r>
          </w:p>
        </w:tc>
        <w:tc>
          <w:tcPr>
            <w:tcW w:w="3120" w:type="dxa"/>
          </w:tcPr>
          <w:p>
            <w:pPr/>
            <w:r>
              <w:t xml:space="preserve">"se atribuyó que el LGD para microcrédito, consumo y productivo sean 70, 60 y 40 %, respectivamente"</w:t>
            </w:r>
          </w:p>
        </w:tc>
        <w:tc>
          <w:tcPr>
            <w:tcW w:w="3120" w:type="dxa"/>
          </w:tcPr>
          <w:p>
            <w:pPr/>
            <w:r>
              <w:t xml:space="preserve">LGD</w:t>
            </w:r>
          </w:p>
        </w:tc>
      </w:tr>
      <w:tr>
        <w:tc>
          <w:tcPr>
            <w:tcW w:w="3120" w:type="dxa"/>
          </w:tcPr>
          <w:p>
            <w:pPr/>
            <w:r>
              <w:t xml:space="preserve">Pág. 39, Tabla 9</w:t>
            </w:r>
          </w:p>
        </w:tc>
        <w:tc>
          <w:tcPr>
            <w:tcW w:w="3120" w:type="dxa"/>
          </w:tcPr>
          <w:p>
            <w:pPr/>
            <w:r>
              <w:t xml:space="preserve">PD moderado: +6 / +5 / +3 pp; severo: +15 / +10 / +5 pp. LGD: "Se mantiene igual al escenario base"</w:t>
            </w:r>
          </w:p>
        </w:tc>
        <w:tc>
          <w:tcPr>
            <w:tcW w:w="3120" w:type="dxa"/>
          </w:tcPr>
          <w:p>
            <w:pPr/>
            <w:r>
              <w:t xml:space="preserve">Shocks de PD; la LGD queda fija</w:t>
            </w:r>
          </w:p>
        </w:tc>
      </w:tr>
      <w:tr>
        <w:tc>
          <w:tcPr>
            <w:tcW w:w="3120" w:type="dxa"/>
          </w:tcPr>
          <w:p>
            <w:pPr/>
            <w:r>
              <w:t xml:space="preserve">Pág. 39, párrafo bajo la tabla</w:t>
            </w:r>
          </w:p>
        </w:tc>
        <w:tc>
          <w:tcPr>
            <w:tcW w:w="3120" w:type="dxa"/>
          </w:tcPr>
          <w:p>
            <w:pPr/>
            <w:r>
              <w:t xml:space="preserve">El aumento se aplica "exclusivamente en las parroquias en riesgo"</w:t>
            </w:r>
          </w:p>
        </w:tc>
        <w:tc>
          <w:tcPr>
            <w:tcW w:w="3120" w:type="dxa"/>
          </w:tcPr>
          <w:p>
            <w:pPr/>
            <w:r>
              <w:t xml:space="preserve">Solo la cartera expuesta</w:t>
            </w:r>
          </w:p>
        </w:tc>
      </w:tr>
      <w:tr>
        <w:tc>
          <w:tcPr>
            <w:tcW w:w="3120" w:type="dxa"/>
          </w:tcPr>
          <w:p>
            <w:pPr/>
            <w:r>
              <w:t xml:space="preserve">Pág. 23, sección 2.3</w:t>
            </w:r>
          </w:p>
        </w:tc>
        <w:tc>
          <w:tcPr>
            <w:tcW w:w="3120" w:type="dxa"/>
          </w:tcPr>
          <w:p>
            <w:pPr/>
            <w:r>
              <w:t xml:space="preserve">"USD 3.830 millones se localiza en zonas con riesgo alto, USD 4.940 millones con riesgo medio y USD 11.804 millones con riesgo bajo"</w:t>
            </w:r>
          </w:p>
        </w:tc>
        <w:tc>
          <w:tcPr>
            <w:tcW w:w="3120" w:type="dxa"/>
          </w:tcPr>
          <w:p>
            <w:pPr/>
            <w:r>
              <w:t xml:space="preserve">Pesos por zona</w:t>
            </w:r>
          </w:p>
        </w:tc>
      </w:tr>
      <w:tr>
        <w:tc>
          <w:tcPr>
            <w:tcW w:w="3120" w:type="dxa"/>
          </w:tcPr>
          <w:p>
            <w:pPr/>
            <w:r>
              <w:t xml:space="preserve">Pág. 40, primer párrafo</w:t>
            </w:r>
          </w:p>
        </w:tc>
        <w:tc>
          <w:tcPr>
            <w:tcW w:w="3120" w:type="dxa"/>
          </w:tcPr>
          <w:p>
            <w:pPr/>
            <w:r>
              <w:t xml:space="preserve">Moderado: "se replican los efectos del FEN de los años 1997-1998"; severo: "las dificultades crediticias mostradas en la pandemia de COVID-19"</w:t>
            </w:r>
          </w:p>
        </w:tc>
        <w:tc>
          <w:tcPr>
            <w:tcW w:w="3120" w:type="dxa"/>
          </w:tcPr>
          <w:p>
            <w:pPr/>
            <w:r>
              <w:t xml:space="preserve">Interpretación de escenarios</w:t>
            </w:r>
          </w:p>
        </w:tc>
      </w:tr>
      <w:tr>
        <w:tc>
          <w:tcPr>
            <w:tcW w:w="3120" w:type="dxa"/>
          </w:tcPr>
          <w:p>
            <w:pPr/>
            <w:r>
              <w:t xml:space="preserve">Pág. 49, Tabla 15</w:t>
            </w:r>
          </w:p>
        </w:tc>
        <w:tc>
          <w:tcPr>
            <w:tcW w:w="3120" w:type="dxa"/>
          </w:tcPr>
          <w:p>
            <w:pPr/>
            <w:r>
              <w:t xml:space="preserve">Bancos privados: 791 (base), 1.018 (moderado), 1.230 (severo)</w:t>
            </w:r>
          </w:p>
        </w:tc>
        <w:tc>
          <w:tcPr>
            <w:tcW w:w="3120" w:type="dxa"/>
          </w:tcPr>
          <w:p>
            <w:pPr/>
            <w:r>
              <w:t xml:space="preserve">Factor de Empresas</w:t>
            </w:r>
          </w:p>
        </w:tc>
      </w:tr>
      <w:tr>
        <w:tc>
          <w:tcPr>
            <w:tcW w:w="3120" w:type="dxa"/>
          </w:tcPr>
          <w:p>
            <w:pPr/>
            <w:r>
              <w:t xml:space="preserve">Pág. 11, segundo párrafo</w:t>
            </w:r>
          </w:p>
        </w:tc>
        <w:tc>
          <w:tcPr>
            <w:tcW w:w="3120" w:type="dxa"/>
          </w:tcPr>
          <w:p>
            <w:pPr/>
            <w:r>
              <w:t xml:space="preserve">"comprende 17 provincias, 143 cantones y 489 parroquias"</w:t>
            </w:r>
          </w:p>
        </w:tc>
        <w:tc>
          <w:tcPr>
            <w:tcW w:w="3120" w:type="dxa"/>
          </w:tcPr>
          <w:p>
            <w:pPr/>
            <w:r>
              <w:t xml:space="preserve">Zona de afectación</w:t>
            </w:r>
          </w:p>
        </w:tc>
      </w:tr>
      <w:tr>
        <w:tc>
          <w:tcPr>
            <w:tcW w:w="3120" w:type="dxa"/>
          </w:tcPr>
          <w:p>
            <w:pPr/>
            <w:r>
              <w:t xml:space="preserve">Pág. 8, nota al pie 3</w:t>
            </w:r>
          </w:p>
        </w:tc>
        <w:tc>
          <w:tcPr>
            <w:tcW w:w="3120" w:type="dxa"/>
          </w:tcPr>
          <w:p>
            <w:pPr/>
            <w:r>
              <w:t xml:space="preserve">"Mayor o igual a 2 °C, el evento se califica como 'muy fuerte'"</w:t>
            </w:r>
          </w:p>
        </w:tc>
        <w:tc>
          <w:tcPr>
            <w:tcW w:w="3120" w:type="dxa"/>
          </w:tcPr>
          <w:p>
            <w:pPr/>
            <w:r>
              <w:t xml:space="preserve">Intensidad del evento</w:t>
            </w:r>
          </w:p>
        </w:tc>
      </w:tr>
      <w:tr>
        <w:tc>
          <w:tcPr>
            <w:tcW w:w="3120" w:type="dxa"/>
          </w:tcPr>
          <w:p>
            <w:pPr/>
            <w:r>
              <w:t xml:space="preserve">Págs. 9-10</w:t>
            </w:r>
          </w:p>
        </w:tc>
        <w:tc>
          <w:tcPr>
            <w:tcW w:w="3120" w:type="dxa"/>
          </w:tcPr>
          <w:p>
            <w:pPr/>
            <w:r>
              <w:t xml:space="preserve">Daños de "alrededor del 2,7% del PIB"; morosidad de 7,3 % a 9,3 % en 1998</w:t>
            </w:r>
          </w:p>
        </w:tc>
        <w:tc>
          <w:tcPr>
            <w:tcW w:w="3120" w:type="dxa"/>
          </w:tcPr>
          <w:p>
            <w:pPr/>
            <w:r>
              <w:t xml:space="preserve">Referencia histórica</w:t>
            </w:r>
          </w:p>
        </w:tc>
      </w:tr>
      <w:tr>
        <w:tc>
          <w:tcPr>
            <w:tcW w:w="3120" w:type="dxa"/>
          </w:tcPr>
          <w:p>
            <w:pPr/>
            <w:r>
              <w:t xml:space="preserve">Pág. 31, segundo párrafo</w:t>
            </w:r>
          </w:p>
        </w:tc>
        <w:tc>
          <w:tcPr>
            <w:tcW w:w="3120" w:type="dxa"/>
          </w:tcPr>
          <w:p>
            <w:pPr/>
            <w:r>
              <w:t xml:space="preserve">El no pago "se haría efectivo inclusive en los meses posteriores a la culminación de los efectos climáticos"</w:t>
            </w:r>
          </w:p>
        </w:tc>
        <w:tc>
          <w:tcPr>
            <w:tcW w:w="3120" w:type="dxa"/>
          </w:tcPr>
          <w:p>
            <w:pPr/>
            <w:r>
              <w:t xml:space="preserve">Rezago del impacto</w:t>
            </w:r>
          </w:p>
        </w:tc>
      </w:tr>
      <w:tr>
        <w:tc>
          <w:tcPr>
            <w:tcW w:w="3120" w:type="dxa"/>
          </w:tcPr>
          <w:p>
            <w:pPr/>
            <w:r>
              <w:t xml:space="preserve">Pág. 57</w:t>
            </w:r>
          </w:p>
        </w:tc>
        <w:tc>
          <w:tcPr>
            <w:tcW w:w="3120" w:type="dxa"/>
          </w:tcPr>
          <w:p>
            <w:pPr/>
            <w:r>
              <w:t xml:space="preserve">La previsión de impacto del evento 2023-24 bajó de "moderado" a "bajo"</w:t>
            </w:r>
          </w:p>
        </w:tc>
        <w:tc>
          <w:tcPr>
            <w:tcW w:w="3120" w:type="dxa"/>
          </w:tcPr>
          <w:p>
            <w:pPr/>
            <w:r>
              <w:t xml:space="preserve">El evento que modeló el BCE fue débil</w:t>
            </w:r>
          </w:p>
        </w:tc>
      </w:tr>
    </w:tbl>
    <w:p>
      <w:pPr/>
      <w:r>
        <w:rPr>
          <w:b/>
        </w:rPr>
        <w:t xml:space="preserve">Moody's (2007), Corporate Default and Recovery Rates, 1920-2006.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Ubicación</w:t>
            </w:r>
          </w:p>
        </w:tc>
        <w:tc>
          <w:tcPr>
            <w:tcW w:w="3120" w:type="dxa"/>
            <w:shd w:val="clear" w:color="auto" w:fill="F2F2F2"/>
          </w:tcPr>
          <w:p>
            <w:pPr/>
            <w:r>
              <w:t xml:space="preserve">Qué dice</w:t>
            </w:r>
          </w:p>
        </w:tc>
        <w:tc>
          <w:tcPr>
            <w:tcW w:w="3120" w:type="dxa"/>
            <w:shd w:val="clear" w:color="auto" w:fill="F2F2F2"/>
          </w:tcPr>
          <w:p>
            <w:pPr/>
            <w:r>
              <w:t xml:space="preserve">Para qué lo usamos</w:t>
            </w:r>
          </w:p>
        </w:tc>
      </w:tr>
      <w:tr>
        <w:tc>
          <w:tcPr>
            <w:tcW w:w="3120" w:type="dxa"/>
          </w:tcPr>
          <w:p>
            <w:pPr/>
            <w:r>
              <w:t xml:space="preserve">Pág. 45, "Credit Loss Rate Calculations"</w:t>
            </w:r>
          </w:p>
        </w:tc>
        <w:tc>
          <w:tcPr>
            <w:tcW w:w="3120" w:type="dxa"/>
          </w:tcPr>
          <w:p>
            <w:pPr/>
            <w:r>
              <w:t xml:space="preserve">"Credit losses are therefore a function of both probability of default (PD) as well as the severity of default (LGD)." Fórmula: l(T) = D(T) × (1 − r(T)), que llama "expected credit loss rate"</w:t>
            </w:r>
          </w:p>
        </w:tc>
        <w:tc>
          <w:tcPr>
            <w:tcW w:w="3120" w:type="dxa"/>
          </w:tcPr>
          <w:p>
            <w:pPr/>
            <w:r>
              <w:t xml:space="preserve">Tasa de pérdida = tasa de incumplimiento × LGD</w:t>
            </w:r>
          </w:p>
        </w:tc>
      </w:tr>
      <w:tr>
        <w:tc>
          <w:tcPr>
            <w:tcW w:w="3120" w:type="dxa"/>
          </w:tcPr>
          <w:p>
            <w:pPr/>
            <w:r>
              <w:t xml:space="preserve">Pág. 9, primer párrafo</w:t>
            </w:r>
          </w:p>
        </w:tc>
        <w:tc>
          <w:tcPr>
            <w:tcW w:w="3120" w:type="dxa"/>
          </w:tcPr>
          <w:p>
            <w:pPr/>
            <w:r>
              <w:t xml:space="preserve">Repite que las pérdidas dependen de la PD y de la severidad; Exhibit 8 muestra tasas de pérdida por rating</w:t>
            </w:r>
          </w:p>
        </w:tc>
        <w:tc>
          <w:tcPr>
            <w:tcW w:w="3120" w:type="dxa"/>
          </w:tcPr>
          <w:p>
            <w:pPr/>
            <w:r>
              <w:t xml:space="preserve">Misma idea, aplicada</w:t>
            </w:r>
          </w:p>
        </w:tc>
      </w:tr>
      <w:tr>
        <w:tc>
          <w:tcPr>
            <w:tcW w:w="3120" w:type="dxa"/>
          </w:tcPr>
          <w:p>
            <w:pPr/>
            <w:r>
              <w:t xml:space="preserve">Pág. 8, último párrafo</w:t>
            </w:r>
          </w:p>
        </w:tc>
        <w:tc>
          <w:tcPr>
            <w:tcW w:w="3120" w:type="dxa"/>
          </w:tcPr>
          <w:p>
            <w:pPr/>
            <w:r>
              <w:t xml:space="preserve">"Strong macroeconomic conditions and low default rates helped support the recovery values"</w:t>
            </w:r>
          </w:p>
        </w:tc>
        <w:tc>
          <w:tcPr>
            <w:tcW w:w="3120" w:type="dxa"/>
          </w:tcPr>
          <w:p>
            <w:pPr/>
            <w:r>
              <w:t xml:space="preserve">La LGD depende del ciclo</w:t>
            </w:r>
          </w:p>
        </w:tc>
      </w:tr>
    </w:tbl>
    <w:p>
      <w:pPr/>
      <w:r>
        <w:rPr>
          <w:b/>
        </w:rPr>
        <w:t xml:space="preserve">Hu y Perraudin (2006), The Dependence of Recovery Rates and Defaults, Research Paper 6/1.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Ubicación</w:t>
            </w:r>
          </w:p>
        </w:tc>
        <w:tc>
          <w:tcPr>
            <w:tcW w:w="3120" w:type="dxa"/>
            <w:shd w:val="clear" w:color="auto" w:fill="F2F2F2"/>
          </w:tcPr>
          <w:p>
            <w:pPr/>
            <w:r>
              <w:t xml:space="preserve">Qué dice</w:t>
            </w:r>
          </w:p>
        </w:tc>
        <w:tc>
          <w:tcPr>
            <w:tcW w:w="3120" w:type="dxa"/>
            <w:shd w:val="clear" w:color="auto" w:fill="F2F2F2"/>
          </w:tcPr>
          <w:p>
            <w:pPr/>
            <w:r>
              <w:t xml:space="preserve">Para qué lo usamos</w:t>
            </w:r>
          </w:p>
        </w:tc>
      </w:tr>
      <w:tr>
        <w:tc>
          <w:tcPr>
            <w:tcW w:w="3120" w:type="dxa"/>
          </w:tcPr>
          <w:p>
            <w:pPr/>
            <w:r>
              <w:t xml:space="preserve">Pág. 3, sección 1</w:t>
            </w:r>
          </w:p>
        </w:tc>
        <w:tc>
          <w:tcPr>
            <w:tcW w:w="3120" w:type="dxa"/>
          </w:tcPr>
          <w:p>
            <w:pPr/>
            <w:r>
              <w:t xml:space="preserve">"We define total credit losses as the default rate in the quarter times one minus the average recovery rate in the quarter."</w:t>
            </w:r>
          </w:p>
        </w:tc>
        <w:tc>
          <w:tcPr>
            <w:tcW w:w="3120" w:type="dxa"/>
          </w:tcPr>
          <w:p>
            <w:pPr/>
            <w:r>
              <w:t xml:space="preserve">Tasa de pérdida = tasa de incumplimiento × LGD</w:t>
            </w:r>
          </w:p>
        </w:tc>
      </w:tr>
      <w:tr>
        <w:tc>
          <w:tcPr>
            <w:tcW w:w="3120" w:type="dxa"/>
          </w:tcPr>
          <w:p>
            <w:pPr/>
            <w:r>
              <w:t xml:space="preserve">Pág. 11, sección 5.1, ecuación (5.1)</w:t>
            </w:r>
          </w:p>
        </w:tc>
        <w:tc>
          <w:tcPr>
            <w:tcW w:w="3120" w:type="dxa"/>
          </w:tcPr>
          <w:p>
            <w:pPr/>
            <w:r>
              <w:t xml:space="preserve">L_t = D_t (1 − R_t), con D_t la tasa de incumplimiento y R_t la recuperación</w:t>
            </w:r>
          </w:p>
        </w:tc>
        <w:tc>
          <w:tcPr>
            <w:tcW w:w="3120" w:type="dxa"/>
          </w:tcPr>
          <w:p>
            <w:pPr/>
            <w:r>
              <w:t xml:space="preserve">Misma fórmula</w:t>
            </w:r>
          </w:p>
        </w:tc>
      </w:tr>
      <w:tr>
        <w:tc>
          <w:tcPr>
            <w:tcW w:w="3120" w:type="dxa"/>
          </w:tcPr>
          <w:p>
            <w:pPr/>
            <w:r>
              <w:t xml:space="preserve">Pág. 4, sección 2.1</w:t>
            </w:r>
          </w:p>
        </w:tc>
        <w:tc>
          <w:tcPr>
            <w:tcW w:w="3120" w:type="dxa"/>
          </w:tcPr>
          <w:p>
            <w:pPr/>
            <w:r>
              <w:t xml:space="preserve">Recuperación = valor de mercado del bono / principal impago, un mes después del incumplimiento</w:t>
            </w:r>
          </w:p>
        </w:tc>
        <w:tc>
          <w:tcPr>
            <w:tcW w:w="3120" w:type="dxa"/>
          </w:tcPr>
          <w:p>
            <w:pPr/>
            <w:r>
              <w:t xml:space="preserve">Por qué 1 − R es la LGD</w:t>
            </w:r>
          </w:p>
        </w:tc>
      </w:tr>
      <w:tr>
        <w:tc>
          <w:tcPr>
            <w:tcW w:w="3120" w:type="dxa"/>
          </w:tcPr>
          <w:p>
            <w:pPr/>
            <w:r>
              <w:t xml:space="preserve">Pág. 1, Abstract</w:t>
            </w:r>
          </w:p>
        </w:tc>
        <w:tc>
          <w:tcPr>
            <w:tcW w:w="3120" w:type="dxa"/>
          </w:tcPr>
          <w:p>
            <w:pPr/>
            <w:r>
              <w:t xml:space="preserve">Las tasas de incumplimiento y de recuperación "are, in fact, negatively correlated"</w:t>
            </w:r>
          </w:p>
        </w:tc>
        <w:tc>
          <w:tcPr>
            <w:tcW w:w="3120" w:type="dxa"/>
          </w:tcPr>
          <w:p>
            <w:pPr/>
            <w:r>
              <w:t xml:space="preserve">La LGD sube en crisis</w:t>
            </w:r>
          </w:p>
        </w:tc>
      </w:tr>
      <w:tr>
        <w:tc>
          <w:tcPr>
            <w:tcW w:w="3120" w:type="dxa"/>
          </w:tcPr>
          <w:p>
            <w:pPr/>
            <w:r>
              <w:t xml:space="preserve">Pág. 22, Tabla 5</w:t>
            </w:r>
          </w:p>
        </w:tc>
        <w:tc>
          <w:tcPr>
            <w:tcW w:w="3120" w:type="dxa"/>
          </w:tcPr>
          <w:p>
            <w:pPr/>
            <w:r>
              <w:t xml:space="preserve">Correlación de −0,22 desde 1982 (datos filtrados)</w:t>
            </w:r>
          </w:p>
        </w:tc>
        <w:tc>
          <w:tcPr>
            <w:tcW w:w="3120" w:type="dxa"/>
          </w:tcPr>
          <w:p>
            <w:pPr/>
            <w:r>
              <w:t xml:space="preserve">Magnitud de esa relación</w:t>
            </w:r>
          </w:p>
        </w:tc>
      </w:tr>
      <w:tr>
        <w:tc>
          <w:tcPr>
            <w:tcW w:w="3120" w:type="dxa"/>
          </w:tcPr>
          <w:p>
            <w:pPr/>
            <w:r>
              <w:t xml:space="preserve">Pág. 15, Conclusión</w:t>
            </w:r>
          </w:p>
        </w:tc>
        <w:tc>
          <w:tcPr>
            <w:tcW w:w="3120" w:type="dxa"/>
          </w:tcPr>
          <w:p>
            <w:pPr/>
            <w:r>
              <w:t xml:space="preserve">"recoveries tend to be low when default rates are high"</w:t>
            </w:r>
          </w:p>
        </w:tc>
        <w:tc>
          <w:tcPr>
            <w:tcW w:w="3120" w:type="dxa"/>
          </w:tcPr>
          <w:p>
            <w:pPr/>
            <w:r>
              <w:t xml:space="preserve">Limitación de la LGD fija</w:t>
            </w:r>
          </w:p>
        </w:tc>
      </w:tr>
    </w:tbl>
    <w:p>
      <w:pPr/>
      <w:r>
        <w:rPr>
          <w:b/>
        </w:rPr>
        <w:t xml:space="preserve">Otras referencias.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Fuente</w:t>
            </w:r>
          </w:p>
        </w:tc>
        <w:tc>
          <w:tcPr>
            <w:tcW w:w="4680" w:type="dxa"/>
            <w:shd w:val="clear" w:color="auto" w:fill="F2F2F2"/>
          </w:tcPr>
          <w:p>
            <w:pPr/>
            <w:r>
              <w:t xml:space="preserve">Qué respalda</w:t>
            </w:r>
          </w:p>
        </w:tc>
      </w:tr>
      <w:tr>
        <w:tc>
          <w:tcPr>
            <w:tcW w:w="4680" w:type="dxa"/>
          </w:tcPr>
          <w:p>
            <w:pPr/>
            <w:r>
              <w:t xml:space="preserve">NIIF 9, ejemplos ilustrativos 8, 9 y 12</w:t>
            </w:r>
          </w:p>
        </w:tc>
        <w:tc>
          <w:tcPr>
            <w:tcW w:w="4680" w:type="dxa"/>
          </w:tcPr>
          <w:p>
            <w:pPr/>
            <w:r>
              <w:t xml:space="preserve">La pérdida esperada puede medirse con PD explícita (ejemplo 8), con tasa de pérdida (ejemplo 9) o con matriz de provisiones (ejemplo 12): usar la PI como base es válido</w:t>
            </w:r>
          </w:p>
        </w:tc>
      </w:tr>
      <w:tr>
        <w:tc>
          <w:tcPr>
            <w:tcW w:w="4680" w:type="dxa"/>
          </w:tcPr>
          <w:p>
            <w:pPr/>
            <w:r>
              <w:t xml:space="preserve">Superintendencia de Bancos del Ecuador, Libro I, Título X (según tesis de la UASB, Andrade)</w:t>
            </w:r>
          </w:p>
        </w:tc>
        <w:tc>
          <w:tcPr>
            <w:tcW w:w="4680" w:type="dxa"/>
          </w:tcPr>
          <w:p>
            <w:pPr/>
            <w:r>
              <w:t xml:space="preserve">La pérdida esperada se calcula multiplicando exposición, severidad y probabilidad de incumplimiento</w:t>
            </w:r>
          </w:p>
        </w:tc>
      </w:tr>
      <w:tr>
        <w:tc>
          <w:tcPr>
            <w:tcW w:w="4680" w:type="dxa"/>
          </w:tcPr>
          <w:p>
            <w:pPr/>
            <w:r>
              <w:t xml:space="preserve">SBIF de Chile, Serie de Estudios Normativos</w:t>
            </w:r>
          </w:p>
        </w:tc>
        <w:tc>
          <w:tcPr>
            <w:tcW w:w="4680" w:type="dxa"/>
          </w:tcPr>
          <w:p>
            <w:pPr/>
            <w:r>
              <w:t xml:space="preserve">PE = EAD × LGD × PD; distingue pérdida esperada (cartera al día) de incurrida (cartera en incumplimiento); la fórmula supone independencia entre parámetros</w:t>
            </w:r>
          </w:p>
        </w:tc>
      </w:tr>
      <w:tr>
        <w:tc>
          <w:tcPr>
            <w:tcW w:w="4680" w:type="dxa"/>
          </w:tcPr>
          <w:p>
            <w:pPr/>
            <w:r>
              <w:t xml:space="preserve">Čihák (2007), IMF Working Paper 07/59</w:t>
            </w:r>
          </w:p>
        </w:tc>
        <w:tc>
          <w:tcPr>
            <w:tcW w:w="4680" w:type="dxa"/>
          </w:tcPr>
          <w:p>
            <w:pPr/>
            <w:r>
              <w:t xml:space="preserve">Pruebas de estrés de crédito con datos agregados por institución</w:t>
            </w:r>
          </w:p>
        </w:tc>
      </w:tr>
      <w:tr>
        <w:tc>
          <w:tcPr>
            <w:tcW w:w="4680" w:type="dxa"/>
          </w:tcPr>
          <w:p>
            <w:pPr/>
            <w:r>
              <w:t xml:space="preserve">Altman, Brady, Resti y Sironi (2005), Journal of Business 78(6)</w:t>
            </w:r>
          </w:p>
        </w:tc>
        <w:tc>
          <w:tcPr>
            <w:tcW w:w="4680" w:type="dxa"/>
          </w:tcPr>
          <w:p>
            <w:pPr/>
            <w:r>
              <w:t xml:space="preserve">La recuperación cae cuando suben los incumplimientos</w:t>
            </w:r>
          </w:p>
        </w:tc>
      </w:tr>
      <w:tr>
        <w:tc>
          <w:tcPr>
            <w:tcW w:w="4680" w:type="dxa"/>
          </w:tcPr>
          <w:p>
            <w:pPr/>
            <w:r>
              <w:t xml:space="preserve">Vasicek (2002), Risk 15(12); BCBS (2005), nota explicativa IRB</w:t>
            </w:r>
          </w:p>
        </w:tc>
        <w:tc>
          <w:tcPr>
            <w:tcW w:w="4680" w:type="dxa"/>
          </w:tcPr>
          <w:p>
            <w:pPr/>
            <w:r>
              <w:t xml:space="preserve">La PD en estrés depende de la PD base: por eso Empresas usa un factor proporcional</w:t>
            </w:r>
          </w:p>
        </w:tc>
      </w:tr>
    </w:tbl>
    <w:p>
      <w:pPr>
        <w:pStyle w:val="Heading2"/>
      </w:pPr>
      <w:r>
        <w:t xml:space="preserve">5. Preguntas difíciles y cómo responderlas</w:t>
      </w:r>
    </w:p>
    <w:p>
      <w:pPr/>
      <w:r>
        <w:t xml:space="preserve">La pregunta más probable es si se reemplazó la PD por la pérdida incurrida; la respuesta es no.</w:t>
      </w:r>
    </w:p>
    <w:p>
      <w:pPr/>
      <w:r>
        <w:rPr>
          <w:b/>
        </w:rPr>
        <w:t xml:space="preserve">¿Reemplazaron la PD por la pérdida incurrida?</w:t>
      </w:r>
      <w:r>
        <w:t xml:space="preserve"> No. La PI es una tasa de pérdida y ya equivale a PD × LGD. A esa base se le suma solo lo que agrega El Niño, ΔPD × LGD. La identidad tasa de pérdida = tasa de incumplimiento × LGD está en Moody's (pág. 45) y en Hu y Perraudin (pág. 3); la fórmula de pérdida esperada, en el BCE (págs. 35-36).</w:t>
      </w:r>
    </w:p>
    <w:p>
      <w:pPr/>
      <w:r>
        <w:rPr>
          <w:b/>
        </w:rPr>
        <w:t xml:space="preserve">¿Por qué la LGD se mantiene fija?</w:t>
      </w:r>
      <w:r>
        <w:t xml:space="preserve"> Porque así lo hace el BCE: en la Tabla 9 (pág. 39) la severidad "se mantiene igual al escenario base". Es una simplificación conservadora hacia abajo, porque la recuperación cae cuando suben los incumplimientos (Hu y Perraudin, págs. 1 y 15). Si la LGD de micro subiera a 80 %, la pérdida sería 17,7 % en lugar de 15,5 %, unos 10 MM más.</w:t>
      </w:r>
    </w:p>
    <w:p>
      <w:pPr/>
      <w:r>
        <w:rPr>
          <w:b/>
        </w:rPr>
        <w:t xml:space="preserve">¿Por qué usan pérdida incurrida y no pérdida esperada?</w:t>
      </w:r>
      <w:r>
        <w:t xml:space="preserve"> La PI se usa como tasa observada de partida y se ajusta hacia adelante con el shock de El Niño. La NIIF 9 acepta medir la pérdida esperada con tasas de pérdida observadas ajustadas (ejemplo ilustrativo 9). Por eso el resultado se rotula como "pérdida estimada bajo estrés".</w:t>
      </w:r>
    </w:p>
    <w:p>
      <w:pPr/>
      <w:r>
        <w:rPr>
          <w:b/>
        </w:rPr>
        <w:t xml:space="preserve">¿Por qué cada segmento tiene un escenario distinto?</w:t>
      </w:r>
      <w:r>
        <w:t xml:space="preserve"> Micro es el más sensible al clima y usa el severo. Empresas usa un factor proporcional porque sumar puntos fijos de PD pesa mucho en una cartera de PD baja: con el método aditivo llegaría a 5,0 % y +24,1 MM. PYMES en moderado es el punto más débil de defender: con el severo sería 9,8 % y +10,8 MM, y el total subiría a 44,6 MM.</w:t>
      </w:r>
    </w:p>
    <w:p>
      <w:pPr/>
      <w:r>
        <w:rPr>
          <w:b/>
        </w:rPr>
        <w:t xml:space="preserve">¿Por qué la mezcla de zonas del sistema y no la propia?</w:t>
      </w:r>
      <w:r>
        <w:t xml:space="preserve"> La zona se definió por cantón y la clasificación Alto / Medio / Bajo del BCE es por parroquia (Figura 5, pág. 34). Mientras se cruza esa información, se usa la distribución del sistema que publica el BCE (pág. 23).</w:t>
      </w:r>
    </w:p>
    <w:p>
      <w:pPr/>
      <w:r>
        <w:rPr>
          <w:b/>
        </w:rPr>
        <w:t xml:space="preserve">¿Por qué subió tanto la exposición de julio a agosto?</w:t>
      </w:r>
      <w:r>
        <w:t xml:space="preserve"> Micro pasó de 363,4 a 449,2 MM (+24 %) y PYMES de 280,0 a 334,0 MM (+19 %). Un salto así en un mes apunta a un cambio en la definición de la zona, no a crecimiento de cartera.</w:t>
      </w:r>
    </w:p>
    <w:p>
      <w:pPr/>
      <w:r>
        <w:rPr>
          <w:b/>
        </w:rPr>
        <w:t xml:space="preserve">¿Este Niño es comparable con el que modeló el BCE?</w:t>
      </w:r>
      <w:r>
        <w:t xml:space="preserve"> No: el evento de 2023-24 terminó con una previsión de impacto "bajo" (BCE, pág. 57). El actual ya supera los 2 °C de anomalía, que el BCE califica como "muy fuerte" (pág. 8, nota 3). Por eso el escenario severo es la referencia razonable.</w:t>
      </w:r>
    </w:p>
    <w:p>
      <w:pPr/>
      <w:r>
        <w:rPr>
          <w:b/>
        </w:rPr>
        <w:t xml:space="preserve">¿Y si se activan diferimientos?</w:t>
      </w:r>
      <w:r>
        <w:t xml:space="preserve"> Retrasan la mora visible, pero no eliminan la pérdida. El BCE advierte que el no pago llega incluso meses después del evento (pág. 31).</w:t>
      </w:r>
    </w:p>
    <w:p>
      <w:pPr>
        <w:pStyle w:val="Heading2"/>
      </w:pPr>
      <w:r>
        <w:t xml:space="preserve">Fuentes</w:t>
      </w:r>
    </w:p>
    <w:p>
      <w:pPr>
        <w:pStyle w:val="ListParagraph"/>
        <w:numPr>
          <w:ilvl w:val="0"/>
          <w:numId w:val="3"/>
        </w:numPr>
      </w:pPr>
      <w:r>
        <w:t xml:space="preserve">Banco Central del Ecuador (2024), </w:t>
      </w:r>
      <w:hyperlink r:id="rId3" w:history="1">
        <w:r>
          <w:rPr>
            <w:rStyle w:val="Hyperlink"/>
          </w:rPr>
          <w:t xml:space="preserve">Apuntes de Economía No. 75</w:t>
        </w:r>
      </w:hyperlink>
      <w:r>
        <w:t xml:space="preserve">, "Estimación de las pérdidas en el crédito del Sistema Financiero Nacional por la eventual presencia del Fenómeno El Niño".</w:t>
      </w:r>
    </w:p>
    <w:p>
      <w:pPr>
        <w:pStyle w:val="ListParagraph"/>
        <w:numPr>
          <w:ilvl w:val="0"/>
          <w:numId w:val="3"/>
        </w:numPr>
      </w:pPr>
      <w:r>
        <w:t xml:space="preserve">Moody's Investors Service (2007), </w:t>
      </w:r>
      <w:hyperlink r:id="rId4" w:history="1">
        <w:r>
          <w:rPr>
            <w:rStyle w:val="Hyperlink"/>
          </w:rPr>
          <w:t xml:space="preserve">Corporate Default and Recovery Rates, 1920-2006</w:t>
        </w:r>
      </w:hyperlink>
      <w:r>
        <w:t xml:space="preserve">, Special Comment.</w:t>
      </w:r>
    </w:p>
    <w:p>
      <w:pPr>
        <w:pStyle w:val="ListParagraph"/>
        <w:numPr>
          <w:ilvl w:val="0"/>
          <w:numId w:val="3"/>
        </w:numPr>
      </w:pPr>
      <w:r>
        <w:t xml:space="preserve">Hu, Y.-T. y Perraudin, W. (2006), </w:t>
      </w:r>
      <w:hyperlink r:id="rId5" w:history="1">
        <w:r>
          <w:rPr>
            <w:rStyle w:val="Hyperlink"/>
          </w:rPr>
          <w:t xml:space="preserve">The Dependence of Recovery Rates and Defaults</w:t>
        </w:r>
      </w:hyperlink>
      <w:r>
        <w:t xml:space="preserve">, Risk Control Limited, Research Paper 6/1.</w:t>
      </w:r>
    </w:p>
    <w:p>
      <w:pPr>
        <w:pStyle w:val="ListParagraph"/>
        <w:numPr>
          <w:ilvl w:val="0"/>
          <w:numId w:val="3"/>
        </w:numPr>
      </w:pPr>
      <w:r>
        <w:t xml:space="preserve">IFRS Foundation, </w:t>
      </w:r>
      <w:hyperlink r:id="rId6" w:history="1">
        <w:r>
          <w:rPr>
            <w:rStyle w:val="Hyperlink"/>
          </w:rPr>
          <w:t xml:space="preserve">NIIF 9, ejemplos ilustrativos</w:t>
        </w:r>
      </w:hyperlink>
      <w:r>
        <w:t xml:space="preserve">.</w:t>
      </w:r>
    </w:p>
    <w:p>
      <w:pPr>
        <w:pStyle w:val="ListParagraph"/>
        <w:numPr>
          <w:ilvl w:val="0"/>
          <w:numId w:val="3"/>
        </w:numPr>
      </w:pPr>
      <w:r>
        <w:t xml:space="preserve">Andrade, tesis de la Universidad Andina Simón Bolívar, </w:t>
      </w:r>
      <w:hyperlink r:id="rId7" w:history="1">
        <w:r>
          <w:rPr>
            <w:rStyle w:val="Hyperlink"/>
          </w:rPr>
          <w:t xml:space="preserve">sobre la estimación de pérdida esperada de la Superintendencia de Bancos</w:t>
        </w:r>
      </w:hyperlink>
      <w:r>
        <w:t xml:space="preserve">.</w:t>
      </w:r>
    </w:p>
    <w:p>
      <w:pPr>
        <w:pStyle w:val="ListParagraph"/>
        <w:numPr>
          <w:ilvl w:val="0"/>
          <w:numId w:val="3"/>
        </w:numPr>
      </w:pPr>
      <w:r>
        <w:t xml:space="preserve">SBIF de Chile, </w:t>
      </w:r>
      <w:hyperlink r:id="rId8" w:history="1">
        <w:r>
          <w:rPr>
            <w:rStyle w:val="Hyperlink"/>
          </w:rPr>
          <w:t xml:space="preserve">Serie de Estudios Normativos: pérdida esperada</w:t>
        </w:r>
      </w:hyperlink>
      <w:r>
        <w:t xml:space="preserve">.</w:t>
      </w:r>
    </w:p>
    <w:p>
      <w:pPr>
        <w:pStyle w:val="ListParagraph"/>
        <w:numPr>
          <w:ilvl w:val="0"/>
          <w:numId w:val="3"/>
        </w:numPr>
      </w:pPr>
      <w:r>
        <w:t xml:space="preserve">Čihák, M. (2007), </w:t>
      </w:r>
      <w:hyperlink r:id="rId9" w:history="1">
        <w:r>
          <w:rPr>
            <w:rStyle w:val="Hyperlink"/>
          </w:rPr>
          <w:t xml:space="preserve">Introduction to Applied Stress Testing</w:t>
        </w:r>
      </w:hyperlink>
      <w:r>
        <w:t xml:space="preserve">, IMF Working Paper 07/59.</w:t>
      </w:r>
    </w:p>
    <w:p>
      <w:pPr>
        <w:pStyle w:val="ListParagraph"/>
        <w:numPr>
          <w:ilvl w:val="0"/>
          <w:numId w:val="3"/>
        </w:numPr>
      </w:pPr>
      <w:r>
        <w:t xml:space="preserve">Altman, E., Brady, B., Resti, A. y Sironi, A. (2005), "The Link between Default and Recovery Rates", Journal of Business 78(6).</w:t>
      </w:r>
    </w:p>
    <w:p>
      <w:pPr>
        <w:pStyle w:val="ListParagraph"/>
        <w:numPr>
          <w:ilvl w:val="0"/>
          <w:numId w:val="3"/>
        </w:numPr>
      </w:pPr>
      <w:r>
        <w:t xml:space="preserve">Vasicek, O. (2002), "The Distribution of Loan Portfolio Value", Risk 15(12); BCBS (2005), An Explanatory Note on the Basel II IRB Risk Weight Functions.</w:t>
      </w:r>
    </w:p>
    <w:p>
      <w:pPr>
        <w:pStyle w:val="ListParagraph"/>
        <w:numPr>
          <w:ilvl w:val="0"/>
          <w:numId w:val="3"/>
        </w:numPr>
      </w:pPr>
      <w:r>
        <w:t xml:space="preserve">Secretaría Nacional de Gestión de Riesgos, </w:t>
      </w:r>
      <w:hyperlink r:id="rId10" w:history="1">
        <w:r>
          <w:rPr>
            <w:rStyle w:val="Hyperlink"/>
          </w:rPr>
          <w:t xml:space="preserve">Alerta Roja nacional, Resolución SNGR-238-2026</w:t>
        </w:r>
      </w:hyperlink>
      <w:r>
        <w:t xml:space="preserve">.</w:t>
      </w:r>
    </w:p>
    <w:p>
      <w:pPr>
        <w:pStyle w:val="ListParagraph"/>
        <w:numPr>
          <w:ilvl w:val="0"/>
          <w:numId w:val="3"/>
        </w:numPr>
      </w:pPr>
      <w:r>
        <w:t xml:space="preserve">El Comercio, </w:t>
      </w:r>
      <w:hyperlink r:id="rId11" w:history="1">
        <w:r>
          <w:rPr>
            <w:rStyle w:val="Hyperlink"/>
          </w:rPr>
          <w:t xml:space="preserve">Informe CN-ERFEN 009-2026</w:t>
        </w:r>
      </w:hyperlink>
      <w:r>
        <w:t xml:space="preserve">: anomalías de +2,9 °C y +4,5 °C.</w:t>
      </w:r>
    </w:p>
    <w:p>
      <w:pPr>
        <w:pStyle w:val="ListParagraph"/>
        <w:numPr>
          <w:ilvl w:val="0"/>
          <w:numId w:val="3"/>
        </w:numPr>
      </w:pPr>
      <w:r>
        <w:t xml:space="preserve">Comité Nacional ERFEN, </w:t>
      </w:r>
      <w:hyperlink r:id="rId12" w:history="1">
        <w:r>
          <w:rPr>
            <w:rStyle w:val="Hyperlink"/>
          </w:rPr>
          <w:t xml:space="preserve">Informe técnico ejecutivo</w:t>
        </w:r>
      </w:hyperlink>
      <w:r>
        <w:t xml:space="preserve">: mayor impacto entre noviembre de 2026 y marzo de 2027.</w:t>
      </w:r>
    </w:p>
    <w:p>
      <w:pPr>
        <w:pStyle w:val="ListParagraph"/>
        <w:numPr>
          <w:ilvl w:val="0"/>
          <w:numId w:val="3"/>
        </w:numPr>
      </w:pPr>
      <w:r>
        <w:t xml:space="preserve">Infobae, </w:t>
      </w:r>
      <w:hyperlink r:id="rId13" w:history="1">
        <w:r>
          <w:rPr>
            <w:rStyle w:val="Hyperlink"/>
          </w:rPr>
          <w:t xml:space="preserve">BCE: El Niño podría restar crecimiento al PIB en 2027</w:t>
        </w:r>
      </w:hyperlink>
      <w:r>
        <w:t xml:space="preserve">.</w:t>
      </w:r>
    </w:p>
    <w:p>
      <w:pPr>
        <w:pStyle w:val="ListParagraph"/>
        <w:numPr>
          <w:ilvl w:val="0"/>
          <w:numId w:val="3"/>
        </w:numPr>
      </w:pPr>
      <w:r>
        <w:t xml:space="preserve">Expreso, </w:t>
      </w:r>
      <w:hyperlink r:id="rId14" w:history="1">
        <w:r>
          <w:rPr>
            <w:rStyle w:val="Hyperlink"/>
          </w:rPr>
          <w:t xml:space="preserve">Refinanciamiento por El Niño</w:t>
        </w:r>
      </w:hyperlink>
      <w:r>
        <w:t xml:space="preserve">.</w:t>
      </w:r>
    </w:p>
    <w:p>
      <w:pPr>
        <w:pStyle w:val="ListParagraph"/>
        <w:numPr>
          <w:ilvl w:val="0"/>
          <w:numId w:val="3"/>
        </w:numPr>
      </w:pPr>
      <w:r>
        <w:t xml:space="preserve">Láminas internas, corte agosto 2026: saldos expuestos y PI actual por segmento.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ontenido.bce.fin.ec/documentos/PublicacionesNotas/Catalogo/Apuntes/indapun.htm" TargetMode="External"/><Relationship Id="rId4" Type="http://schemas.openxmlformats.org/officeDocument/2006/relationships/hyperlink" Target="https://www.moodys.com/sites/products/DefaultResearch/2006400000429618.pdf" TargetMode="External"/><Relationship Id="rId5" Type="http://schemas.openxmlformats.org/officeDocument/2006/relationships/hyperlink" Target="https://www.riskcontrollimited.com/wp-content/uploads/2015/02/The_Dependence_of_Recovery_Rates_and_Defaults.pdf" TargetMode="External"/><Relationship Id="rId6" Type="http://schemas.openxmlformats.org/officeDocument/2006/relationships/hyperlink" Target="https://www.ifrs.org/content/dam/ifrs/publications/html-standards/english/2023/issued/ifrs9-ie.html" TargetMode="External"/><Relationship Id="rId7" Type="http://schemas.openxmlformats.org/officeDocument/2006/relationships/hyperlink" Target="https://repositorio.uasb.edu.ec/bitstream/10644/7939/1/07-TC-Andrade.pdf" TargetMode="External"/><Relationship Id="rId8" Type="http://schemas.openxmlformats.org/officeDocument/2006/relationships/hyperlink" Target="https://sbif.cl/sbifweb/internet/archivos/publicacion_12191.pdf" TargetMode="External"/><Relationship Id="rId9" Type="http://schemas.openxmlformats.org/officeDocument/2006/relationships/hyperlink" Target="https://www.imf.org/en/Publications/WP/Issues/2016/12/31/Introduction-to-Applied-Stress-Testing-20222" TargetMode="External"/><Relationship Id="rId10" Type="http://schemas.openxmlformats.org/officeDocument/2006/relationships/hyperlink" Target="https://www.gestionderiesgos.gob.ec/gobierno-nacional-fortalece-acciones-de-preparacion-ante-el-fenomeno-el-nino-y-declara-alerta-roja/" TargetMode="External"/><Relationship Id="rId11" Type="http://schemas.openxmlformats.org/officeDocument/2006/relationships/hyperlink" Target="https://www.elcomercio.com/actualidad/fenomeno-el-nino-ecuador-cn-erfen/" TargetMode="External"/><Relationship Id="rId12" Type="http://schemas.openxmlformats.org/officeDocument/2006/relationships/hyperlink" Target="https://www.inocar.mil.ec/boletin/ERFEN/actual/boletin_ERFEN.pdf" TargetMode="External"/><Relationship Id="rId13" Type="http://schemas.openxmlformats.org/officeDocument/2006/relationships/hyperlink" Target="https://www.infobae.com/america/america-latina/2026/09/16/el-nino-podria-restar-el-crecimiento-del-pib-de-ecuador-en-2027-segun-el-banco-central/" TargetMode="External"/><Relationship Id="rId14" Type="http://schemas.openxmlformats.org/officeDocument/2006/relationships/hyperlink" Target="https://www.expreso.ec/economia-y-negocios/nino-ecuador-bancos-ofreceran-refinanciamiento-clientes-afectados-293762.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Speech y defensa metodológica pérdida por El Niño en Microfinanzas, PYMES y Empr</dc:title>
  <dc:description>Claude Docs node/8fdb1fd4-0e71@12 docx-w6</dc:description>
  <cp:revision>12</cp:revision>
</cp:coreProperties>
</file>