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Escenarios de pérdida incurrida por el Fenómeno de El Niño</w:t>
      </w:r>
    </w:p>
    <w:p>
      <w:pPr>
        <w:pBdr>
          <w:bottom w:val="single" w:color="1F3864" w:sz="8" w:space="4"/>
        </w:pBdr>
        <w:spacing w:after="2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Metodología y referencias del BCE · Microfinanzas, PYMES y Empresas · Corte agosto 2026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1. Resumen de la metodología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Los escenarios usan la fórmula de pérdida esperada del Banco Central del Ecuador (Apuntes de Economía No. 75, 2024): pérdida = PD × exposición (EAD) × LGD. Para El Niño solo se calcula el aumento sobre la pérdida actual: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Pérdida adicional = saldo expuesto × aumento de PD × LGD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Pérdida El Niño = pérdida actual + pérdida adicional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Paso a paso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Saldo expuesto. </w:t>
      </w:r>
      <w:r>
        <w:rPr>
          <w:rFonts w:ascii="Arial" w:cs="Arial" w:eastAsia="Arial" w:hAnsi="Arial"/>
          <w:sz w:val="22"/>
          <w:szCs w:val="22"/>
        </w:rPr>
        <w:t xml:space="preserve">Cartera ubicada en los 142 cantones declarados con influencia directa (sin Quito), en las actividades afectadas. A agosto de 2026: Microfinanzas 449,2 MM, PYMES 334,0 MM y Empresas 746,6 MM.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Pérdida actual. </w:t>
      </w:r>
      <w:r>
        <w:rPr>
          <w:rFonts w:ascii="Arial" w:cs="Arial" w:eastAsia="Arial" w:hAnsi="Arial"/>
          <w:sz w:val="22"/>
          <w:szCs w:val="22"/>
        </w:rPr>
        <w:t xml:space="preserve">Saldo expuesto × PI actual: 9,8 % en Microfinanzas, 6,6 % en PYMES y 1,8 % en Empresas.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Aumento de PD por escenario. </w:t>
      </w:r>
      <w:r>
        <w:rPr>
          <w:rFonts w:ascii="Arial" w:cs="Arial" w:eastAsia="Arial" w:hAnsi="Arial"/>
          <w:sz w:val="22"/>
          <w:szCs w:val="22"/>
        </w:rPr>
        <w:t xml:space="preserve">Viene de la Tabla 9 del BCE y depende del nivel de riesgo de la zona:</w:t>
      </w:r>
    </w:p>
    <w:p>
      <w:pPr>
        <w:pStyle w:val="ListParagraph"/>
        <w:numPr>
          <w:ilvl w:val="1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Moderado (≈ Niño 1997-98): </w:t>
      </w:r>
      <w:r>
        <w:rPr>
          <w:rFonts w:ascii="Arial" w:cs="Arial" w:eastAsia="Arial" w:hAnsi="Arial"/>
          <w:sz w:val="22"/>
          <w:szCs w:val="22"/>
        </w:rPr>
        <w:t xml:space="preserve">+6 pp en zona Alta, +5 pp en Media y +3 pp en Baja.</w:t>
      </w:r>
    </w:p>
    <w:p>
      <w:pPr>
        <w:pStyle w:val="ListParagraph"/>
        <w:numPr>
          <w:ilvl w:val="1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Severo: </w:t>
      </w:r>
      <w:r>
        <w:rPr>
          <w:rFonts w:ascii="Arial" w:cs="Arial" w:eastAsia="Arial" w:hAnsi="Arial"/>
          <w:sz w:val="22"/>
          <w:szCs w:val="22"/>
        </w:rPr>
        <w:t xml:space="preserve">+15 / +10 / +5 pp.</w:t>
      </w:r>
    </w:p>
    <w:p>
      <w:pPr>
        <w:pStyle w:val="ListParagraph"/>
        <w:numPr>
          <w:ilvl w:val="1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Extremo (supuesto propio): </w:t>
      </w:r>
      <w:r>
        <w:rPr>
          <w:rFonts w:ascii="Arial" w:cs="Arial" w:eastAsia="Arial" w:hAnsi="Arial"/>
          <w:sz w:val="22"/>
          <w:szCs w:val="22"/>
        </w:rPr>
        <w:t xml:space="preserve">+15 pp para toda la cartera, como si todo fuera zona Alta.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Ponderación por zona. </w:t>
      </w:r>
      <w:r>
        <w:rPr>
          <w:rFonts w:ascii="Arial" w:cs="Arial" w:eastAsia="Arial" w:hAnsi="Arial"/>
          <w:sz w:val="22"/>
          <w:szCs w:val="22"/>
        </w:rPr>
        <w:t xml:space="preserve">Sin la mezcla Alto/Medio/Bajo propia del banco, se usa la del sistema (BCE, pág. 23): 18,6 % / 24,0 % / 57,4 %. El aumento de PD queda en 4,04 pp (moderado), 8,06 pp (severo) y 15 pp (extremo).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LGD. </w:t>
      </w:r>
      <w:r>
        <w:rPr>
          <w:rFonts w:ascii="Arial" w:cs="Arial" w:eastAsia="Arial" w:hAnsi="Arial"/>
          <w:sz w:val="22"/>
          <w:szCs w:val="22"/>
        </w:rPr>
        <w:t xml:space="preserve">Según la Tabla 9 del BCE: 70 % para microcrédito y 40 % para productivo (PYMES y Empresas).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Aumento de la pérdida. </w:t>
      </w:r>
      <w:r>
        <w:rPr>
          <w:rFonts w:ascii="Arial" w:cs="Arial" w:eastAsia="Arial" w:hAnsi="Arial"/>
          <w:sz w:val="22"/>
          <w:szCs w:val="22"/>
        </w:rPr>
        <w:t xml:space="preserve">Aumento de PD × LGD, como muestra la tabla: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Segmento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Moderado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Severo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Extremo</w:t>
            </w:r>
          </w:p>
        </w:tc>
      </w:tr>
      <w:tr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Microfinanzas (LGD 70 %)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+2,8 pp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+5,7 pp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+10,5 pp</w:t>
            </w:r>
          </w:p>
        </w:tc>
      </w:tr>
      <w:tr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PYMES y Empresas (LGD 40 %)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+1,6 pp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+3,2 pp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+6,0 pp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Ejemplo, Microfinanzas en escenario severo: </w:t>
      </w:r>
      <w:r>
        <w:rPr>
          <w:rFonts w:ascii="Arial" w:cs="Arial" w:eastAsia="Arial" w:hAnsi="Arial"/>
          <w:sz w:val="22"/>
          <w:szCs w:val="22"/>
        </w:rPr>
        <w:t xml:space="preserve">449,2 × 5,7 % = +25,6 MM. Sumado a los 44,0 MM actuales da 69,6 MM, es decir, 15,5 % de la cartera expuesta.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Método alternativo (multiplicativo)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Multiplica la pérdida actual por cuánto crece la pérdida de la banca privada en el BCE (Tabla 15): ×1,29 en el moderado (1.018 / 791) y ×1,555 en el severo (1.230 / 791).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En Microfinanzas y PYMES da casi lo mismo que el método anterior. En Empresas da mucho menos, porque su pérdida base es baja; por eso Empresas se presenta como rango. El 2,9 % de la lámina de Empresas sale de este método (1,8 % × ~1,6).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Escenario asignado en las láminas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Combina un escenario distinto por segmento: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Microfinanzas: </w:t>
      </w:r>
      <w:r>
        <w:rPr>
          <w:rFonts w:ascii="Arial" w:cs="Arial" w:eastAsia="Arial" w:hAnsi="Arial"/>
          <w:sz w:val="22"/>
          <w:szCs w:val="22"/>
        </w:rPr>
        <w:t xml:space="preserve">severo BCE → 15,5 %, +25,6 MM.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PYMES: </w:t>
      </w:r>
      <w:r>
        <w:rPr>
          <w:rFonts w:ascii="Arial" w:cs="Arial" w:eastAsia="Arial" w:hAnsi="Arial"/>
          <w:sz w:val="22"/>
          <w:szCs w:val="22"/>
        </w:rPr>
        <w:t xml:space="preserve">moderado BCE → 8,2 %, +5,4 MM.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Empresas: </w:t>
      </w:r>
      <w:r>
        <w:rPr>
          <w:rFonts w:ascii="Arial" w:cs="Arial" w:eastAsia="Arial" w:hAnsi="Arial"/>
          <w:sz w:val="22"/>
          <w:szCs w:val="22"/>
        </w:rPr>
        <w:t xml:space="preserve">multiplicativo → 2,9 %, +8,2 MM.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En total suma +39,2 MM. Queda entre el moderado (+30,2 MM) y el severo (+60,5 MM) aplicados por igual a los tres segmentos.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Pérdida adicional (USD MM)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Microfinanzas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PYMES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Empresas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Asignado (láminas)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+25,6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+5,4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+8,2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+39,2</w:t>
            </w:r>
          </w:p>
        </w:tc>
      </w:tr>
      <w:tr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Moderado BCE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+12,7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+5,4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+12,1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+30,2</w:t>
            </w:r>
          </w:p>
        </w:tc>
      </w:tr>
      <w:tr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Severo BCE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+25,6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+10,8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+24,1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+60,5</w:t>
            </w:r>
          </w:p>
        </w:tc>
      </w:tr>
      <w:tr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Extremo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+47,2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+20,0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+44,8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+112,0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Supuestos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La PI actual de agosto es la misma de julio.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La mezcla de zonas es la del sistema, no la propia del banco.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Las LGD son las del BCE, no las internas.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El BCE mide pérdida esperada a 12 meses; aquí se aplica a pérdida incurrida.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El efecto en los pagos llegaría con rezago, sobre todo en 2027.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2. Referencias exactas en el documento del BCE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Fuente: Banco Central del Ecuador,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Apuntes de Economía No. 75</w:t>
      </w:r>
      <w:r>
        <w:rPr>
          <w:rFonts w:ascii="Arial" w:cs="Arial" w:eastAsia="Arial" w:hAnsi="Arial"/>
          <w:sz w:val="22"/>
          <w:szCs w:val="22"/>
        </w:rPr>
        <w:t xml:space="preserve">, "Estimación de las pérdidas en el crédito del Sistema Financiero Nacional por la eventual presencia del Fenómeno El Niño" (abril 2024). Las páginas son las impresas en el documento.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42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Dato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Página y ubicación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Qué dice el documento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1. Fórmula PE = PD × EAD × LGD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Pág. 35, último párrafo de la sección 3.3; pág. 36, fórmula y definiciones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"se utiliza el cálculo de Pérdida Esperada (PE), establecido por las mejores prácticas internacionales de Basilea III"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2. LGD: 70 % micro, 60 % consumo, 40 % productivo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Pág. 37, primer párrafo (justificación del 40 % en la nota al pie 29); se repite en la Tabla 9, pág. 39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"se atribuyó que el LGD para microcrédito, consumo y productivo sean 70, 60 y 40 %, respectivamente"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3. Aumentos de PD por zona: +6/+5/+3 y +15/+10/+5 pp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Pág. 39, Tabla 9, fila "Probabilidad de incumplimiento (PD)"; párrafo bajo la tabla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aumento se aplica "exclusivamente en las parroquias en riesgo"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4. Moderado = Niño 1997-98; severo = COVID-19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Pág. 40, primer párrafo (sección 4)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"un escenario moderado en el cual se replican los efectos del FEN de los años 1997-1998" y "un escenario severo, en el que se plasman las dificultades crediticias mostradas en la pandemia de COVID-19"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5. Mezcla de zonas: Alto 3.830, Medio 4.940, Bajo 11.804 (de 20.574 MM)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Pág. 23, sección 2.3, primer párrafo; desglose por entidad en la Tabla 5, pág. 24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"USD 3.830 millones se localiza en zonas con riesgo alto, USD 4.940 millones con riesgo medio y USD 11.804 millones con riesgo bajo"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6. Factores multiplicativos ×1,29 y ×1,555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Pág. 49, Tabla 15, fila Bancos privados: 791 / 1.018 / 1.230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Cálculo propio: 1.018 / 791 y 1.230 / 791. Los factores no están escritos en el documento.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7. 143 cantones y 489 parroquias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Pág. 11, segundo párrafo (Resolución SGR-156-2023); se repite en la pág. 31, primer párrafo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"comprende 17 provincias, 143 cantones y 489 parroquias"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8. Escala de intensidad: 2 °C o más = "muy fuerte"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Pág. 8, nota al pie 3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"Mayor o igual a 2 °C, el evento se califica como 'muy fuerte'"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9. Niño 1997-98: morosidad de 7,3 % a 9,3 %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Pág. 10, primer párrafo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"el índice de morosidad a diciembre de 1998 alcance el 9,3%… respecto al año anterior (7,3%)"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10. El impacto en pagos llega con rezago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Pág. 31, segundo párrafo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no pago de créditos "se haría efectivo inclusive en los meses posteriores a la culminación de los efectos climáticos"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Lo que no sale del BCE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El escenario extremo </w:t>
      </w:r>
      <w:r>
        <w:rPr>
          <w:rFonts w:ascii="Arial" w:cs="Arial" w:eastAsia="Arial" w:hAnsi="Arial"/>
          <w:sz w:val="22"/>
          <w:szCs w:val="22"/>
        </w:rPr>
        <w:t xml:space="preserve">(+15 pp a toda la cartera) es un supuesto propio.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El techo de mora de 6 % </w:t>
      </w:r>
      <w:r>
        <w:rPr>
          <w:rFonts w:ascii="Arial" w:cs="Arial" w:eastAsia="Arial" w:hAnsi="Arial"/>
          <w:sz w:val="22"/>
          <w:szCs w:val="22"/>
        </w:rPr>
        <w:t xml:space="preserve">viene de declaraciones del superintendente de Bancos en prensa (septiembre de 2026).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Los saldos, las PI actuales y los 142 cantones sin Quito </w:t>
      </w:r>
      <w:r>
        <w:rPr>
          <w:rFonts w:ascii="Arial" w:cs="Arial" w:eastAsia="Arial" w:hAnsi="Arial"/>
          <w:sz w:val="22"/>
          <w:szCs w:val="22"/>
        </w:rPr>
        <w:t xml:space="preserve">son datos de las láminas internas.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2026-10-05T14:10:51.496Z</dcterms:created>
  <dcterms:modified xsi:type="dcterms:W3CDTF">2026-10-05T14:10:51.505Z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