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Guía paso a paso: cálculo de la pérdida por El Niño para la presentación</w:t>
      </w:r>
    </w:p>
    <w:p>
      <w:pPr/>
      <w:r>
        <w:t xml:space="preserve">Oct 5, 2026</w:t>
      </w:r>
      <w:r>
        <w:t xml:space="preserve"> · </w:t>
      </w:r>
      <w:r>
        <w:t xml:space="preserve">@Cristian</w:t>
      </w:r>
      <w:r>
        <w:t xml:space="preserve"> · Corte agosto 2026</w:t>
      </w:r>
    </w:p>
    <w:p>
      <w:pPr>
        <w:pStyle w:val="Heading2"/>
      </w:pPr>
      <w:r>
        <w:t xml:space="preserve">1. La idea en una línea</w:t>
      </w:r>
    </w:p>
    <w:p>
      <w:pPr/>
      <w:r>
        <w:t xml:space="preserve">La pérdida por El Niño es la pérdida actual más un aumento, y ese aumento es saldo expuesto × aumento de PD × LGD.</w:t>
      </w:r>
    </w:p>
    <w:p>
      <w:pPr>
        <w:pStyle w:val="Code"/>
      </w:pPr>
      <w:bookmarkStart w:id="1" w:name="bongo_lang_latex_1"/>
      <w:bookmarkEnd w:id="1"/>
      <w:r>
        <w:t xml:space="preserve">\text{Pérdida El Niño} = \text{Pérdida actual} + \text{Saldo expuesto} \times \Delta PD \times LGD</w:t>
      </w:r>
    </w:p>
    <w:p>
      <w:pPr/>
      <w:r>
        <w:t xml:space="preserve">La pérdida incurrida (PI) no reemplaza a la PD. La PI es una tasa de pérdida, es decir, ya equivale a PD × LGD. Por eso se usa como punto de partida y solo se le suma lo que agrega El Niño (ΔPD × LGD).</w:t>
      </w:r>
    </w:p>
    <w:p>
      <w:pPr/>
      <w:r>
        <w:t xml:space="preserve">La suma es válida porque la pérdida esperada es PE = PD × LGD × EAD (BCE, págs. 35-36). Si la PD sube en ΔPD, la nueva tasa de pérdida es:</w:t>
      </w:r>
    </w:p>
    <w:p>
      <w:pPr>
        <w:pStyle w:val="Code"/>
      </w:pPr>
      <w:bookmarkStart w:id="2" w:name="bongo_lang_latex_2"/>
      <w:bookmarkEnd w:id="2"/>
      <w:r>
        <w:t xml:space="preserve">(PD + \Delta PD) \times LGD = PD \times LGD + \Delta PD \times LGD = PI_{actual} + \Delta PD \times LGD</w:t>
      </w:r>
    </w:p>
    <w:p>
      <w:pPr>
        <w:pStyle w:val="Heading2"/>
      </w:pPr>
      <w:r>
        <w:t xml:space="preserve">2. Las fórmulas</w:t>
      </w:r>
    </w:p>
    <w:p>
      <w:pPr/>
      <w:r>
        <w:t xml:space="preserve">Son cinco fórmulas: F1 a F4 se aplican a Microfinanzas y PYMES; F5 solo a Empresas.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Fórmula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Para qué sirve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Fuente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</w:t>
            </w:r>
          </w:p>
        </w:tc>
        <w:tc>
          <w:tcPr>
            <w:tcW w:w="2340" w:type="dxa"/>
          </w:tcPr>
          <w:p>
            <w:pPr/>
            <w:r>
              <w:t xml:space="preserve">Pérdida actual = Saldo expuesto × PI actual</w:t>
            </w:r>
          </w:p>
        </w:tc>
        <w:tc>
          <w:tcPr>
            <w:tcW w:w="2340" w:type="dxa"/>
          </w:tcPr>
          <w:p>
            <w:pPr/>
            <w:r>
              <w:t xml:space="preserve">La pérdida de hoy en la zona expuesta</w:t>
            </w:r>
          </w:p>
        </w:tc>
        <w:tc>
          <w:tcPr>
            <w:tcW w:w="2340" w:type="dxa"/>
          </w:tcPr>
          <w:p>
            <w:pPr/>
            <w:r>
              <w:t xml:space="preserve">Datos internos (láminas)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F2</w:t>
            </w:r>
          </w:p>
        </w:tc>
        <w:tc>
          <w:tcPr>
            <w:tcW w:w="2340" w:type="dxa"/>
          </w:tcPr>
          <w:p>
            <w:pPr/>
            <w:r>
              <w:t xml:space="preserve">ΔPD = 18,6 % × shock Alto + 24,0 % × shock Medio + 57,4 % × shock Bajo</w:t>
            </w:r>
          </w:p>
        </w:tc>
        <w:tc>
          <w:tcPr>
            <w:tcW w:w="2340" w:type="dxa"/>
          </w:tcPr>
          <w:p>
            <w:pPr/>
            <w:r>
              <w:t xml:space="preserve">Cuánto sube la PD con El Niño</w:t>
            </w:r>
          </w:p>
        </w:tc>
        <w:tc>
          <w:tcPr>
            <w:tcW w:w="2340" w:type="dxa"/>
          </w:tcPr>
          <w:p>
            <w:pPr/>
            <w:r>
              <w:t xml:space="preserve">Shocks: BCE pág. 39, Tabla 9. Pesos: BCE pág. 23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F3</w:t>
            </w:r>
          </w:p>
        </w:tc>
        <w:tc>
          <w:tcPr>
            <w:tcW w:w="2340" w:type="dxa"/>
          </w:tcPr>
          <w:p>
            <w:pPr/>
            <w:r>
              <w:t xml:space="preserve">Pérdida adicional = Saldo expuesto × ΔPD × LGD</w:t>
            </w:r>
          </w:p>
        </w:tc>
        <w:tc>
          <w:tcPr>
            <w:tcW w:w="2340" w:type="dxa"/>
          </w:tcPr>
          <w:p>
            <w:pPr/>
            <w:r>
              <w:t xml:space="preserve">Lo que agrega El Niño</w:t>
            </w:r>
          </w:p>
        </w:tc>
        <w:tc>
          <w:tcPr>
            <w:tcW w:w="2340" w:type="dxa"/>
          </w:tcPr>
          <w:p>
            <w:pPr/>
            <w:r>
              <w:t xml:space="preserve">Fórmula: BCE págs. 35-36. LGD: BCE pág. 37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F4</w:t>
            </w:r>
          </w:p>
        </w:tc>
        <w:tc>
          <w:tcPr>
            <w:tcW w:w="2340" w:type="dxa"/>
          </w:tcPr>
          <w:p>
            <w:pPr/>
            <w:r>
              <w:t xml:space="preserve">Pérdida El Niño = Pérdida actual + Pérdida adicional</w:t>
            </w:r>
          </w:p>
        </w:tc>
        <w:tc>
          <w:tcPr>
            <w:tcW w:w="2340" w:type="dxa"/>
          </w:tcPr>
          <w:p>
            <w:pPr/>
            <w:r>
              <w:t xml:space="preserve">La pérdida total del escenario</w:t>
            </w:r>
          </w:p>
        </w:tc>
        <w:tc>
          <w:tcPr>
            <w:tcW w:w="2340" w:type="dxa"/>
          </w:tcPr>
          <w:p>
            <w:pPr/>
            <w:r>
              <w:t xml:space="preserve">Suma de F1 y F3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F5</w:t>
            </w:r>
          </w:p>
        </w:tc>
        <w:tc>
          <w:tcPr>
            <w:tcW w:w="2340" w:type="dxa"/>
          </w:tcPr>
          <w:p>
            <w:pPr/>
            <w:r>
              <w:t xml:space="preserve">PI El Niño = PI actual × factor</w:t>
            </w:r>
          </w:p>
        </w:tc>
        <w:tc>
          <w:tcPr>
            <w:tcW w:w="2340" w:type="dxa"/>
          </w:tcPr>
          <w:p>
            <w:pPr/>
            <w:r>
              <w:t xml:space="preserve">Solo Empresas: aumento proporcional</w:t>
            </w:r>
          </w:p>
        </w:tc>
        <w:tc>
          <w:tcPr>
            <w:tcW w:w="2340" w:type="dxa"/>
          </w:tcPr>
          <w:p>
            <w:pPr/>
            <w:r>
              <w:t xml:space="preserve">Factor: BCE pág. 49, Tabla 15</w:t>
            </w:r>
          </w:p>
        </w:tc>
      </w:tr>
    </w:tbl>
    <w:p>
      <w:pPr/>
      <w:r>
        <w:t xml:space="preserve">Para pasar cualquier pérdida a porcentaje: PI % = Pérdida / Saldo expuesto.</w:t>
      </w:r>
    </w:p>
    <w:p>
      <w:pPr>
        <w:pStyle w:val="Heading2"/>
      </w:pPr>
      <w:r>
        <w:t xml:space="preserve">3. De dónde sale cada insumo</w:t>
      </w:r>
    </w:p>
    <w:p>
      <w:pPr/>
      <w:r>
        <w:t xml:space="preserve">Los saldos y las PI actuales son datos internos; los shocks, los pesos, las LGD y el factor salen del BCE (Apuntes de Economía No. 75).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Insumo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Dónde está exactamente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Saldo expuesto</w:t>
            </w:r>
          </w:p>
        </w:tc>
        <w:tc>
          <w:tcPr>
            <w:tcW w:w="3120" w:type="dxa"/>
          </w:tcPr>
          <w:p>
            <w:pPr/>
            <w:r>
              <w:t xml:space="preserve">Micro 449,2 MM · PYMES 334,0 MM · Empresas 746,6 MM</w:t>
            </w:r>
          </w:p>
        </w:tc>
        <w:tc>
          <w:tcPr>
            <w:tcW w:w="3120" w:type="dxa"/>
          </w:tcPr>
          <w:p>
            <w:pPr/>
            <w:r>
              <w:t xml:space="preserve">Interno: lámina de exposición, corte agosto 2026 (142 cantones con influencia directa, sin Quito)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 actual</w:t>
            </w:r>
          </w:p>
        </w:tc>
        <w:tc>
          <w:tcPr>
            <w:tcW w:w="3120" w:type="dxa"/>
          </w:tcPr>
          <w:p>
            <w:pPr/>
            <w:r>
              <w:t xml:space="preserve">Micro 9,8 % · PYMES 6,6 % · Empresas 1,8 %</w:t>
            </w:r>
          </w:p>
        </w:tc>
        <w:tc>
          <w:tcPr>
            <w:tcW w:w="3120" w:type="dxa"/>
          </w:tcPr>
          <w:p>
            <w:pPr/>
            <w:r>
              <w:t xml:space="preserve">Interno: láminas de pérdida incurrida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Shocks de PD, escenario moderado</w:t>
            </w:r>
          </w:p>
        </w:tc>
        <w:tc>
          <w:tcPr>
            <w:tcW w:w="3120" w:type="dxa"/>
          </w:tcPr>
          <w:p>
            <w:pPr/>
            <w:r>
              <w:t xml:space="preserve">+6 pp Alta · +5 pp Media · +3 pp Baja</w:t>
            </w:r>
          </w:p>
        </w:tc>
        <w:tc>
          <w:tcPr>
            <w:tcW w:w="3120" w:type="dxa"/>
          </w:tcPr>
          <w:p>
            <w:pPr/>
            <w:r>
              <w:t xml:space="preserve">BCE pág. 39, Tabla 9, fila "Probabilidad de incumplimiento (PD)", columna Escenario Moderado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Shocks de PD, escenario severo</w:t>
            </w:r>
          </w:p>
        </w:tc>
        <w:tc>
          <w:tcPr>
            <w:tcW w:w="3120" w:type="dxa"/>
          </w:tcPr>
          <w:p>
            <w:pPr/>
            <w:r>
              <w:t xml:space="preserve">+15 pp Alta · +10 pp Media · +5 pp Baja</w:t>
            </w:r>
          </w:p>
        </w:tc>
        <w:tc>
          <w:tcPr>
            <w:tcW w:w="3120" w:type="dxa"/>
          </w:tcPr>
          <w:p>
            <w:pPr/>
            <w:r>
              <w:t xml:space="preserve">BCE pág. 39, Tabla 9, misma fila, columna Escenario Severo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Pesos por zona</w:t>
            </w:r>
          </w:p>
        </w:tc>
        <w:tc>
          <w:tcPr>
            <w:tcW w:w="3120" w:type="dxa"/>
          </w:tcPr>
          <w:p>
            <w:pPr/>
            <w:r>
              <w:t xml:space="preserve">Alta 18,6 % · Media 24,0 % · Baja 57,4 %</w:t>
            </w:r>
          </w:p>
        </w:tc>
        <w:tc>
          <w:tcPr>
            <w:tcW w:w="3120" w:type="dxa"/>
          </w:tcPr>
          <w:p>
            <w:pPr/>
            <w:r>
              <w:t xml:space="preserve">BCE pág. 23, sección 2.3, primer párrafo: 3.830, 4.940 y 11.804 MM sobre 20.574 MM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LGD</w:t>
            </w:r>
          </w:p>
        </w:tc>
        <w:tc>
          <w:tcPr>
            <w:tcW w:w="3120" w:type="dxa"/>
          </w:tcPr>
          <w:p>
            <w:pPr/>
            <w:r>
              <w:t xml:space="preserve">Microcrédito 70 % · Productivo 40 %</w:t>
            </w:r>
          </w:p>
        </w:tc>
        <w:tc>
          <w:tcPr>
            <w:tcW w:w="3120" w:type="dxa"/>
          </w:tcPr>
          <w:p>
            <w:pPr/>
            <w:r>
              <w:t xml:space="preserve">BCE pág. 37, primer párrafo; se repite en la Tabla 9, pág. 39, fila "Severidad (LGD)"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Factor multiplicativo</w:t>
            </w:r>
          </w:p>
        </w:tc>
        <w:tc>
          <w:tcPr>
            <w:tcW w:w="3120" w:type="dxa"/>
          </w:tcPr>
          <w:p>
            <w:pPr/>
            <w:r>
              <w:t xml:space="preserve">1,555 (≈ 1,6)</w:t>
            </w:r>
          </w:p>
        </w:tc>
        <w:tc>
          <w:tcPr>
            <w:tcW w:w="3120" w:type="dxa"/>
          </w:tcPr>
          <w:p>
            <w:pPr/>
            <w:r>
              <w:t xml:space="preserve">BCE pág. 49, Tabla 15, fila Bancos privados: 1.230 (severo) / 791 (base)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Moderado ≈ Niño 1997-98</w:t>
            </w:r>
          </w:p>
        </w:tc>
        <w:tc>
          <w:tcPr>
            <w:tcW w:w="3120" w:type="dxa"/>
          </w:tcPr>
          <w:p>
            <w:pPr/>
            <w:r>
              <w:t xml:space="preserve">Cómo se interpreta el escenario</w:t>
            </w:r>
          </w:p>
        </w:tc>
        <w:tc>
          <w:tcPr>
            <w:tcW w:w="3120" w:type="dxa"/>
          </w:tcPr>
          <w:p>
            <w:pPr/>
            <w:r>
              <w:t xml:space="preserve">BCE pág. 40, primer párrafo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Zona de afectación</w:t>
            </w:r>
          </w:p>
        </w:tc>
        <w:tc>
          <w:tcPr>
            <w:tcW w:w="3120" w:type="dxa"/>
          </w:tcPr>
          <w:p>
            <w:pPr/>
            <w:r>
              <w:t xml:space="preserve">143 cantones (los 142 usados = sin Quito)</w:t>
            </w:r>
          </w:p>
        </w:tc>
        <w:tc>
          <w:tcPr>
            <w:tcW w:w="3120" w:type="dxa"/>
          </w:tcPr>
          <w:p>
            <w:pPr/>
            <w:r>
              <w:t xml:space="preserve">BCE pág. 11, segundo párrafo</w:t>
            </w:r>
          </w:p>
        </w:tc>
      </w:tr>
    </w:tbl>
    <w:p>
      <w:pPr>
        <w:pStyle w:val="Heading2"/>
      </w:pPr>
      <w:r>
        <w:t xml:space="preserve">4. Paso a paso por lámina</w:t>
      </w:r>
    </w:p>
    <w:p>
      <w:pPr/>
      <w:r>
        <w:t xml:space="preserve">Las tres láminas suman 39,2 MM de pérdida adicional: 25,6 en Microfinanzas, 5,4 en PYMES y 8,2 en Empresas.</w:t>
      </w:r>
    </w:p>
    <w:p>
      <w:pPr>
        <w:pStyle w:val="Heading3"/>
      </w:pPr>
      <w:r>
        <w:t xml:space="preserve">Microfinanzas: escenario severo del BCE</w:t>
      </w:r>
    </w:p>
    <w:p>
      <w:pPr>
        <w:pStyle w:val="ListParagraph"/>
        <w:numPr>
          <w:ilvl w:val="0"/>
          <w:numId w:val="2"/>
        </w:numPr>
      </w:pPr>
      <w:r>
        <w:t xml:space="preserve">Pérdida actual (F1): 449,2 × 9,8 % = </w:t>
      </w:r>
      <w:r>
        <w:rPr>
          <w:b/>
        </w:rPr>
        <w:t xml:space="preserve">44,0 MM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Aumento de PD (F2, severo): 18,6 % × 15 + 24,0 % × 10 + 57,4 % × 5 = 2,79 + 2,40 + 2,87 = </w:t>
      </w:r>
      <w:r>
        <w:rPr>
          <w:b/>
        </w:rPr>
        <w:t xml:space="preserve">8,06 pp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Aumento de la tasa de pérdida: 8,06 pp × LGD 70 % = 5,64 pp. La lámina usa </w:t>
      </w:r>
      <w:r>
        <w:rPr>
          <w:b/>
        </w:rPr>
        <w:t xml:space="preserve">5,7 pp</w:t>
      </w:r>
      <w:r>
        <w:t xml:space="preserve"> (15,5 % − 9,8 %).</w:t>
      </w:r>
    </w:p>
    <w:p>
      <w:pPr>
        <w:pStyle w:val="ListParagraph"/>
        <w:numPr>
          <w:ilvl w:val="0"/>
          <w:numId w:val="2"/>
        </w:numPr>
      </w:pPr>
      <w:r>
        <w:t xml:space="preserve">Pérdida adicional (F3): 449,2 × 5,7 % = </w:t>
      </w:r>
      <w:r>
        <w:rPr>
          <w:b/>
        </w:rPr>
        <w:t xml:space="preserve">25,6 MM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Pérdida El Niño (F4): 44,0 + 25,6 = </w:t>
      </w:r>
      <w:r>
        <w:rPr>
          <w:b/>
        </w:rPr>
        <w:t xml:space="preserve">69,6 MM</w:t>
      </w:r>
      <w:r>
        <w:t xml:space="preserve">, es decir, 69,6 / 449,2 = </w:t>
      </w:r>
      <w:r>
        <w:rPr>
          <w:b/>
        </w:rPr>
        <w:t xml:space="preserve">15,5 %</w:t>
      </w:r>
      <w:r>
        <w:t xml:space="preserve">.</w:t>
      </w:r>
    </w:p>
    <w:p>
      <w:pPr/>
      <w:r>
        <w:t xml:space="preserve">Con los 5,64 pp exactos serían 15,4 % y +25,3 MM. La diferencia viene del cálculo original de julio, que usó una mezcla de zonas algo más riesgosa.</w:t>
      </w:r>
    </w:p>
    <w:p>
      <w:pPr>
        <w:pStyle w:val="Heading3"/>
      </w:pPr>
      <w:r>
        <w:t xml:space="preserve">PYMES: escenario moderado del BCE</w:t>
      </w:r>
    </w:p>
    <w:p>
      <w:pPr>
        <w:pStyle w:val="ListParagraph"/>
        <w:numPr>
          <w:ilvl w:val="0"/>
          <w:numId w:val="3"/>
        </w:numPr>
      </w:pPr>
      <w:r>
        <w:t xml:space="preserve">Pérdida actual (F1): 334,0 × 6,6 % = </w:t>
      </w:r>
      <w:r>
        <w:rPr>
          <w:b/>
        </w:rPr>
        <w:t xml:space="preserve">22,0 MM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Aumento de PD (F2, moderado): 18,6 % × 6 + 24,0 % × 5 + 57,4 % × 3 = 1,12 + 1,20 + 1,72 = </w:t>
      </w:r>
      <w:r>
        <w:rPr>
          <w:b/>
        </w:rPr>
        <w:t xml:space="preserve">4,04 pp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Aumento de la tasa de pérdida: 4,04 pp × LGD 40 % = </w:t>
      </w:r>
      <w:r>
        <w:rPr>
          <w:b/>
        </w:rPr>
        <w:t xml:space="preserve">1,62 pp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Pérdida adicional (F3): 334,0 × 1,62 % = </w:t>
      </w:r>
      <w:r>
        <w:rPr>
          <w:b/>
        </w:rPr>
        <w:t xml:space="preserve">5,4 MM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Pérdida El Niño (F4): 22,0 + 5,4 = </w:t>
      </w:r>
      <w:r>
        <w:rPr>
          <w:b/>
        </w:rPr>
        <w:t xml:space="preserve">27,4 MM</w:t>
      </w:r>
      <w:r>
        <w:t xml:space="preserve">, es decir, </w:t>
      </w:r>
      <w:r>
        <w:rPr>
          <w:b/>
        </w:rPr>
        <w:t xml:space="preserve">8,2 %</w:t>
      </w:r>
      <w:r>
        <w:t xml:space="preserve">.</w:t>
      </w:r>
    </w:p>
    <w:p>
      <w:pPr>
        <w:pStyle w:val="Heading3"/>
      </w:pPr>
      <w:r>
        <w:t xml:space="preserve">Empresas: factor del BCE (método multiplicativo)</w:t>
      </w:r>
    </w:p>
    <w:p>
      <w:pPr>
        <w:pStyle w:val="ListParagraph"/>
        <w:numPr>
          <w:ilvl w:val="0"/>
          <w:numId w:val="4"/>
        </w:numPr>
      </w:pPr>
      <w:r>
        <w:t xml:space="preserve">Pérdida actual (F1): 746,6 × 1,8 % = </w:t>
      </w:r>
      <w:r>
        <w:rPr>
          <w:b/>
        </w:rPr>
        <w:t xml:space="preserve">13,4 MM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Factor: 1.230 / 791 = 1,555, redondeado a </w:t>
      </w:r>
      <w:r>
        <w:rPr>
          <w:b/>
        </w:rPr>
        <w:t xml:space="preserve">1,6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PI El Niño (F5): 1,8 % × 1,6 = 2,88 % ≈ </w:t>
      </w:r>
      <w:r>
        <w:rPr>
          <w:b/>
        </w:rPr>
        <w:t xml:space="preserve">2,9 %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Pérdida El Niño: 746,6 × 2,9 % = </w:t>
      </w:r>
      <w:r>
        <w:rPr>
          <w:b/>
        </w:rPr>
        <w:t xml:space="preserve">21,6 MM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Pérdida adicional: 21,6 − 13,4 = </w:t>
      </w:r>
      <w:r>
        <w:rPr>
          <w:b/>
        </w:rPr>
        <w:t xml:space="preserve">8,2 MM</w:t>
      </w:r>
      <w:r>
        <w:t xml:space="preserve">.</w:t>
      </w:r>
    </w:p>
    <w:p>
      <w:pPr/>
      <w:r>
        <w:t xml:space="preserve">Con el factor sin redondear (1,555) serían 2,8 % y +7,5 MM. Con el método aditivo (F2 y F3), Empresas llegaría a 5,0 % y +24,1 MM; por eso conviene presentarla como rango.</w:t>
      </w:r>
    </w:p>
    <w:p>
      <w:pPr>
        <w:pStyle w:val="Heading3"/>
      </w:pPr>
      <w:r>
        <w:t xml:space="preserve">Consolidado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Cartera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Saldo expuesto (USD MM)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Pérdida actual (USD MM)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Pérdida El Niño (USD MM)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Adicional (USD MM)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Microfinanzas</w:t>
            </w:r>
          </w:p>
        </w:tc>
        <w:tc>
          <w:tcPr>
            <w:tcW w:w="1872" w:type="dxa"/>
          </w:tcPr>
          <w:p>
            <w:pPr/>
            <w:r>
              <w:t xml:space="preserve">449,2</w:t>
            </w:r>
          </w:p>
        </w:tc>
        <w:tc>
          <w:tcPr>
            <w:tcW w:w="1872" w:type="dxa"/>
          </w:tcPr>
          <w:p>
            <w:pPr/>
            <w:r>
              <w:t xml:space="preserve">44,0 (9,8 %)</w:t>
            </w:r>
          </w:p>
        </w:tc>
        <w:tc>
          <w:tcPr>
            <w:tcW w:w="1872" w:type="dxa"/>
          </w:tcPr>
          <w:p>
            <w:pPr/>
            <w:r>
              <w:t xml:space="preserve">69,6 (15,5 %)</w:t>
            </w:r>
          </w:p>
        </w:tc>
        <w:tc>
          <w:tcPr>
            <w:tcW w:w="1872" w:type="dxa"/>
          </w:tcPr>
          <w:p>
            <w:pPr/>
            <w:r>
              <w:t xml:space="preserve">+25,6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PYMES</w:t>
            </w:r>
          </w:p>
        </w:tc>
        <w:tc>
          <w:tcPr>
            <w:tcW w:w="1872" w:type="dxa"/>
          </w:tcPr>
          <w:p>
            <w:pPr/>
            <w:r>
              <w:t xml:space="preserve">334,0</w:t>
            </w:r>
          </w:p>
        </w:tc>
        <w:tc>
          <w:tcPr>
            <w:tcW w:w="1872" w:type="dxa"/>
          </w:tcPr>
          <w:p>
            <w:pPr/>
            <w:r>
              <w:t xml:space="preserve">22,0 (6,6 %)</w:t>
            </w:r>
          </w:p>
        </w:tc>
        <w:tc>
          <w:tcPr>
            <w:tcW w:w="1872" w:type="dxa"/>
          </w:tcPr>
          <w:p>
            <w:pPr/>
            <w:r>
              <w:t xml:space="preserve">27,4 (8,2 %)</w:t>
            </w:r>
          </w:p>
        </w:tc>
        <w:tc>
          <w:tcPr>
            <w:tcW w:w="1872" w:type="dxa"/>
          </w:tcPr>
          <w:p>
            <w:pPr/>
            <w:r>
              <w:t xml:space="preserve">+5,4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Empresas</w:t>
            </w:r>
          </w:p>
        </w:tc>
        <w:tc>
          <w:tcPr>
            <w:tcW w:w="1872" w:type="dxa"/>
          </w:tcPr>
          <w:p>
            <w:pPr/>
            <w:r>
              <w:t xml:space="preserve">746,6</w:t>
            </w:r>
          </w:p>
        </w:tc>
        <w:tc>
          <w:tcPr>
            <w:tcW w:w="1872" w:type="dxa"/>
          </w:tcPr>
          <w:p>
            <w:pPr/>
            <w:r>
              <w:t xml:space="preserve">13,4 (1,8 %)</w:t>
            </w:r>
          </w:p>
        </w:tc>
        <w:tc>
          <w:tcPr>
            <w:tcW w:w="1872" w:type="dxa"/>
          </w:tcPr>
          <w:p>
            <w:pPr/>
            <w:r>
              <w:t xml:space="preserve">21,6 (2,9 %)</w:t>
            </w:r>
          </w:p>
        </w:tc>
        <w:tc>
          <w:tcPr>
            <w:tcW w:w="1872" w:type="dxa"/>
          </w:tcPr>
          <w:p>
            <w:pPr/>
            <w:r>
              <w:t xml:space="preserve">+8,2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Total</w:t>
            </w:r>
          </w:p>
        </w:tc>
        <w:tc>
          <w:tcPr>
            <w:tcW w:w="1872" w:type="dxa"/>
          </w:tcPr>
          <w:p>
            <w:pPr/>
            <w:r>
              <w:t xml:space="preserve">1.529,8</w:t>
            </w:r>
          </w:p>
        </w:tc>
        <w:tc>
          <w:tcPr>
            <w:tcW w:w="1872" w:type="dxa"/>
          </w:tcPr>
          <w:p>
            <w:pPr/>
            <w:r>
              <w:t xml:space="preserve">79,4 (5,2 %)</w:t>
            </w:r>
          </w:p>
        </w:tc>
        <w:tc>
          <w:tcPr>
            <w:tcW w:w="1872" w:type="dxa"/>
          </w:tcPr>
          <w:p>
            <w:pPr/>
            <w:r>
              <w:t xml:space="preserve">118,6 (7,8 %)</w:t>
            </w:r>
          </w:p>
        </w:tc>
        <w:tc>
          <w:tcPr>
            <w:tcW w:w="1872" w:type="dxa"/>
          </w:tcPr>
          <w:p>
            <w:pPr/>
            <w:r>
              <w:t xml:space="preserve">+39,2</w:t>
            </w:r>
          </w:p>
        </w:tc>
      </w:tr>
    </w:tbl>
    <w:p>
      <w:pPr>
        <w:pStyle w:val="Heading2"/>
      </w:pPr>
      <w:r>
        <w:t xml:space="preserve">5. Texto para las notas al pie de las láminas</w:t>
      </w:r>
    </w:p>
    <w:p>
      <w:pPr/>
      <w:r>
        <w:t xml:space="preserve">Copia cada nota en el asterisco (*) de su lámina.</w:t>
      </w:r>
    </w:p>
    <w:p>
      <w:pPr/>
      <w:r>
        <w:rPr>
          <w:b/>
        </w:rPr>
        <w:t xml:space="preserve">Lámina Microfinanzas.</w:t>
      </w:r>
      <w:r>
        <w:t xml:space="preserve"> *Escenario severo: BCE, Apuntes de Economía No. 75 (2024). Aumento de PD por zona de riesgo (+15/+10/+5 pp, Tabla 9, pág. 39), ponderado por la exposición del sistema (pág. 23), con LGD de microcrédito de 70 % (pág. 37). Pérdida adicional = saldo expuesto × ΔPD × LGD.</w:t>
      </w:r>
    </w:p>
    <w:p>
      <w:pPr/>
      <w:r>
        <w:rPr>
          <w:b/>
        </w:rPr>
        <w:t xml:space="preserve">Lámina PYMES.</w:t>
      </w:r>
      <w:r>
        <w:t xml:space="preserve"> *Escenario moderado: BCE, Apuntes de Economía No. 75 (2024). Aumento de PD por zona de riesgo (+6/+5/+3 pp, Tabla 9, pág. 39), ponderado por la exposición del sistema (pág. 23) = 4,04 pp, con LGD de crédito productivo de 40 % (pág. 37).</w:t>
      </w:r>
    </w:p>
    <w:p>
      <w:pPr/>
      <w:r>
        <w:rPr>
          <w:b/>
        </w:rPr>
        <w:t xml:space="preserve">Lámina Empresas.</w:t>
      </w:r>
      <w:r>
        <w:t xml:space="preserve"> *Factor de estrés severo de la banca privada: BCE, Apuntes de Economía No. 75 (2024), Tabla 15, pág. 49 (1.230 / 791 ≈ 1,6), aplicado a la pérdida incurrida actual.</w:t>
      </w:r>
    </w:p>
    <w:p>
      <w:pPr/>
      <w:r>
        <w:rPr>
          <w:b/>
        </w:rPr>
        <w:t xml:space="preserve">Lámina de exposición.</w:t>
      </w:r>
      <w:r>
        <w:t xml:space="preserve"> Zona expuesta: 142 cantones con influencia directa del Fenómeno de El Niño, sin Quito (listado SGR de 143 cantones citado por el BCE, pág. 11). Saldos a agosto de 2026.</w:t>
      </w:r>
    </w:p>
    <w:p>
      <w:pPr>
        <w:pStyle w:val="Heading2"/>
      </w:pPr>
      <w:r>
        <w:t xml:space="preserve">Fuentes</w:t>
      </w:r>
    </w:p>
    <w:p>
      <w:pPr>
        <w:pStyle w:val="ListParagraph"/>
        <w:numPr>
          <w:ilvl w:val="0"/>
          <w:numId w:val="5"/>
        </w:numPr>
      </w:pPr>
      <w:r>
        <w:t xml:space="preserve">Banco Central del Ecuador (2024), </w:t>
      </w:r>
      <w:hyperlink r:id="rId3" w:history="1">
        <w:r>
          <w:rPr>
            <w:rStyle w:val="Hyperlink"/>
          </w:rPr>
          <w:t xml:space="preserve">Apuntes de Economía No. 75</w:t>
        </w:r>
      </w:hyperlink>
      <w:r>
        <w:t xml:space="preserve">, "Estimación de las pérdidas en el crédito del Sistema Financiero Nacional por la eventual presencia del Fenómeno El Niño": págs. 11, 23, 35-37, 39, 40 y 49.</w:t>
      </w:r>
    </w:p>
    <w:p>
      <w:pPr>
        <w:pStyle w:val="ListParagraph"/>
        <w:numPr>
          <w:ilvl w:val="0"/>
          <w:numId w:val="5"/>
        </w:numPr>
      </w:pPr>
      <w:r>
        <w:t xml:space="preserve">Láminas internas, corte agosto 2026: saldos expuestos y PI actual por segmento.</w:t>
      </w:r>
    </w:p>
    <w:p>
      <w:pPr>
        <w:pStyle w:val="ListParagraph"/>
        <w:numPr>
          <w:ilvl w:val="0"/>
          <w:numId w:val="5"/>
        </w:numPr>
      </w:pPr>
      <w:r>
        <w:t xml:space="preserve">IFRS Foundation, </w:t>
      </w:r>
      <w:hyperlink r:id="rId4" w:history="1">
        <w:r>
          <w:rPr>
            <w:rStyle w:val="Hyperlink"/>
          </w:rPr>
          <w:t xml:space="preserve">NIIF 9, ejemplos ilustrativos 9 y 12</w:t>
        </w:r>
      </w:hyperlink>
      <w:r>
        <w:t xml:space="preserve">: pérdida esperada con tasas de pérdida, sin PD explícita (respalda usar la PI como base).</w:t>
      </w:r>
    </w:p>
    <w:p>
      <w:pPr>
        <w:pStyle w:val="ListParagraph"/>
        <w:numPr>
          <w:ilvl w:val="0"/>
          <w:numId w:val="5"/>
        </w:numPr>
      </w:pPr>
      <w:r>
        <w:t xml:space="preserve">Čihák, M. (2007), </w:t>
      </w:r>
      <w:hyperlink r:id="rId5" w:history="1">
        <w:r>
          <w:rPr>
            <w:rStyle w:val="Hyperlink"/>
          </w:rPr>
          <w:t xml:space="preserve">Introduction to Applied Stress Testing</w:t>
        </w:r>
      </w:hyperlink>
      <w:r>
        <w:t xml:space="preserve">, IMF Working Paper 07/59: pruebas de estrés de crédito con datos agregados.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ontenido.bce.fin.ec/documentos/PublicacionesNotas/Catalogo/Apuntes/indapun.htm" TargetMode="External"/><Relationship Id="rId4" Type="http://schemas.openxmlformats.org/officeDocument/2006/relationships/hyperlink" Target="https://www.ifrs.org/content/dam/ifrs/publications/html-standards/english/2023/issued/ifrs9-ie.html" TargetMode="External"/><Relationship Id="rId5" Type="http://schemas.openxmlformats.org/officeDocument/2006/relationships/hyperlink" Target="https://www.imf.org/en/Publications/WP/Issues/2016/12/31/Introduction-to-Applied-Stress-Testing-20222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Guía paso a paso cálculo de la pérdida por El Niño para la presentación</dc:title>
  <dc:description>Claude Docs node/25e210fe-df0a@7 docx-w6</dc:description>
  <cp:revision>7</cp:revision>
</cp:coreProperties>
</file>