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Speech: Impacto del Fenómeno de El Niño en las carteras Micro, Empresas y PES</w:t>
      </w:r>
    </w:p>
    <w:p>
      <w:pPr/>
      <w:r>
        <w:t xml:space="preserve">Oct 4, 2026</w:t>
      </w:r>
      <w:r>
        <w:t xml:space="preserve"> · </w:t>
      </w:r>
      <w:r>
        <w:t xml:space="preserve">@Cristian</w:t>
      </w:r>
    </w:p>
    <w:p>
      <w:pPr>
        <w:pStyle w:val="Heading2"/>
      </w:pPr>
      <w:r>
        <w:t xml:space="preserve">Speech (corte agosto 2026)</w:t>
      </w:r>
    </w:p>
    <w:p>
      <w:pPr/>
      <w:r>
        <w:t xml:space="preserve">Duración aproximada: 3 minutos. Presenta las cifras de las láminas con la corrección de micro (ver "Correcciones a las láminas").</w:t>
      </w:r>
    </w:p>
    <w:p>
      <w:pPr/>
      <w:r>
        <w:rPr>
          <w:b/>
        </w:rPr>
        <w:t xml:space="preserve">Apertura.</w:t>
      </w:r>
      <w:r>
        <w:t xml:space="preserve"> Buenos días. Quiero mostrarles cuánto podría costarnos el Fenómeno de El Niño en microfinanzas, PYMES y Empresas, y cómo llegamos a esas cifras.</w:t>
      </w:r>
    </w:p>
    <w:p>
      <w:pPr/>
      <w:r>
        <w:rPr>
          <w:b/>
        </w:rPr>
        <w:t xml:space="preserve">Contexto.</w:t>
      </w:r>
      <w:r>
        <w:t xml:space="preserve"> El 29 de agosto la Secretaría Nacional de Gestión de Riesgos declaró Alerta Roja en todo el país. A mediados de septiembre, el mar estaba 2,9 °C sobre lo normal en el Pacífico central y 4,5 °C frente a nuestras costas. En la escala que cita el Banco Central, una anomalía sobre 2 °C ya es un Niño muy fuerte.</w:t>
      </w:r>
    </w:p>
    <w:p>
      <w:pPr/>
      <w:r>
        <w:t xml:space="preserve">El mayor impacto de las lluvias se espera entre noviembre de 2026 y marzo de 2027. El efecto en los pagos llegará con rezago, sobre todo durante 2027.</w:t>
      </w:r>
    </w:p>
    <w:p>
      <w:pPr/>
      <w:r>
        <w:rPr>
          <w:b/>
        </w:rPr>
        <w:t xml:space="preserve">Nuestra exposición.</w:t>
      </w:r>
      <w:r>
        <w:t xml:space="preserve"> Definimos la zona de afectación con 142 cantones declarados con influencia directa, sin incluir Quito, y con las actividades históricamente afectadas. A agosto tenemos 1.529,8 millones expuestos: 449,2 en microfinanzas, 334,0 en PYMES y 746,6 en Empresas. Hoy esa cartera tiene una pérdida incurrida de 79,4 millones.</w:t>
      </w:r>
    </w:p>
    <w:p>
      <w:pPr/>
      <w:r>
        <w:rPr>
          <w:b/>
        </w:rPr>
        <w:t xml:space="preserve">Método.</w:t>
      </w:r>
      <w:r>
        <w:t xml:space="preserve"> Usamos como referencia la metodología del Banco Central del Ecuador, publicada en su Apunte de Economía 75. A cada segmento le asignamos un escenario según su sensibilidad al clima.</w:t>
      </w:r>
    </w:p>
    <w:p>
      <w:pPr/>
      <w:r>
        <w:rPr>
          <w:b/>
        </w:rPr>
        <w:t xml:space="preserve">Microfinanzas.</w:t>
      </w:r>
      <w:r>
        <w:t xml:space="preserve"> Es el segmento más sensible, por eso aplicamos el escenario severo del BCE. La pérdida pasaría de 9,8 % a 15,5 % de la cartera expuesta: de 44,0 a 69,6 millones, es decir, 25,6 millones adicionales.</w:t>
      </w:r>
    </w:p>
    <w:p>
      <w:pPr/>
      <w:r>
        <w:rPr>
          <w:b/>
        </w:rPr>
        <w:t xml:space="preserve">PYMES.</w:t>
      </w:r>
      <w:r>
        <w:t xml:space="preserve"> Aplicamos el escenario moderado del BCE. La pérdida pasaría de 6,6 % a 8,2 %: de 22,0 a 27,4 millones, 5,4 millones adicionales.</w:t>
      </w:r>
    </w:p>
    <w:p>
      <w:pPr/>
      <w:r>
        <w:rPr>
          <w:b/>
        </w:rPr>
        <w:t xml:space="preserve">Empresas.</w:t>
      </w:r>
      <w:r>
        <w:t xml:space="preserve"> Sus clientes tienen operaciones más diversificadas y mejores garantías, por eso el aumento es proporcional a su riesgo actual. La pérdida pasaría de 1,8 % a 2,9 %: de 13,4 a 21,6 millones, 8,2 millones adicionales.</w:t>
      </w:r>
    </w:p>
    <w:p>
      <w:pPr/>
      <w:r>
        <w:rPr>
          <w:b/>
        </w:rPr>
        <w:t xml:space="preserve">Total.</w:t>
      </w:r>
      <w:r>
        <w:t xml:space="preserve"> En conjunto, El Niño sumaría 39,2 millones de pérdida incurrida adicional. La pérdida de la cartera expuesta pasaría de 79,4 a 118,6 millones.</w:t>
      </w:r>
    </w:p>
    <w:p>
      <w:pPr/>
      <w:r>
        <w:rPr>
          <w:b/>
        </w:rPr>
        <w:t xml:space="preserve">El rango.</w:t>
      </w:r>
      <w:r>
        <w:t xml:space="preserve"> Si aplicamos el mismo escenario del BCE a los tres segmentos, el adicional va de 30 millones en el moderado a 60 millones en el severo. En un escenario extremo, con toda la cartera expuesta como zona de riesgo alto, llegaría a 112 millones. Nuestro escenario asignado queda entre el moderado y el severo.</w:t>
      </w:r>
    </w:p>
    <w:p>
      <w:pPr/>
      <w:r>
        <w:rPr>
          <w:b/>
        </w:rPr>
        <w:t xml:space="preserve">Cierre.</w:t>
      </w:r>
      <w:r>
        <w:t xml:space="preserve"> El evento actual ya es más intenso que el que el BCE modeló en 2024, y el BCE estima que un Niño fuerte restaría 1,4 puntos al PIB de 2027. Si la Junta de Política y Regulación Financiera activa diferimientos, la mora visible se retrasará, pero la pérdida no desaparece. Proponemos monitorear estas carteras cada mes por zona y actualizar los escenarios con cada boletín del ERFEN.</w:t>
      </w:r>
    </w:p>
    <w:p>
      <w:pPr>
        <w:pStyle w:val="Heading2"/>
      </w:pPr>
      <w:r>
        <w:t xml:space="preserve">Tabla final de escenarios (corte agosto 2026)</w:t>
      </w:r>
    </w:p>
    <w:p>
      <w:pPr/>
      <w:r>
        <w:t xml:space="preserve">El escenario asignado en las láminas suma 39,2 MM de pérdida adicional. Queda entre el moderado (30,2 MM) y el severo (60,5 MM) del BCE aplicados a los tres segmentos.</w:t>
      </w:r>
    </w:p>
    <w:p>
      <w:pPr/>
      <w:r>
        <w:rPr>
          <w:b/>
        </w:rPr>
        <w:t xml:space="preserve">Escenario asignado (láminas, con la corrección de micro).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Cartera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Expuesto (USD MM)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Pérdida actual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Pérdida El Niño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Adicional (USD MM)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Equivale 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Microfinanzas</w:t>
            </w:r>
          </w:p>
        </w:tc>
        <w:tc>
          <w:tcPr>
            <w:tcW w:w="1560" w:type="dxa"/>
          </w:tcPr>
          <w:p>
            <w:pPr/>
            <w:r>
              <w:t xml:space="preserve">449,2</w:t>
            </w:r>
          </w:p>
        </w:tc>
        <w:tc>
          <w:tcPr>
            <w:tcW w:w="1560" w:type="dxa"/>
          </w:tcPr>
          <w:p>
            <w:pPr/>
            <w:r>
              <w:t xml:space="preserve">9,8 % · 44,0 MM</w:t>
            </w:r>
          </w:p>
        </w:tc>
        <w:tc>
          <w:tcPr>
            <w:tcW w:w="1560" w:type="dxa"/>
          </w:tcPr>
          <w:p>
            <w:pPr/>
            <w:r>
              <w:t xml:space="preserve">15,5 % · 69,6 MM</w:t>
            </w:r>
          </w:p>
        </w:tc>
        <w:tc>
          <w:tcPr>
            <w:tcW w:w="1560" w:type="dxa"/>
          </w:tcPr>
          <w:p>
            <w:pPr/>
            <w:r>
              <w:t xml:space="preserve">+25,6</w:t>
            </w:r>
          </w:p>
        </w:tc>
        <w:tc>
          <w:tcPr>
            <w:tcW w:w="1560" w:type="dxa"/>
          </w:tcPr>
          <w:p>
            <w:pPr/>
            <w:r>
              <w:t xml:space="preserve">Severo BCE (LGD 70 %)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PYMES</w:t>
            </w:r>
          </w:p>
        </w:tc>
        <w:tc>
          <w:tcPr>
            <w:tcW w:w="1560" w:type="dxa"/>
          </w:tcPr>
          <w:p>
            <w:pPr/>
            <w:r>
              <w:t xml:space="preserve">334,0</w:t>
            </w:r>
          </w:p>
        </w:tc>
        <w:tc>
          <w:tcPr>
            <w:tcW w:w="1560" w:type="dxa"/>
          </w:tcPr>
          <w:p>
            <w:pPr/>
            <w:r>
              <w:t xml:space="preserve">6,6 % · 22,0 MM</w:t>
            </w:r>
          </w:p>
        </w:tc>
        <w:tc>
          <w:tcPr>
            <w:tcW w:w="1560" w:type="dxa"/>
          </w:tcPr>
          <w:p>
            <w:pPr/>
            <w:r>
              <w:t xml:space="preserve">8,2 % · 27,4 MM</w:t>
            </w:r>
          </w:p>
        </w:tc>
        <w:tc>
          <w:tcPr>
            <w:tcW w:w="1560" w:type="dxa"/>
          </w:tcPr>
          <w:p>
            <w:pPr/>
            <w:r>
              <w:t xml:space="preserve">+5,4</w:t>
            </w:r>
          </w:p>
        </w:tc>
        <w:tc>
          <w:tcPr>
            <w:tcW w:w="1560" w:type="dxa"/>
          </w:tcPr>
          <w:p>
            <w:pPr/>
            <w:r>
              <w:t xml:space="preserve">Moderado BCE (LGD 40 %)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Empresas</w:t>
            </w:r>
          </w:p>
        </w:tc>
        <w:tc>
          <w:tcPr>
            <w:tcW w:w="1560" w:type="dxa"/>
          </w:tcPr>
          <w:p>
            <w:pPr/>
            <w:r>
              <w:t xml:space="preserve">746,6</w:t>
            </w:r>
          </w:p>
        </w:tc>
        <w:tc>
          <w:tcPr>
            <w:tcW w:w="1560" w:type="dxa"/>
          </w:tcPr>
          <w:p>
            <w:pPr/>
            <w:r>
              <w:t xml:space="preserve">1,8 % · 13,4 MM</w:t>
            </w:r>
          </w:p>
        </w:tc>
        <w:tc>
          <w:tcPr>
            <w:tcW w:w="1560" w:type="dxa"/>
          </w:tcPr>
          <w:p>
            <w:pPr/>
            <w:r>
              <w:t xml:space="preserve">2,9 % · 21,6 MM</w:t>
            </w:r>
          </w:p>
        </w:tc>
        <w:tc>
          <w:tcPr>
            <w:tcW w:w="1560" w:type="dxa"/>
          </w:tcPr>
          <w:p>
            <w:pPr/>
            <w:r>
              <w:t xml:space="preserve">+8,2</w:t>
            </w:r>
          </w:p>
        </w:tc>
        <w:tc>
          <w:tcPr>
            <w:tcW w:w="1560" w:type="dxa"/>
          </w:tcPr>
          <w:p>
            <w:pPr/>
            <w:r>
              <w:t xml:space="preserve">Severo multiplicativo (×1,6)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Total</w:t>
            </w:r>
          </w:p>
        </w:tc>
        <w:tc>
          <w:tcPr>
            <w:tcW w:w="1560" w:type="dxa"/>
          </w:tcPr>
          <w:p>
            <w:pPr/>
            <w:r>
              <w:t xml:space="preserve">1.529,8</w:t>
            </w:r>
          </w:p>
        </w:tc>
        <w:tc>
          <w:tcPr>
            <w:tcW w:w="1560" w:type="dxa"/>
          </w:tcPr>
          <w:p>
            <w:pPr/>
            <w:r>
              <w:t xml:space="preserve">5,2 % · 79,4 MM</w:t>
            </w:r>
          </w:p>
        </w:tc>
        <w:tc>
          <w:tcPr>
            <w:tcW w:w="1560" w:type="dxa"/>
          </w:tcPr>
          <w:p>
            <w:pPr/>
            <w:r>
              <w:t xml:space="preserve">7,8 % · 118,6 MM</w:t>
            </w:r>
          </w:p>
        </w:tc>
        <w:tc>
          <w:tcPr>
            <w:tcW w:w="1560" w:type="dxa"/>
          </w:tcPr>
          <w:p>
            <w:pPr/>
            <w:r>
              <w:t xml:space="preserve">+39,2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Escenarios homogéneos del BCE (el mismo escenario para los tres segmentos).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Cartera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Escenario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PI sobre cartera expuesta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Pérdida en zona expuesta (USD MM)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Adicional vs. actual (USD MM)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Impacto sobre el segmento total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Microfinanzas (449,2 de 2.329,4)</w:t>
            </w:r>
          </w:p>
        </w:tc>
        <w:tc>
          <w:tcPr>
            <w:tcW w:w="1560" w:type="dxa"/>
          </w:tcPr>
          <w:p>
            <w:pPr/>
            <w:r>
              <w:t xml:space="preserve">Actual</w:t>
            </w:r>
          </w:p>
        </w:tc>
        <w:tc>
          <w:tcPr>
            <w:tcW w:w="1560" w:type="dxa"/>
          </w:tcPr>
          <w:p>
            <w:pPr/>
            <w:r>
              <w:t xml:space="preserve">9,8 %</w:t>
            </w:r>
          </w:p>
        </w:tc>
        <w:tc>
          <w:tcPr>
            <w:tcW w:w="1560" w:type="dxa"/>
          </w:tcPr>
          <w:p>
            <w:pPr/>
            <w:r>
              <w:t xml:space="preserve">44,0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Microfinanzas</w:t>
            </w:r>
          </w:p>
        </w:tc>
        <w:tc>
          <w:tcPr>
            <w:tcW w:w="1560" w:type="dxa"/>
          </w:tcPr>
          <w:p>
            <w:pPr/>
            <w:r>
              <w:t xml:space="preserve">Moderado (≈ Niño 1997-98)</w:t>
            </w:r>
          </w:p>
        </w:tc>
        <w:tc>
          <w:tcPr>
            <w:tcW w:w="1560" w:type="dxa"/>
          </w:tcPr>
          <w:p>
            <w:pPr/>
            <w:r>
              <w:t xml:space="preserve">12,6 %</w:t>
            </w:r>
          </w:p>
        </w:tc>
        <w:tc>
          <w:tcPr>
            <w:tcW w:w="1560" w:type="dxa"/>
          </w:tcPr>
          <w:p>
            <w:pPr/>
            <w:r>
              <w:t xml:space="preserve">56,7</w:t>
            </w:r>
          </w:p>
        </w:tc>
        <w:tc>
          <w:tcPr>
            <w:tcW w:w="1560" w:type="dxa"/>
          </w:tcPr>
          <w:p>
            <w:pPr/>
            <w:r>
              <w:t xml:space="preserve">+12,7</w:t>
            </w:r>
          </w:p>
        </w:tc>
        <w:tc>
          <w:tcPr>
            <w:tcW w:w="1560" w:type="dxa"/>
          </w:tcPr>
          <w:p>
            <w:pPr/>
            <w:r>
              <w:t xml:space="preserve">+0,5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Microfinanzas</w:t>
            </w:r>
          </w:p>
        </w:tc>
        <w:tc>
          <w:tcPr>
            <w:tcW w:w="1560" w:type="dxa"/>
          </w:tcPr>
          <w:p>
            <w:pPr/>
            <w:r>
              <w:t xml:space="preserve">Severo</w:t>
            </w:r>
          </w:p>
        </w:tc>
        <w:tc>
          <w:tcPr>
            <w:tcW w:w="1560" w:type="dxa"/>
          </w:tcPr>
          <w:p>
            <w:pPr/>
            <w:r>
              <w:t xml:space="preserve">15,5 %</w:t>
            </w:r>
          </w:p>
        </w:tc>
        <w:tc>
          <w:tcPr>
            <w:tcW w:w="1560" w:type="dxa"/>
          </w:tcPr>
          <w:p>
            <w:pPr/>
            <w:r>
              <w:t xml:space="preserve">69,6</w:t>
            </w:r>
          </w:p>
        </w:tc>
        <w:tc>
          <w:tcPr>
            <w:tcW w:w="1560" w:type="dxa"/>
          </w:tcPr>
          <w:p>
            <w:pPr/>
            <w:r>
              <w:t xml:space="preserve">+25,6</w:t>
            </w:r>
          </w:p>
        </w:tc>
        <w:tc>
          <w:tcPr>
            <w:tcW w:w="1560" w:type="dxa"/>
          </w:tcPr>
          <w:p>
            <w:pPr/>
            <w:r>
              <w:t xml:space="preserve">+1,1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Microfinanzas</w:t>
            </w:r>
          </w:p>
        </w:tc>
        <w:tc>
          <w:tcPr>
            <w:tcW w:w="1560" w:type="dxa"/>
          </w:tcPr>
          <w:p>
            <w:pPr/>
            <w:r>
              <w:t xml:space="preserve">Extremo (Niño muy fuerte)</w:t>
            </w:r>
          </w:p>
        </w:tc>
        <w:tc>
          <w:tcPr>
            <w:tcW w:w="1560" w:type="dxa"/>
          </w:tcPr>
          <w:p>
            <w:pPr/>
            <w:r>
              <w:t xml:space="preserve">20,3 %</w:t>
            </w:r>
          </w:p>
        </w:tc>
        <w:tc>
          <w:tcPr>
            <w:tcW w:w="1560" w:type="dxa"/>
          </w:tcPr>
          <w:p>
            <w:pPr/>
            <w:r>
              <w:t xml:space="preserve">91,2</w:t>
            </w:r>
          </w:p>
        </w:tc>
        <w:tc>
          <w:tcPr>
            <w:tcW w:w="1560" w:type="dxa"/>
          </w:tcPr>
          <w:p>
            <w:pPr/>
            <w:r>
              <w:t xml:space="preserve">+47,2</w:t>
            </w:r>
          </w:p>
        </w:tc>
        <w:tc>
          <w:tcPr>
            <w:tcW w:w="1560" w:type="dxa"/>
          </w:tcPr>
          <w:p>
            <w:pPr/>
            <w:r>
              <w:t xml:space="preserve">+2,0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PYMES (334,0 de 1.672,4)</w:t>
            </w:r>
          </w:p>
        </w:tc>
        <w:tc>
          <w:tcPr>
            <w:tcW w:w="1560" w:type="dxa"/>
          </w:tcPr>
          <w:p>
            <w:pPr/>
            <w:r>
              <w:t xml:space="preserve">Actual</w:t>
            </w:r>
          </w:p>
        </w:tc>
        <w:tc>
          <w:tcPr>
            <w:tcW w:w="1560" w:type="dxa"/>
          </w:tcPr>
          <w:p>
            <w:pPr/>
            <w:r>
              <w:t xml:space="preserve">6,6 %</w:t>
            </w:r>
          </w:p>
        </w:tc>
        <w:tc>
          <w:tcPr>
            <w:tcW w:w="1560" w:type="dxa"/>
          </w:tcPr>
          <w:p>
            <w:pPr/>
            <w:r>
              <w:t xml:space="preserve">22,0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PYMES</w:t>
            </w:r>
          </w:p>
        </w:tc>
        <w:tc>
          <w:tcPr>
            <w:tcW w:w="1560" w:type="dxa"/>
          </w:tcPr>
          <w:p>
            <w:pPr/>
            <w:r>
              <w:t xml:space="preserve">Moderado (≈ Niño 1997-98)</w:t>
            </w:r>
          </w:p>
        </w:tc>
        <w:tc>
          <w:tcPr>
            <w:tcW w:w="1560" w:type="dxa"/>
          </w:tcPr>
          <w:p>
            <w:pPr/>
            <w:r>
              <w:t xml:space="preserve">8,2 %</w:t>
            </w:r>
          </w:p>
        </w:tc>
        <w:tc>
          <w:tcPr>
            <w:tcW w:w="1560" w:type="dxa"/>
          </w:tcPr>
          <w:p>
            <w:pPr/>
            <w:r>
              <w:t xml:space="preserve">27,4</w:t>
            </w:r>
          </w:p>
        </w:tc>
        <w:tc>
          <w:tcPr>
            <w:tcW w:w="1560" w:type="dxa"/>
          </w:tcPr>
          <w:p>
            <w:pPr/>
            <w:r>
              <w:t xml:space="preserve">+5,4</w:t>
            </w:r>
          </w:p>
        </w:tc>
        <w:tc>
          <w:tcPr>
            <w:tcW w:w="1560" w:type="dxa"/>
          </w:tcPr>
          <w:p>
            <w:pPr/>
            <w:r>
              <w:t xml:space="preserve">+0,3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PYMES</w:t>
            </w:r>
          </w:p>
        </w:tc>
        <w:tc>
          <w:tcPr>
            <w:tcW w:w="1560" w:type="dxa"/>
          </w:tcPr>
          <w:p>
            <w:pPr/>
            <w:r>
              <w:t xml:space="preserve">Severo</w:t>
            </w:r>
          </w:p>
        </w:tc>
        <w:tc>
          <w:tcPr>
            <w:tcW w:w="1560" w:type="dxa"/>
          </w:tcPr>
          <w:p>
            <w:pPr/>
            <w:r>
              <w:t xml:space="preserve">9,8 %</w:t>
            </w:r>
          </w:p>
        </w:tc>
        <w:tc>
          <w:tcPr>
            <w:tcW w:w="1560" w:type="dxa"/>
          </w:tcPr>
          <w:p>
            <w:pPr/>
            <w:r>
              <w:t xml:space="preserve">32,8</w:t>
            </w:r>
          </w:p>
        </w:tc>
        <w:tc>
          <w:tcPr>
            <w:tcW w:w="1560" w:type="dxa"/>
          </w:tcPr>
          <w:p>
            <w:pPr/>
            <w:r>
              <w:t xml:space="preserve">+10,8</w:t>
            </w:r>
          </w:p>
        </w:tc>
        <w:tc>
          <w:tcPr>
            <w:tcW w:w="1560" w:type="dxa"/>
          </w:tcPr>
          <w:p>
            <w:pPr/>
            <w:r>
              <w:t xml:space="preserve">+0,6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PYMES</w:t>
            </w:r>
          </w:p>
        </w:tc>
        <w:tc>
          <w:tcPr>
            <w:tcW w:w="1560" w:type="dxa"/>
          </w:tcPr>
          <w:p>
            <w:pPr/>
            <w:r>
              <w:t xml:space="preserve">Extremo (Niño muy fuerte)</w:t>
            </w:r>
          </w:p>
        </w:tc>
        <w:tc>
          <w:tcPr>
            <w:tcW w:w="1560" w:type="dxa"/>
          </w:tcPr>
          <w:p>
            <w:pPr/>
            <w:r>
              <w:t xml:space="preserve">12,6 %</w:t>
            </w:r>
          </w:p>
        </w:tc>
        <w:tc>
          <w:tcPr>
            <w:tcW w:w="1560" w:type="dxa"/>
          </w:tcPr>
          <w:p>
            <w:pPr/>
            <w:r>
              <w:t xml:space="preserve">42,1</w:t>
            </w:r>
          </w:p>
        </w:tc>
        <w:tc>
          <w:tcPr>
            <w:tcW w:w="1560" w:type="dxa"/>
          </w:tcPr>
          <w:p>
            <w:pPr/>
            <w:r>
              <w:t xml:space="preserve">+20,0</w:t>
            </w:r>
          </w:p>
        </w:tc>
        <w:tc>
          <w:tcPr>
            <w:tcW w:w="1560" w:type="dxa"/>
          </w:tcPr>
          <w:p>
            <w:pPr/>
            <w:r>
              <w:t xml:space="preserve">+1,2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Empresas (746,6 de 3.696,5)</w:t>
            </w:r>
          </w:p>
        </w:tc>
        <w:tc>
          <w:tcPr>
            <w:tcW w:w="1560" w:type="dxa"/>
          </w:tcPr>
          <w:p>
            <w:pPr/>
            <w:r>
              <w:t xml:space="preserve">Actual</w:t>
            </w:r>
          </w:p>
        </w:tc>
        <w:tc>
          <w:tcPr>
            <w:tcW w:w="1560" w:type="dxa"/>
          </w:tcPr>
          <w:p>
            <w:pPr/>
            <w:r>
              <w:t xml:space="preserve">1,8 %</w:t>
            </w:r>
          </w:p>
        </w:tc>
        <w:tc>
          <w:tcPr>
            <w:tcW w:w="1560" w:type="dxa"/>
          </w:tcPr>
          <w:p>
            <w:pPr/>
            <w:r>
              <w:t xml:space="preserve">13,4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Empresas</w:t>
            </w:r>
          </w:p>
        </w:tc>
        <w:tc>
          <w:tcPr>
            <w:tcW w:w="1560" w:type="dxa"/>
          </w:tcPr>
          <w:p>
            <w:pPr/>
            <w:r>
              <w:t xml:space="preserve">Moderado (≈ Niño 1997-98)</w:t>
            </w:r>
          </w:p>
        </w:tc>
        <w:tc>
          <w:tcPr>
            <w:tcW w:w="1560" w:type="dxa"/>
          </w:tcPr>
          <w:p>
            <w:pPr/>
            <w:r>
              <w:t xml:space="preserve">3,4 %</w:t>
            </w:r>
          </w:p>
        </w:tc>
        <w:tc>
          <w:tcPr>
            <w:tcW w:w="1560" w:type="dxa"/>
          </w:tcPr>
          <w:p>
            <w:pPr/>
            <w:r>
              <w:t xml:space="preserve">25,5</w:t>
            </w:r>
          </w:p>
        </w:tc>
        <w:tc>
          <w:tcPr>
            <w:tcW w:w="1560" w:type="dxa"/>
          </w:tcPr>
          <w:p>
            <w:pPr/>
            <w:r>
              <w:t xml:space="preserve">+12,1</w:t>
            </w:r>
          </w:p>
        </w:tc>
        <w:tc>
          <w:tcPr>
            <w:tcW w:w="1560" w:type="dxa"/>
          </w:tcPr>
          <w:p>
            <w:pPr/>
            <w:r>
              <w:t xml:space="preserve">+0,3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Empresas</w:t>
            </w:r>
          </w:p>
        </w:tc>
        <w:tc>
          <w:tcPr>
            <w:tcW w:w="1560" w:type="dxa"/>
          </w:tcPr>
          <w:p>
            <w:pPr/>
            <w:r>
              <w:t xml:space="preserve">Severo</w:t>
            </w:r>
          </w:p>
        </w:tc>
        <w:tc>
          <w:tcPr>
            <w:tcW w:w="1560" w:type="dxa"/>
          </w:tcPr>
          <w:p>
            <w:pPr/>
            <w:r>
              <w:t xml:space="preserve">5,0 %</w:t>
            </w:r>
          </w:p>
        </w:tc>
        <w:tc>
          <w:tcPr>
            <w:tcW w:w="1560" w:type="dxa"/>
          </w:tcPr>
          <w:p>
            <w:pPr/>
            <w:r>
              <w:t xml:space="preserve">37,5</w:t>
            </w:r>
          </w:p>
        </w:tc>
        <w:tc>
          <w:tcPr>
            <w:tcW w:w="1560" w:type="dxa"/>
          </w:tcPr>
          <w:p>
            <w:pPr/>
            <w:r>
              <w:t xml:space="preserve">+24,1</w:t>
            </w:r>
          </w:p>
        </w:tc>
        <w:tc>
          <w:tcPr>
            <w:tcW w:w="1560" w:type="dxa"/>
          </w:tcPr>
          <w:p>
            <w:pPr/>
            <w:r>
              <w:t xml:space="preserve">+0,7 pp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Empresas</w:t>
            </w:r>
          </w:p>
        </w:tc>
        <w:tc>
          <w:tcPr>
            <w:tcW w:w="1560" w:type="dxa"/>
          </w:tcPr>
          <w:p>
            <w:pPr/>
            <w:r>
              <w:t xml:space="preserve">Extremo (Niño muy fuerte)</w:t>
            </w:r>
          </w:p>
        </w:tc>
        <w:tc>
          <w:tcPr>
            <w:tcW w:w="1560" w:type="dxa"/>
          </w:tcPr>
          <w:p>
            <w:pPr/>
            <w:r>
              <w:t xml:space="preserve">7,8 %</w:t>
            </w:r>
          </w:p>
        </w:tc>
        <w:tc>
          <w:tcPr>
            <w:tcW w:w="1560" w:type="dxa"/>
          </w:tcPr>
          <w:p>
            <w:pPr/>
            <w:r>
              <w:t xml:space="preserve">58,2</w:t>
            </w:r>
          </w:p>
        </w:tc>
        <w:tc>
          <w:tcPr>
            <w:tcW w:w="1560" w:type="dxa"/>
          </w:tcPr>
          <w:p>
            <w:pPr/>
            <w:r>
              <w:t xml:space="preserve">+44,8</w:t>
            </w:r>
          </w:p>
        </w:tc>
        <w:tc>
          <w:tcPr>
            <w:tcW w:w="1560" w:type="dxa"/>
          </w:tcPr>
          <w:p>
            <w:pPr/>
            <w:r>
              <w:t xml:space="preserve">+1,2 pp</w:t>
            </w:r>
          </w:p>
        </w:tc>
      </w:tr>
    </w:tbl>
    <w:p>
      <w:pPr/>
      <w:r>
        <w:t xml:space="preserve">Aumentos de PI aplicados: micro +2,83 / +5,7 / +10,5 pp (LGD 70 %); PYMES y Empresas +1,62 / +3,22 / +6,0 pp (LGD 40 %). La PI actual de agosto se supone igual a la de julio. El extremo es un supuesto propio.</w:t>
      </w:r>
    </w:p>
    <w:p>
      <w:pPr/>
      <w:r>
        <w:rPr>
          <w:b/>
        </w:rPr>
        <w:t xml:space="preserve">Consolidado (pérdida adicional, USD MM).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Escenario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Microfinanzas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PYMES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Empresas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Total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Asignado (láminas)</w:t>
            </w:r>
          </w:p>
        </w:tc>
        <w:tc>
          <w:tcPr>
            <w:tcW w:w="1872" w:type="dxa"/>
          </w:tcPr>
          <w:p>
            <w:pPr/>
            <w:r>
              <w:t xml:space="preserve">+25,6</w:t>
            </w:r>
          </w:p>
        </w:tc>
        <w:tc>
          <w:tcPr>
            <w:tcW w:w="1872" w:type="dxa"/>
          </w:tcPr>
          <w:p>
            <w:pPr/>
            <w:r>
              <w:t xml:space="preserve">+5,4</w:t>
            </w:r>
          </w:p>
        </w:tc>
        <w:tc>
          <w:tcPr>
            <w:tcW w:w="1872" w:type="dxa"/>
          </w:tcPr>
          <w:p>
            <w:pPr/>
            <w:r>
              <w:t xml:space="preserve">+8,2</w:t>
            </w:r>
          </w:p>
        </w:tc>
        <w:tc>
          <w:tcPr>
            <w:tcW w:w="1872" w:type="dxa"/>
          </w:tcPr>
          <w:p>
            <w:pPr/>
            <w:r>
              <w:t xml:space="preserve">+39,2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Moderado BCE</w:t>
            </w:r>
          </w:p>
        </w:tc>
        <w:tc>
          <w:tcPr>
            <w:tcW w:w="1872" w:type="dxa"/>
          </w:tcPr>
          <w:p>
            <w:pPr/>
            <w:r>
              <w:t xml:space="preserve">+12,7</w:t>
            </w:r>
          </w:p>
        </w:tc>
        <w:tc>
          <w:tcPr>
            <w:tcW w:w="1872" w:type="dxa"/>
          </w:tcPr>
          <w:p>
            <w:pPr/>
            <w:r>
              <w:t xml:space="preserve">+5,4</w:t>
            </w:r>
          </w:p>
        </w:tc>
        <w:tc>
          <w:tcPr>
            <w:tcW w:w="1872" w:type="dxa"/>
          </w:tcPr>
          <w:p>
            <w:pPr/>
            <w:r>
              <w:t xml:space="preserve">+12,1</w:t>
            </w:r>
          </w:p>
        </w:tc>
        <w:tc>
          <w:tcPr>
            <w:tcW w:w="1872" w:type="dxa"/>
          </w:tcPr>
          <w:p>
            <w:pPr/>
            <w:r>
              <w:t xml:space="preserve">+30,2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Severo BCE</w:t>
            </w:r>
          </w:p>
        </w:tc>
        <w:tc>
          <w:tcPr>
            <w:tcW w:w="1872" w:type="dxa"/>
          </w:tcPr>
          <w:p>
            <w:pPr/>
            <w:r>
              <w:t xml:space="preserve">+25,6</w:t>
            </w:r>
          </w:p>
        </w:tc>
        <w:tc>
          <w:tcPr>
            <w:tcW w:w="1872" w:type="dxa"/>
          </w:tcPr>
          <w:p>
            <w:pPr/>
            <w:r>
              <w:t xml:space="preserve">+10,8</w:t>
            </w:r>
          </w:p>
        </w:tc>
        <w:tc>
          <w:tcPr>
            <w:tcW w:w="1872" w:type="dxa"/>
          </w:tcPr>
          <w:p>
            <w:pPr/>
            <w:r>
              <w:t xml:space="preserve">+24,1</w:t>
            </w:r>
          </w:p>
        </w:tc>
        <w:tc>
          <w:tcPr>
            <w:tcW w:w="1872" w:type="dxa"/>
          </w:tcPr>
          <w:p>
            <w:pPr/>
            <w:r>
              <w:t xml:space="preserve">+60,5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Extremo</w:t>
            </w:r>
          </w:p>
        </w:tc>
        <w:tc>
          <w:tcPr>
            <w:tcW w:w="1872" w:type="dxa"/>
          </w:tcPr>
          <w:p>
            <w:pPr/>
            <w:r>
              <w:t xml:space="preserve">+47,2</w:t>
            </w:r>
          </w:p>
        </w:tc>
        <w:tc>
          <w:tcPr>
            <w:tcW w:w="1872" w:type="dxa"/>
          </w:tcPr>
          <w:p>
            <w:pPr/>
            <w:r>
              <w:t xml:space="preserve">+20,0</w:t>
            </w:r>
          </w:p>
        </w:tc>
        <w:tc>
          <w:tcPr>
            <w:tcW w:w="1872" w:type="dxa"/>
          </w:tcPr>
          <w:p>
            <w:pPr/>
            <w:r>
              <w:t xml:space="preserve">+44,8</w:t>
            </w:r>
          </w:p>
        </w:tc>
        <w:tc>
          <w:tcPr>
            <w:tcW w:w="1872" w:type="dxa"/>
          </w:tcPr>
          <w:p>
            <w:pPr/>
            <w:r>
              <w:t xml:space="preserve">+112,0</w:t>
            </w:r>
          </w:p>
        </w:tc>
      </w:tr>
    </w:tbl>
    <w:p>
      <w:pPr/>
      <w:r>
        <w:rPr>
          <w:b/>
        </w:rPr>
        <w:t xml:space="preserve">Qué cambió frente a julio.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Cartera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Expuesto julio (USD MM)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Expuesto agosto (USD MM)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Variación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Adicional asignado julio → agosto (USD MM)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Microfinanzas</w:t>
            </w:r>
          </w:p>
        </w:tc>
        <w:tc>
          <w:tcPr>
            <w:tcW w:w="1872" w:type="dxa"/>
          </w:tcPr>
          <w:p>
            <w:pPr/>
            <w:r>
              <w:t xml:space="preserve">363,4</w:t>
            </w:r>
          </w:p>
        </w:tc>
        <w:tc>
          <w:tcPr>
            <w:tcW w:w="1872" w:type="dxa"/>
          </w:tcPr>
          <w:p>
            <w:pPr/>
            <w:r>
              <w:t xml:space="preserve">449,2</w:t>
            </w:r>
          </w:p>
        </w:tc>
        <w:tc>
          <w:tcPr>
            <w:tcW w:w="1872" w:type="dxa"/>
          </w:tcPr>
          <w:p>
            <w:pPr/>
            <w:r>
              <w:t xml:space="preserve">+85,8 (+23,6 %)</w:t>
            </w:r>
          </w:p>
        </w:tc>
        <w:tc>
          <w:tcPr>
            <w:tcW w:w="1872" w:type="dxa"/>
          </w:tcPr>
          <w:p>
            <w:pPr/>
            <w:r>
              <w:t xml:space="preserve">20,9 → 25,6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PYMES</w:t>
            </w:r>
          </w:p>
        </w:tc>
        <w:tc>
          <w:tcPr>
            <w:tcW w:w="1872" w:type="dxa"/>
          </w:tcPr>
          <w:p>
            <w:pPr/>
            <w:r>
              <w:t xml:space="preserve">280,0</w:t>
            </w:r>
          </w:p>
        </w:tc>
        <w:tc>
          <w:tcPr>
            <w:tcW w:w="1872" w:type="dxa"/>
          </w:tcPr>
          <w:p>
            <w:pPr/>
            <w:r>
              <w:t xml:space="preserve">334,0</w:t>
            </w:r>
          </w:p>
        </w:tc>
        <w:tc>
          <w:tcPr>
            <w:tcW w:w="1872" w:type="dxa"/>
          </w:tcPr>
          <w:p>
            <w:pPr/>
            <w:r>
              <w:t xml:space="preserve">+54,0 (+19,3 %)</w:t>
            </w:r>
          </w:p>
        </w:tc>
        <w:tc>
          <w:tcPr>
            <w:tcW w:w="1872" w:type="dxa"/>
          </w:tcPr>
          <w:p>
            <w:pPr/>
            <w:r>
              <w:t xml:space="preserve">4,5 → 5,4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Empresas</w:t>
            </w:r>
          </w:p>
        </w:tc>
        <w:tc>
          <w:tcPr>
            <w:tcW w:w="1872" w:type="dxa"/>
          </w:tcPr>
          <w:p>
            <w:pPr/>
            <w:r>
              <w:t xml:space="preserve">715,7</w:t>
            </w:r>
          </w:p>
        </w:tc>
        <w:tc>
          <w:tcPr>
            <w:tcW w:w="1872" w:type="dxa"/>
          </w:tcPr>
          <w:p>
            <w:pPr/>
            <w:r>
              <w:t xml:space="preserve">746,6</w:t>
            </w:r>
          </w:p>
        </w:tc>
        <w:tc>
          <w:tcPr>
            <w:tcW w:w="1872" w:type="dxa"/>
          </w:tcPr>
          <w:p>
            <w:pPr/>
            <w:r>
              <w:t xml:space="preserve">+30,9 (+4,3 %)</w:t>
            </w:r>
          </w:p>
        </w:tc>
        <w:tc>
          <w:tcPr>
            <w:tcW w:w="1872" w:type="dxa"/>
          </w:tcPr>
          <w:p>
            <w:pPr/>
            <w:r>
              <w:t xml:space="preserve">7,9 → 8,2</w:t>
            </w:r>
          </w:p>
        </w:tc>
      </w:tr>
    </w:tbl>
    <w:p>
      <w:pPr/>
      <w:r>
        <w:t xml:space="preserve">Un salto de +24 % en micro y +19 % en PYMES en un mes no es crecimiento normal de cartera; lo más probable es que cambió la definición de zona. Los 142 cantones coinciden con los 143 del listado SGR que usa el BCE, menos Quito.</w:t>
      </w:r>
    </w:p>
    <w:p>
      <w:pPr>
        <w:pStyle w:val="Heading2"/>
      </w:pPr>
      <w:r>
        <w:t xml:space="preserve">Correcciones a las láminas</w:t>
      </w:r>
    </w:p>
    <w:p>
      <w:pPr/>
      <w:r>
        <w:t xml:space="preserve">La lámina de micro mezcla la pérdida actual de julio (35,5 MM) con el saldo de agosto (449,2 MM). Eso infla el impacto adicional de +25,6 MM a +34,1 MM.</w:t>
      </w:r>
    </w:p>
    <w:p>
      <w:pPr>
        <w:pStyle w:val="ListParagraph"/>
        <w:numPr>
          <w:ilvl w:val="0"/>
          <w:numId w:val="2"/>
        </w:numPr>
      </w:pPr>
      <w:r>
        <w:t xml:space="preserve">☐ Micro: cambiar "Pérdida incurrida actual" de $35.5MM a $44.0MM (449,2 × 9,8 %) y la franja de +34.1MM a +25.6MM. La pérdida El Niño de $69.6MM (15,5 %) está bien.</w:t>
      </w:r>
    </w:p>
    <w:p>
      <w:pPr>
        <w:pStyle w:val="ListParagraph"/>
        <w:numPr>
          <w:ilvl w:val="0"/>
          <w:numId w:val="2"/>
        </w:numPr>
      </w:pPr>
      <w:r>
        <w:t xml:space="preserve">☐ Si 35,5 MM sí es el dato real de agosto, la PI actual es 7,9 % y no 9,8 %. En ese caso la pérdida El Niño sería 61,1 MM (13,6 %) y el adicional seguiría en +25,6 MM, porque el aumento solo depende del saldo expuesto.</w:t>
      </w:r>
    </w:p>
    <w:p>
      <w:pPr>
        <w:pStyle w:val="ListParagraph"/>
        <w:numPr>
          <w:ilvl w:val="0"/>
          <w:numId w:val="2"/>
        </w:numPr>
      </w:pPr>
      <w:r>
        <w:t xml:space="preserve">☐ PYMES y Empresas: la franja dice "en micro"; cambiar a "en PYMES" y "en Empresas".</w:t>
      </w:r>
    </w:p>
    <w:p>
      <w:pPr>
        <w:pStyle w:val="ListParagraph"/>
        <w:numPr>
          <w:ilvl w:val="0"/>
          <w:numId w:val="2"/>
        </w:numPr>
      </w:pPr>
      <w:r>
        <w:t xml:space="preserve">☐ Completar el asterisco de las tres láminas con la fuente ("BCE, Apuntes de Economía No. 75, 2024") y el escenario aplicado a cada segmento.</w:t>
      </w:r>
    </w:p>
    <w:p>
      <w:pPr>
        <w:pStyle w:val="ListParagraph"/>
        <w:numPr>
          <w:ilvl w:val="0"/>
          <w:numId w:val="2"/>
        </w:numPr>
      </w:pPr>
      <w:r>
        <w:t xml:space="preserve">☐ Decidir si se mantiene un escenario distinto por segmento. PYMES en moderado es lo más difícil de defender: con el severo sería 9,8 % y +10,8 MM, y el total subiría a 44,6 MM.</w:t>
      </w:r>
    </w:p>
    <w:p>
      <w:pPr>
        <w:pStyle w:val="ListParagraph"/>
        <w:numPr>
          <w:ilvl w:val="0"/>
          <w:numId w:val="2"/>
        </w:numPr>
      </w:pPr>
      <w:r>
        <w:t xml:space="preserve">☐ Confirmar con quien armó las láminas que la PI actual de agosto sigue en 9,8 %, 6,6 % y 1,8 %.</w:t>
      </w:r>
    </w:p>
    <w:p>
      <w:pPr>
        <w:pStyle w:val="Heading2"/>
      </w:pPr>
      <w:r>
        <w:t xml:space="preserve">Cómo se calculó cada valor (micro, validación con corte julio 2026)</w:t>
      </w:r>
    </w:p>
    <w:p>
      <w:pPr/>
      <w:r>
        <w:t xml:space="preserve">Los 20,9 MM se reproducen con la fórmula de pérdida esperada del BCE aplicada solo al aumento de la PD. Con la mezcla de zonas del sistema da 20,5 MM; la diferencia de 0,4 MM la explica la mezcla propia de la cartera.</w:t>
      </w:r>
    </w:p>
    <w:p>
      <w:pPr>
        <w:pStyle w:val="Code"/>
      </w:pPr>
      <w:bookmarkStart w:id="1" w:name="bongo_lang_latex_1"/>
      <w:bookmarkEnd w:id="1"/>
      <w:r>
        <w:t xml:space="preserve">\Delta PI = EAD \times \Delta PD \times LGD</w:t>
      </w:r>
    </w:p>
    <w:p/>
    <w:p>
      <w:pPr>
        <w:pStyle w:val="Code"/>
      </w:pPr>
      <w:bookmarkStart w:id="2" w:name="bongo_lang_latex_2"/>
      <w:bookmarkEnd w:id="2"/>
      <w:r>
        <w:t xml:space="preserve">\Delta PD_{severo} = 15 \times \%Alto + 10 \times \%Medio + 5 \times \%Bajo</w:t>
      </w:r>
    </w:p>
    <w:p>
      <w:pPr/>
      <w:r>
        <w:rPr>
          <w:b/>
        </w:rPr>
        <w:t xml:space="preserve">Paso 1. Datos de la lámina.</w:t>
      </w:r>
    </w:p>
    <w:p>
      <w:pPr>
        <w:pStyle w:val="ListParagraph"/>
        <w:numPr>
          <w:ilvl w:val="0"/>
          <w:numId w:val="3"/>
        </w:numPr>
      </w:pPr>
      <w:r>
        <w:t xml:space="preserve">Cartera expuesta (EAD): 363,4 MM.</w:t>
      </w:r>
    </w:p>
    <w:p>
      <w:pPr>
        <w:pStyle w:val="ListParagraph"/>
        <w:numPr>
          <w:ilvl w:val="0"/>
          <w:numId w:val="3"/>
        </w:numPr>
      </w:pPr>
      <w:r>
        <w:t xml:space="preserve">Pérdida actual: 35,5 / 363,4 = 9,77 %, que la lámina redondea a 9,8 %.</w:t>
      </w:r>
    </w:p>
    <w:p>
      <w:pPr>
        <w:pStyle w:val="ListParagraph"/>
        <w:numPr>
          <w:ilvl w:val="0"/>
          <w:numId w:val="3"/>
        </w:numPr>
      </w:pPr>
      <w:r>
        <w:t xml:space="preserve">Cartera micro total implícita: 363,4 / 16 % ≈ 2.271 MM.</w:t>
      </w:r>
    </w:p>
    <w:p>
      <w:pPr/>
      <w:r>
        <w:rPr>
          <w:b/>
        </w:rPr>
        <w:t xml:space="preserve">Paso 2. Parámetros del BCE (Apunte de Economía 75, abril 2024).</w:t>
      </w:r>
    </w:p>
    <w:p>
      <w:pPr>
        <w:pStyle w:val="ListParagraph"/>
        <w:numPr>
          <w:ilvl w:val="0"/>
          <w:numId w:val="4"/>
        </w:numPr>
      </w:pPr>
      <w:r>
        <w:t xml:space="preserve">Tabla 9, escenario moderado: PD +6 pp (Alto), +5 pp (Medio), +3 pp (Bajo).</w:t>
      </w:r>
    </w:p>
    <w:p>
      <w:pPr>
        <w:pStyle w:val="ListParagraph"/>
        <w:numPr>
          <w:ilvl w:val="0"/>
          <w:numId w:val="4"/>
        </w:numPr>
      </w:pPr>
      <w:r>
        <w:t xml:space="preserve">Tabla 9, escenario severo: PD +15 pp (Alto), +10 pp (Medio), +5 pp (Bajo).</w:t>
      </w:r>
    </w:p>
    <w:p>
      <w:pPr>
        <w:pStyle w:val="ListParagraph"/>
        <w:numPr>
          <w:ilvl w:val="0"/>
          <w:numId w:val="4"/>
        </w:numPr>
      </w:pPr>
      <w:r>
        <w:t xml:space="preserve">Tabla 9: LGD de microcrédito = 70 %.</w:t>
      </w:r>
    </w:p>
    <w:p>
      <w:pPr>
        <w:pStyle w:val="ListParagraph"/>
        <w:numPr>
          <w:ilvl w:val="0"/>
          <w:numId w:val="4"/>
        </w:numPr>
      </w:pPr>
      <w:r>
        <w:t xml:space="preserve">Tabla 5, mezcla del sistema en zonas de riesgo: Alto 3.830 (18,6 %), Medio 4.940 (24,0 %), Bajo 11.804 (57,4 %), sobre 20.574 MM.</w:t>
      </w:r>
    </w:p>
    <w:p>
      <w:pPr/>
      <w:r>
        <w:rPr>
          <w:b/>
        </w:rPr>
        <w:t xml:space="preserve">Paso 3. ΔPD ponderado por zona.</w:t>
      </w:r>
    </w:p>
    <w:p>
      <w:pPr>
        <w:pStyle w:val="ListParagraph"/>
        <w:numPr>
          <w:ilvl w:val="0"/>
          <w:numId w:val="5"/>
        </w:numPr>
      </w:pPr>
      <w:r>
        <w:t xml:space="preserve">Moderado: 6 × 18,6 % + 5 × 24,0 % + 3 × 57,4 % = 1,12 + 1,20 + 1,72 = 4,04 pp.</w:t>
      </w:r>
    </w:p>
    <w:p>
      <w:pPr>
        <w:pStyle w:val="ListParagraph"/>
        <w:numPr>
          <w:ilvl w:val="0"/>
          <w:numId w:val="5"/>
        </w:numPr>
      </w:pPr>
      <w:r>
        <w:t xml:space="preserve">Severo: 15 × 18,6 % + 10 × 24,0 % + 5 × 57,4 % = 2,79 + 2,40 + 2,87 = 8,06 pp.</w:t>
      </w:r>
    </w:p>
    <w:p>
      <w:pPr>
        <w:pStyle w:val="ListParagraph"/>
        <w:numPr>
          <w:ilvl w:val="0"/>
          <w:numId w:val="5"/>
        </w:numPr>
      </w:pPr>
      <w:r>
        <w:t xml:space="preserve">Extremo: 15 pp, como si el 100 % de la cartera fuera zona Alta.</w:t>
      </w:r>
    </w:p>
    <w:p>
      <w:pPr/>
      <w:r>
        <w:rPr>
          <w:b/>
        </w:rPr>
        <w:t xml:space="preserve">Paso 4. Pérdida adicional y total.</w:t>
      </w:r>
    </w:p>
    <w:p>
      <w:pPr>
        <w:pStyle w:val="ListParagraph"/>
        <w:numPr>
          <w:ilvl w:val="0"/>
          <w:numId w:val="6"/>
        </w:numPr>
      </w:pPr>
      <w:r>
        <w:t xml:space="preserve">Moderado: 363,4 × 4,04 % × 70 % = 10,3 MM → 35,5 + 10,3 = 45,8 MM (12,6 %).</w:t>
      </w:r>
    </w:p>
    <w:p>
      <w:pPr>
        <w:pStyle w:val="ListParagraph"/>
        <w:numPr>
          <w:ilvl w:val="0"/>
          <w:numId w:val="6"/>
        </w:numPr>
      </w:pPr>
      <w:r>
        <w:t xml:space="preserve">Severo con mezcla del sistema: 363,4 × 8,06 % × 70 % = 20,5 MM → 56,0 MM (15,4 %).</w:t>
      </w:r>
    </w:p>
    <w:p>
      <w:pPr>
        <w:pStyle w:val="ListParagraph"/>
        <w:numPr>
          <w:ilvl w:val="0"/>
          <w:numId w:val="6"/>
        </w:numPr>
      </w:pPr>
      <w:r>
        <w:t xml:space="preserve">Severo de la lámina: 20,9 MM implica ΔPD = 20,9 / (363,4 × 0,70) = 8,22 pp. Eso cuadra con una mezcla algo más riesgosa, por ejemplo 20 % Alto, 24 % Medio y 56 % Bajo.</w:t>
      </w:r>
    </w:p>
    <w:p>
      <w:pPr>
        <w:pStyle w:val="ListParagraph"/>
        <w:numPr>
          <w:ilvl w:val="0"/>
          <w:numId w:val="6"/>
        </w:numPr>
      </w:pPr>
      <w:r>
        <w:t xml:space="preserve">Extremo: 363,4 × 15 % × 70 % = 38,2 MM → 73,7 MM (20,3 %).</w:t>
      </w:r>
    </w:p>
    <w:p>
      <w:pPr/>
      <w:r>
        <w:rPr>
          <w:b/>
        </w:rPr>
        <w:t xml:space="preserve">Cruce con el método multiplicativo (Tabla 15, bancos privados).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Escenario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Factor BCE (severo o moderado / base)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 sobre 35,5 MM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Diferencia vs. tabla final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Moderado</w:t>
            </w:r>
          </w:p>
        </w:tc>
        <w:tc>
          <w:tcPr>
            <w:tcW w:w="2340" w:type="dxa"/>
          </w:tcPr>
          <w:p>
            <w:pPr/>
            <w:r>
              <w:t xml:space="preserve">1.018 / 791 = ×1,287</w:t>
            </w:r>
          </w:p>
        </w:tc>
        <w:tc>
          <w:tcPr>
            <w:tcW w:w="2340" w:type="dxa"/>
          </w:tcPr>
          <w:p>
            <w:pPr/>
            <w:r>
              <w:t xml:space="preserve">45,7 MM</w:t>
            </w:r>
          </w:p>
        </w:tc>
        <w:tc>
          <w:tcPr>
            <w:tcW w:w="2340" w:type="dxa"/>
          </w:tcPr>
          <w:p>
            <w:pPr/>
            <w:r>
              <w:t xml:space="preserve">−0,1 MM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Severo</w:t>
            </w:r>
          </w:p>
        </w:tc>
        <w:tc>
          <w:tcPr>
            <w:tcW w:w="2340" w:type="dxa"/>
          </w:tcPr>
          <w:p>
            <w:pPr/>
            <w:r>
              <w:t xml:space="preserve">1.230 / 791 = ×1,555</w:t>
            </w:r>
          </w:p>
        </w:tc>
        <w:tc>
          <w:tcPr>
            <w:tcW w:w="2340" w:type="dxa"/>
          </w:tcPr>
          <w:p>
            <w:pPr/>
            <w:r>
              <w:t xml:space="preserve">55,2 MM</w:t>
            </w:r>
          </w:p>
        </w:tc>
        <w:tc>
          <w:tcPr>
            <w:tcW w:w="2340" w:type="dxa"/>
          </w:tcPr>
          <w:p>
            <w:pPr/>
            <w:r>
              <w:t xml:space="preserve">−1,2 MM</w:t>
            </w:r>
          </w:p>
        </w:tc>
      </w:tr>
    </w:tbl>
    <w:p>
      <w:pPr/>
      <w:r>
        <w:t xml:space="preserve">La lámina implica un factor de ×1,589 (56,4 / 35,5). Los dos métodos coinciden dentro de ±1,2 MM, así que el resultado es robusto al método.</w:t>
      </w:r>
    </w:p>
    <w:p>
      <w:pPr/>
      <w:r>
        <w:rPr>
          <w:b/>
        </w:rPr>
        <w:t xml:space="preserve">Cruce del escenario extremo.</w:t>
      </w:r>
      <w:r>
        <w:t xml:space="preserve"> El superintendente de Bancos dijo que el sistema aguanta una mora de hasta 6 %, frente a 3,05 % actual (×1,97). Aplicado a 35,5 MM da 69,8 MM, del mismo orden que los 73,7 MM del extremo.</w:t>
      </w:r>
    </w:p>
    <w:p>
      <w:pPr>
        <w:pStyle w:val="Heading2"/>
      </w:pPr>
      <w:r>
        <w:t xml:space="preserve">Checklist de validación</w:t>
      </w:r>
    </w:p>
    <w:p>
      <w:pPr/>
      <w:r>
        <w:t xml:space="preserve">Si la mezcla propia cumple 10 × %Alto + 5 × %Medio ≈ 3,2 pp, los 20,9 MM quedan validados con el método del BCE.</w:t>
      </w:r>
    </w:p>
    <w:p>
      <w:pPr>
        <w:pStyle w:val="ListParagraph"/>
        <w:numPr>
          <w:ilvl w:val="0"/>
          <w:numId w:val="7"/>
        </w:numPr>
      </w:pPr>
      <w:r>
        <w:t xml:space="preserve">☐ Confirmar que los 363,4 MM son solo microcrédito en parroquias del listado de riesgo (Alto, Medio, Bajo).</w:t>
      </w:r>
    </w:p>
    <w:p>
      <w:pPr>
        <w:pStyle w:val="ListParagraph"/>
        <w:numPr>
          <w:ilvl w:val="0"/>
          <w:numId w:val="7"/>
        </w:numPr>
      </w:pPr>
      <w:r>
        <w:t xml:space="preserve">☐ Obtener la distribución Alto / Medio / Bajo de los 363,4 MM y recalcular el ΔPD con la fórmula del severo.</w:t>
      </w:r>
    </w:p>
    <w:p>
      <w:pPr>
        <w:pStyle w:val="ListParagraph"/>
        <w:numPr>
          <w:ilvl w:val="0"/>
          <w:numId w:val="7"/>
        </w:numPr>
      </w:pPr>
      <w:r>
        <w:t xml:space="preserve">☐ Confirmar que se usó LGD de 70 % (Tabla 9 del BCE) y no la LGD interna del banco.</w:t>
      </w:r>
    </w:p>
    <w:p>
      <w:pPr>
        <w:pStyle w:val="ListParagraph"/>
        <w:numPr>
          <w:ilvl w:val="0"/>
          <w:numId w:val="7"/>
        </w:numPr>
      </w:pPr>
      <w:r>
        <w:t xml:space="preserve">☐ Confirmar que el shock se sumó a la PD en puntos porcentuales y no se multiplicó sobre el 9,8 %.</w:t>
      </w:r>
    </w:p>
    <w:p>
      <w:pPr>
        <w:pStyle w:val="ListParagraph"/>
        <w:numPr>
          <w:ilvl w:val="0"/>
          <w:numId w:val="7"/>
        </w:numPr>
      </w:pPr>
      <w:r>
        <w:t xml:space="preserve">☐ Verificar el 16 %: 363,4 MM / cartera micro total ≈ 2.271 MM.</w:t>
      </w:r>
    </w:p>
    <w:p>
      <w:pPr>
        <w:pStyle w:val="ListParagraph"/>
        <w:numPr>
          <w:ilvl w:val="0"/>
          <w:numId w:val="7"/>
        </w:numPr>
      </w:pPr>
      <w:r>
        <w:t xml:space="preserve">☐ Revisar el concepto: el BCE calcula pérdida esperada a 12 meses; la lámina dice pérdida incurrida. Conviene rotularlo como "pérdida incurrida estimada".</w:t>
      </w:r>
    </w:p>
    <w:p>
      <w:pPr>
        <w:pStyle w:val="ListParagraph"/>
        <w:numPr>
          <w:ilvl w:val="0"/>
          <w:numId w:val="7"/>
        </w:numPr>
      </w:pPr>
      <w:r>
        <w:t xml:space="preserve">☐ Completar el asterisco de la lámina con la fuente: "BCE, Apuntes de Economía No. 75 (2024), escenario severo".</w:t>
      </w:r>
    </w:p>
    <w:p>
      <w:pPr>
        <w:pStyle w:val="ListParagraph"/>
        <w:numPr>
          <w:ilvl w:val="0"/>
          <w:numId w:val="7"/>
        </w:numPr>
      </w:pPr>
      <w:r>
        <w:t xml:space="preserve">☐ Recalcular moderado y extremo con la mezcla propia antes de mostrarlos.</w:t>
      </w:r>
    </w:p>
    <w:p>
      <w:pPr>
        <w:pStyle w:val="Heading2"/>
      </w:pPr>
      <w:r>
        <w:t xml:space="preserve">Cómo se calculó (productivo, validación con corte julio 2026)</w:t>
      </w:r>
    </w:p>
    <w:p>
      <w:pPr/>
      <w:r>
        <w:t xml:space="preserve">Las cifras actuales de las láminas usan métodos distintos entre sí. Para que las tres carteras sean comparables, conviene aplicar a todas el método aditivo del BCE, como en micro.</w:t>
      </w:r>
    </w:p>
    <w:p>
      <w:pPr/>
      <w:r>
        <w:rPr>
          <w:b/>
        </w:rPr>
        <w:t xml:space="preserve">Qué método implica cada cifra actual.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Cartera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PI simulada en la lámina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Lo que implica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¿Coherente con micro?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Micro</w:t>
            </w:r>
          </w:p>
        </w:tc>
        <w:tc>
          <w:tcPr>
            <w:tcW w:w="2340" w:type="dxa"/>
          </w:tcPr>
          <w:p>
            <w:pPr/>
            <w:r>
              <w:t xml:space="preserve">15,5 %</w:t>
            </w:r>
          </w:p>
        </w:tc>
        <w:tc>
          <w:tcPr>
            <w:tcW w:w="2340" w:type="dxa"/>
          </w:tcPr>
          <w:p>
            <w:pPr/>
            <w:r>
              <w:t xml:space="preserve">Severo aditivo: ΔPD 8,2 pp × LGD 70 %</w:t>
            </w:r>
          </w:p>
        </w:tc>
        <w:tc>
          <w:tcPr>
            <w:tcW w:w="2340" w:type="dxa"/>
          </w:tcPr>
          <w:p>
            <w:pPr/>
            <w:r>
              <w:t xml:space="preserve">Sí (referencia)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Empresas</w:t>
            </w:r>
          </w:p>
        </w:tc>
        <w:tc>
          <w:tcPr>
            <w:tcW w:w="2340" w:type="dxa"/>
          </w:tcPr>
          <w:p>
            <w:pPr/>
            <w:r>
              <w:t xml:space="preserve">2,9 %</w:t>
            </w:r>
          </w:p>
        </w:tc>
        <w:tc>
          <w:tcPr>
            <w:tcW w:w="2340" w:type="dxa"/>
          </w:tcPr>
          <w:p>
            <w:pPr/>
            <w:r>
              <w:t xml:space="preserve">×1,61 sobre 1,8 %, casi el mismo factor multiplicativo de micro (×1,59). Como aditivo implicaría ΔPD de 2,75 pp, menor al mínimo del BCE (+3 pp)</w:t>
            </w:r>
          </w:p>
        </w:tc>
        <w:tc>
          <w:tcPr>
            <w:tcW w:w="2340" w:type="dxa"/>
          </w:tcPr>
          <w:p>
            <w:pPr/>
            <w:r>
              <w:t xml:space="preserve">No: es multiplicativo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PES</w:t>
            </w:r>
          </w:p>
        </w:tc>
        <w:tc>
          <w:tcPr>
            <w:tcW w:w="2340" w:type="dxa"/>
          </w:tcPr>
          <w:p>
            <w:pPr/>
            <w:r>
              <w:t xml:space="preserve">8,2 %</w:t>
            </w:r>
          </w:p>
        </w:tc>
        <w:tc>
          <w:tcPr>
            <w:tcW w:w="2340" w:type="dxa"/>
          </w:tcPr>
          <w:p>
            <w:pPr/>
            <w:r>
              <w:t xml:space="preserve">+1,6 pp = moderado aditivo (4,04 pp × 40 %)</w:t>
            </w:r>
          </w:p>
        </w:tc>
        <w:tc>
          <w:tcPr>
            <w:tcW w:w="2340" w:type="dxa"/>
          </w:tcPr>
          <w:p>
            <w:pPr/>
            <w:r>
              <w:t xml:space="preserve">No: es moderado, no severo</w:t>
            </w:r>
          </w:p>
        </w:tc>
      </w:tr>
    </w:tbl>
    <w:p>
      <w:pPr/>
      <w:r>
        <w:t xml:space="preserve">Esto es lo que cuadran los números; confírmalo con quien armó las láminas.</w:t>
      </w:r>
    </w:p>
    <w:p>
      <w:pPr/>
      <w:r>
        <w:rPr>
          <w:b/>
        </w:rPr>
        <w:t xml:space="preserve">Cálculo paso a paso.</w:t>
      </w:r>
      <w:r>
        <w:t xml:space="preserve"> Misma fórmula que en micro (ΔPI = EAD × ΔPD × LGD), con LGD productivo de 40 % (Tabla 9 del BCE).</w:t>
      </w:r>
    </w:p>
    <w:p>
      <w:pPr>
        <w:pStyle w:val="ListParagraph"/>
        <w:numPr>
          <w:ilvl w:val="0"/>
          <w:numId w:val="8"/>
        </w:numPr>
      </w:pPr>
      <w:r>
        <w:t xml:space="preserve">Aumento de PI por escenario: moderado 4,04 pp × 40 % = 1,62 pp; severo 8,06 pp × 40 % = 3,22 pp; extremo 15 pp × 40 % = 6,0 pp.</w:t>
      </w:r>
    </w:p>
    <w:p>
      <w:pPr>
        <w:pStyle w:val="ListParagraph"/>
        <w:numPr>
          <w:ilvl w:val="0"/>
          <w:numId w:val="8"/>
        </w:numPr>
      </w:pPr>
      <w:r>
        <w:t xml:space="preserve">Empresas: 715,7 × 1,62 % = 11,6 MM; × 3,22 % = 23,1 MM; × 6,0 % = 42,9 MM.</w:t>
      </w:r>
    </w:p>
    <w:p>
      <w:pPr>
        <w:pStyle w:val="ListParagraph"/>
        <w:numPr>
          <w:ilvl w:val="0"/>
          <w:numId w:val="8"/>
        </w:numPr>
      </w:pPr>
      <w:r>
        <w:t xml:space="preserve">PES: 280,0 × 1,62 % = 4,5 MM; × 3,22 % = 9,0 MM; × 6,0 % = 16,8 MM.</w:t>
      </w:r>
    </w:p>
    <w:p>
      <w:pPr>
        <w:pStyle w:val="ListParagraph"/>
        <w:numPr>
          <w:ilvl w:val="0"/>
          <w:numId w:val="8"/>
        </w:numPr>
      </w:pPr>
      <w:r>
        <w:t xml:space="preserve">PI total del segmento = (PI total × cartera total + adicional) / cartera total. Ejemplo Empresas severo: (0,9 % × 3.552 + 23,1) / 3.552 = 1,55 %.</w:t>
      </w:r>
    </w:p>
    <w:p>
      <w:pPr/>
      <w:r>
        <w:rPr>
          <w:b/>
        </w:rPr>
        <w:t xml:space="preserve">Cruce con el método multiplicativo (Tabla 15, bancos privados).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Cartera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Escenario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Aditivo BCE (PI expuesta)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Multiplicativo (PI expuesta)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Empresas</w:t>
            </w:r>
          </w:p>
        </w:tc>
        <w:tc>
          <w:tcPr>
            <w:tcW w:w="2340" w:type="dxa"/>
          </w:tcPr>
          <w:p>
            <w:pPr/>
            <w:r>
              <w:t xml:space="preserve">Moderado</w:t>
            </w:r>
          </w:p>
        </w:tc>
        <w:tc>
          <w:tcPr>
            <w:tcW w:w="2340" w:type="dxa"/>
          </w:tcPr>
          <w:p>
            <w:pPr/>
            <w:r>
              <w:t xml:space="preserve">3,4 %</w:t>
            </w:r>
          </w:p>
        </w:tc>
        <w:tc>
          <w:tcPr>
            <w:tcW w:w="2340" w:type="dxa"/>
          </w:tcPr>
          <w:p>
            <w:pPr/>
            <w:r>
              <w:t xml:space="preserve">2,3 % (×1,287)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Empresas</w:t>
            </w:r>
          </w:p>
        </w:tc>
        <w:tc>
          <w:tcPr>
            <w:tcW w:w="2340" w:type="dxa"/>
          </w:tcPr>
          <w:p>
            <w:pPr/>
            <w:r>
              <w:t xml:space="preserve">Severo</w:t>
            </w:r>
          </w:p>
        </w:tc>
        <w:tc>
          <w:tcPr>
            <w:tcW w:w="2340" w:type="dxa"/>
          </w:tcPr>
          <w:p>
            <w:pPr/>
            <w:r>
              <w:t xml:space="preserve">5,0 %</w:t>
            </w:r>
          </w:p>
        </w:tc>
        <w:tc>
          <w:tcPr>
            <w:tcW w:w="2340" w:type="dxa"/>
          </w:tcPr>
          <w:p>
            <w:pPr/>
            <w:r>
              <w:t xml:space="preserve">2,8 % (×1,555)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Empresas</w:t>
            </w:r>
          </w:p>
        </w:tc>
        <w:tc>
          <w:tcPr>
            <w:tcW w:w="2340" w:type="dxa"/>
          </w:tcPr>
          <w:p>
            <w:pPr/>
            <w:r>
              <w:t xml:space="preserve">Extremo</w:t>
            </w:r>
          </w:p>
        </w:tc>
        <w:tc>
          <w:tcPr>
            <w:tcW w:w="2340" w:type="dxa"/>
          </w:tcPr>
          <w:p>
            <w:pPr/>
            <w:r>
              <w:t xml:space="preserve">7,8 %</w:t>
            </w:r>
          </w:p>
        </w:tc>
        <w:tc>
          <w:tcPr>
            <w:tcW w:w="2340" w:type="dxa"/>
          </w:tcPr>
          <w:p>
            <w:pPr/>
            <w:r>
              <w:t xml:space="preserve">3,5 % (×1,97)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PES</w:t>
            </w:r>
          </w:p>
        </w:tc>
        <w:tc>
          <w:tcPr>
            <w:tcW w:w="2340" w:type="dxa"/>
          </w:tcPr>
          <w:p>
            <w:pPr/>
            <w:r>
              <w:t xml:space="preserve">Moderado</w:t>
            </w:r>
          </w:p>
        </w:tc>
        <w:tc>
          <w:tcPr>
            <w:tcW w:w="2340" w:type="dxa"/>
          </w:tcPr>
          <w:p>
            <w:pPr/>
            <w:r>
              <w:t xml:space="preserve">8,2 %</w:t>
            </w:r>
          </w:p>
        </w:tc>
        <w:tc>
          <w:tcPr>
            <w:tcW w:w="2340" w:type="dxa"/>
          </w:tcPr>
          <w:p>
            <w:pPr/>
            <w:r>
              <w:t xml:space="preserve">8,5 % (×1,287)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PES</w:t>
            </w:r>
          </w:p>
        </w:tc>
        <w:tc>
          <w:tcPr>
            <w:tcW w:w="2340" w:type="dxa"/>
          </w:tcPr>
          <w:p>
            <w:pPr/>
            <w:r>
              <w:t xml:space="preserve">Severo</w:t>
            </w:r>
          </w:p>
        </w:tc>
        <w:tc>
          <w:tcPr>
            <w:tcW w:w="2340" w:type="dxa"/>
          </w:tcPr>
          <w:p>
            <w:pPr/>
            <w:r>
              <w:t xml:space="preserve">9,8 %</w:t>
            </w:r>
          </w:p>
        </w:tc>
        <w:tc>
          <w:tcPr>
            <w:tcW w:w="2340" w:type="dxa"/>
          </w:tcPr>
          <w:p>
            <w:pPr/>
            <w:r>
              <w:t xml:space="preserve">10,3 % (×1,555)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PES</w:t>
            </w:r>
          </w:p>
        </w:tc>
        <w:tc>
          <w:tcPr>
            <w:tcW w:w="2340" w:type="dxa"/>
          </w:tcPr>
          <w:p>
            <w:pPr/>
            <w:r>
              <w:t xml:space="preserve">Extremo</w:t>
            </w:r>
          </w:p>
        </w:tc>
        <w:tc>
          <w:tcPr>
            <w:tcW w:w="2340" w:type="dxa"/>
          </w:tcPr>
          <w:p>
            <w:pPr/>
            <w:r>
              <w:t xml:space="preserve">12,6 %</w:t>
            </w:r>
          </w:p>
        </w:tc>
        <w:tc>
          <w:tcPr>
            <w:tcW w:w="2340" w:type="dxa"/>
          </w:tcPr>
          <w:p>
            <w:pPr/>
            <w:r>
              <w:t xml:space="preserve">13,0 % (×1,97)</w:t>
            </w:r>
          </w:p>
        </w:tc>
      </w:tr>
    </w:tbl>
    <w:p>
      <w:pPr/>
      <w:r>
        <w:t xml:space="preserve">En micro y PES los dos métodos coinciden dentro de ±0,5 pp. En Empresas no, porque su PI base es baja (1,8 %) y un shock fijo en puntos pesa mucho más. Recomendación: severo aditivo como caso central para las tres carteras y, para Empresas, mostrar el rango 2,8 % a 5,0 %.</w:t>
      </w:r>
    </w:p>
    <w:p>
      <w:pPr/>
      <w:r>
        <w:rPr>
          <w:b/>
        </w:rPr>
        <w:t xml:space="preserve">Para validar.</w:t>
      </w:r>
    </w:p>
    <w:p>
      <w:pPr>
        <w:pStyle w:val="ListParagraph"/>
        <w:numPr>
          <w:ilvl w:val="0"/>
          <w:numId w:val="9"/>
        </w:numPr>
      </w:pPr>
      <w:r>
        <w:t xml:space="preserve">☐ Confirmar que 715,7 MM y 280,0 MM son solo cartera en parroquias del listado de riesgo.</w:t>
      </w:r>
    </w:p>
    <w:p>
      <w:pPr>
        <w:pStyle w:val="ListParagraph"/>
        <w:numPr>
          <w:ilvl w:val="0"/>
          <w:numId w:val="9"/>
        </w:numPr>
      </w:pPr>
      <w:r>
        <w:t xml:space="preserve">☐ Recalcular el ΔPD con la mezcla Alto / Medio / Bajo propia de cada cartera.</w:t>
      </w:r>
    </w:p>
    <w:p>
      <w:pPr>
        <w:pStyle w:val="ListParagraph"/>
        <w:numPr>
          <w:ilvl w:val="0"/>
          <w:numId w:val="9"/>
        </w:numPr>
      </w:pPr>
      <w:r>
        <w:t xml:space="preserve">☐ Confirmar la LGD: 40 % del BCE o la interna. Si PES tiene menos garantías, prueba 50 %: el severo de PES sube a 10,6 %.</w:t>
      </w:r>
    </w:p>
    <w:p>
      <w:pPr>
        <w:pStyle w:val="ListParagraph"/>
        <w:numPr>
          <w:ilvl w:val="0"/>
          <w:numId w:val="9"/>
        </w:numPr>
      </w:pPr>
      <w:r>
        <w:t xml:space="preserve">☐ Actualizar las láminas de Empresas y PES al mismo escenario (severo) que micro.</w:t>
      </w:r>
    </w:p>
    <w:p>
      <w:pPr>
        <w:pStyle w:val="Heading2"/>
      </w:pPr>
      <w:r>
        <w:t xml:space="preserve">Fuentes</w:t>
      </w:r>
    </w:p>
    <w:p>
      <w:pPr>
        <w:pStyle w:val="ListParagraph"/>
        <w:numPr>
          <w:ilvl w:val="0"/>
          <w:numId w:val="10"/>
        </w:numPr>
      </w:pPr>
      <w:r>
        <w:t xml:space="preserve">Banco Central del Ecuador, </w:t>
      </w:r>
      <w:hyperlink r:id="rId3" w:history="1">
        <w:r>
          <w:rPr>
            <w:rStyle w:val="Hyperlink"/>
          </w:rPr>
          <w:t xml:space="preserve">Apuntes de Economía No. 75</w:t>
        </w:r>
      </w:hyperlink>
      <w:r>
        <w:t xml:space="preserve"> (abril 2024): Tablas 5, 9 y 15, y nota 3 sobre la escala de intensidad.</w:t>
      </w:r>
    </w:p>
    <w:p>
      <w:pPr>
        <w:pStyle w:val="ListParagraph"/>
        <w:numPr>
          <w:ilvl w:val="0"/>
          <w:numId w:val="10"/>
        </w:numPr>
      </w:pPr>
      <w:r>
        <w:t xml:space="preserve">Secretaría Nacional de Gestión de Riesgos, </w:t>
      </w:r>
      <w:hyperlink r:id="rId4" w:history="1">
        <w:r>
          <w:rPr>
            <w:rStyle w:val="Hyperlink"/>
          </w:rPr>
          <w:t xml:space="preserve">Boletín 041: Alerta Roja nacional, Resolución SNGR-238-2026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Secretaría Nacional de Gestión de Riesgos, </w:t>
      </w:r>
      <w:hyperlink r:id="rId5" w:history="1">
        <w:r>
          <w:rPr>
            <w:rStyle w:val="Hyperlink"/>
          </w:rPr>
          <w:t xml:space="preserve">Declaratorias de alerta vigentes</w:t>
        </w:r>
      </w:hyperlink>
      <w:r>
        <w:t xml:space="preserve"> (Roja desde el 29/08/2026).</w:t>
      </w:r>
    </w:p>
    <w:p>
      <w:pPr>
        <w:pStyle w:val="ListParagraph"/>
        <w:numPr>
          <w:ilvl w:val="0"/>
          <w:numId w:val="10"/>
        </w:numPr>
      </w:pPr>
      <w:r>
        <w:t xml:space="preserve">El Comercio, </w:t>
      </w:r>
      <w:hyperlink r:id="rId6" w:history="1">
        <w:r>
          <w:rPr>
            <w:rStyle w:val="Hyperlink"/>
          </w:rPr>
          <w:t xml:space="preserve">Informe CN-ERFEN 009-2026</w:t>
        </w:r>
      </w:hyperlink>
      <w:r>
        <w:t xml:space="preserve">: anomalías de +2,9 °C (Niño 3.4) y +4,5 °C (Niño 1+2).</w:t>
      </w:r>
    </w:p>
    <w:p>
      <w:pPr>
        <w:pStyle w:val="ListParagraph"/>
        <w:numPr>
          <w:ilvl w:val="0"/>
          <w:numId w:val="10"/>
        </w:numPr>
      </w:pPr>
      <w:r>
        <w:t xml:space="preserve">Comité Nacional ERFEN, </w:t>
      </w:r>
      <w:hyperlink r:id="rId7" w:history="1">
        <w:r>
          <w:rPr>
            <w:rStyle w:val="Hyperlink"/>
          </w:rPr>
          <w:t xml:space="preserve">Informe técnico ejecutivo</w:t>
        </w:r>
      </w:hyperlink>
      <w:r>
        <w:t xml:space="preserve">: mayor impacto entre noviembre de 2026 y marzo de 2027.</w:t>
      </w:r>
    </w:p>
    <w:p>
      <w:pPr>
        <w:pStyle w:val="ListParagraph"/>
        <w:numPr>
          <w:ilvl w:val="0"/>
          <w:numId w:val="10"/>
        </w:numPr>
      </w:pPr>
      <w:r>
        <w:t xml:space="preserve">Infobae, </w:t>
      </w:r>
      <w:hyperlink r:id="rId8" w:history="1">
        <w:r>
          <w:rPr>
            <w:rStyle w:val="Hyperlink"/>
          </w:rPr>
          <w:t xml:space="preserve">BCE: El Niño podría restar crecimiento al PIB en 2027</w:t>
        </w:r>
      </w:hyperlink>
      <w:r>
        <w:t xml:space="preserve">: −0,5 pp (moderado) y −1,4 pp (fuerte).</w:t>
      </w:r>
    </w:p>
    <w:p>
      <w:pPr>
        <w:pStyle w:val="ListParagraph"/>
        <w:numPr>
          <w:ilvl w:val="0"/>
          <w:numId w:val="10"/>
        </w:numPr>
      </w:pPr>
      <w:r>
        <w:t xml:space="preserve">Radio Pichincha, </w:t>
      </w:r>
      <w:hyperlink r:id="rId9" w:history="1">
        <w:r>
          <w:rPr>
            <w:rStyle w:val="Hyperlink"/>
          </w:rPr>
          <w:t xml:space="preserve">Superintendente de Bancos sobre morosidad 2026</w:t>
        </w:r>
      </w:hyperlink>
      <w:r>
        <w:t xml:space="preserve">: mora privada 3,05 % y tolerancia hasta 6 %.</w:t>
      </w:r>
    </w:p>
    <w:p>
      <w:pPr>
        <w:pStyle w:val="ListParagraph"/>
        <w:numPr>
          <w:ilvl w:val="0"/>
          <w:numId w:val="10"/>
        </w:numPr>
      </w:pPr>
      <w:r>
        <w:t xml:space="preserve">Expreso, </w:t>
      </w:r>
      <w:hyperlink r:id="rId10" w:history="1">
        <w:r>
          <w:rPr>
            <w:rStyle w:val="Hyperlink"/>
          </w:rPr>
          <w:t xml:space="preserve">Refinanciamiento por El Niño</w:t>
        </w:r>
      </w:hyperlink>
      <w:r>
        <w:t xml:space="preserve">: la Junta aún no activaba el alivio financiero a finales de agosto.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ntenido.bce.fin.ec/documentos/PublicacionesNotas/Catalogo/Apuntes/indapun.htm" TargetMode="External"/><Relationship Id="rId4" Type="http://schemas.openxmlformats.org/officeDocument/2006/relationships/hyperlink" Target="https://www.gestionderiesgos.gob.ec/gobierno-nacional-fortalece-acciones-de-preparacion-ante-el-fenomeno-el-nino-y-declara-alerta-roja/" TargetMode="External"/><Relationship Id="rId5" Type="http://schemas.openxmlformats.org/officeDocument/2006/relationships/hyperlink" Target="https://www.gestionderiesgos.gob.ec/niveles-de-alertas-y-declaratorias-vigentes-establecidas-por-la-sgr/" TargetMode="External"/><Relationship Id="rId6" Type="http://schemas.openxmlformats.org/officeDocument/2006/relationships/hyperlink" Target="https://www.elcomercio.com/actualidad/fenomeno-el-nino-ecuador-cn-erfen/" TargetMode="External"/><Relationship Id="rId7" Type="http://schemas.openxmlformats.org/officeDocument/2006/relationships/hyperlink" Target="https://www.inocar.mil.ec/boletin/ERFEN/actual/boletin_ERFEN.pdf" TargetMode="External"/><Relationship Id="rId8" Type="http://schemas.openxmlformats.org/officeDocument/2006/relationships/hyperlink" Target="https://www.infobae.com/america/america-latina/2026/09/16/el-nino-podria-restar-el-crecimiento-del-pib-de-ecuador-en-2027-segun-el-banco-central/" TargetMode="External"/><Relationship Id="rId9" Type="http://schemas.openxmlformats.org/officeDocument/2006/relationships/hyperlink" Target="https://www.radiopichincha.com/morosidad-banca-publica-privada-disminuyo-significativamente-en-2026/" TargetMode="External"/><Relationship Id="rId10" Type="http://schemas.openxmlformats.org/officeDocument/2006/relationships/hyperlink" Target="https://www.expreso.ec/economia-y-negocios/nino-ecuador-bancos-ofreceran-refinanciamiento-clientes-afectados-293762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Speech Impacto del Fenómeno de El Niño en las carteras Micro, Empresas y PES</dc:title>
  <dc:description>Claude Docs node/de476cfe-09d4@17 docx-w6</dc:description>
  <cp:revision>17</cp:revision>
</cp:coreProperties>
</file>