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Speech: Impacto del Fenómeno de El Niño en las carteras Micro, Empresas y PES</w:t>
      </w:r>
    </w:p>
    <w:p>
      <w:pPr/>
      <w:r>
        <w:t xml:space="preserve">Oct 4, 2026</w:t>
      </w:r>
      <w:r>
        <w:t xml:space="preserve"> · </w:t>
      </w:r>
      <w:r>
        <w:t xml:space="preserve">@Cristian</w:t>
      </w:r>
    </w:p>
    <w:p>
      <w:pPr>
        <w:pStyle w:val="Heading2"/>
      </w:pPr>
      <w:r>
        <w:t xml:space="preserve">Speech para presentar la lámina</w:t>
      </w:r>
    </w:p>
    <w:p>
      <w:pPr/>
      <w:r>
        <w:t xml:space="preserve">Duración aproximada: 2 a 3 minutos. Antes de presentarlo, valida los cálculos con la sección "Cómo se calculó cada valor".</w:t>
      </w:r>
    </w:p>
    <w:p>
      <w:pPr/>
      <w:r>
        <w:rPr>
          <w:b/>
        </w:rPr>
        <w:t xml:space="preserve">Apertura.</w:t>
      </w:r>
      <w:r>
        <w:t xml:space="preserve"> Buenos días. Quiero mostrarles cuánto podría costarnos el Fenómeno de El Niño en la cartera de microcrédito y cómo llegamos a esa cifra.</w:t>
      </w:r>
    </w:p>
    <w:p>
      <w:pPr/>
      <w:r>
        <w:rPr>
          <w:b/>
        </w:rPr>
        <w:t xml:space="preserve">Contexto.</w:t>
      </w:r>
      <w:r>
        <w:t xml:space="preserve"> El 29 de agosto la Secretaría Nacional de Gestión de Riesgos declaró Alerta Roja en todo el país por El Niño. A mediados de septiembre, el mar estaba 2,9 °C sobre lo normal en el Pacífico central y 4,5 °C frente a nuestras costas. En la escala que cita el Banco Central, una anomalía sobre 2 °C ya es un Niño muy fuerte.</w:t>
      </w:r>
    </w:p>
    <w:p>
      <w:pPr/>
      <w:r>
        <w:t xml:space="preserve">El mayor impacto de las lluvias se espera entre noviembre de 2026 y marzo de 2027. El efecto en los pagos llegará con rezago, sobre todo durante 2027.</w:t>
      </w:r>
    </w:p>
    <w:p>
      <w:pPr/>
      <w:r>
        <w:rPr>
          <w:b/>
        </w:rPr>
        <w:t xml:space="preserve">Nuestra exposición.</w:t>
      </w:r>
      <w:r>
        <w:t xml:space="preserve"> Tenemos 363,4 millones de dólares en microcrédito ubicados en zonas vulnerables al fenómeno. Eso es el 16 % de nuestra cartera micro. Hoy esa cartera tiene una pérdida incurrida de 35,5 millones, el 9,8 %.</w:t>
      </w:r>
    </w:p>
    <w:p>
      <w:pPr/>
      <w:r>
        <w:rPr>
          <w:b/>
        </w:rPr>
        <w:t xml:space="preserve">El impacto.</w:t>
      </w:r>
      <w:r>
        <w:t xml:space="preserve"> Para estimarlo usamos la metodología del Banco Central del Ecuador, publicada en su Apunte de Economía 75. En el escenario severo, la probabilidad de incumplimiento sube 15, 10 o 5 puntos según el nivel de riesgo de la parroquia. La severidad del microcrédito es 70 %.</w:t>
      </w:r>
    </w:p>
    <w:p>
      <w:pPr/>
      <w:r>
        <w:t xml:space="preserve">Con esos parámetros, la pérdida incurrida pasaría a 56,4 millones, el 15,5 % de la cartera expuesta. Es decir, 20,9 millones adicionales.</w:t>
      </w:r>
    </w:p>
    <w:p>
      <w:pPr/>
      <w:r>
        <w:rPr>
          <w:b/>
        </w:rPr>
        <w:t xml:space="preserve">El rango.</w:t>
      </w:r>
      <w:r>
        <w:t xml:space="preserve"> En un escenario moderado, que el BCE asocia al Niño de 1997-98, el adicional sería de unos 10 millones. En un escenario extremo, donde toda la cartera expuesta se comporta como zona de riesgo alto, llegaría a 38 millones.</w:t>
      </w:r>
    </w:p>
    <w:p>
      <w:pPr/>
      <w:r>
        <w:rPr>
          <w:b/>
        </w:rPr>
        <w:t xml:space="preserve">Por qué el severo es el caso central.</w:t>
      </w:r>
      <w:r>
        <w:t xml:space="preserve"> El evento actual ya es más intenso que el que el BCE modeló en 2024. Además, el BCE estima que un Niño fuerte restaría 1,4 puntos al crecimiento del PIB de 2027.</w:t>
      </w:r>
    </w:p>
    <w:p>
      <w:pPr/>
      <w:r>
        <w:rPr>
          <w:b/>
        </w:rPr>
        <w:t xml:space="preserve">Cierre.</w:t>
      </w:r>
      <w:r>
        <w:t xml:space="preserve"> Un punto de cautela: si la Junta de Política y Regulación Financiera activa diferimientos, la mora visible se retrasará, pero la pérdida no desaparece. Proponemos monitorear esta cartera cada mes por nivel de riesgo de parroquia y actualizar los escenarios con cada boletín del ERFEN.</w:t>
      </w:r>
    </w:p>
    <w:p>
      <w:pPr>
        <w:pStyle w:val="Heading2"/>
      </w:pPr>
      <w:r>
        <w:t xml:space="preserve">Tabla final de escenarios</w:t>
      </w:r>
    </w:p>
    <w:p>
      <w:pPr/>
      <w:r>
        <w:t xml:space="preserve">Sobre los 363,4 MM de cartera micro expuesta, el caso central (severo) suma 20,9 MM de pérdida; el rango va de +10,3 MM a +38,2 MM.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Escenario</w:t>
            </w:r>
          </w:p>
        </w:tc>
        <w:tc>
          <w:tcPr>
            <w:tcW w:w="1872" w:type="dxa"/>
            <w:shd w:val="clear" w:color="auto" w:fill="F2F2F2"/>
          </w:tcPr>
          <w:p>
            <w:pPr/>
            <w:r>
              <w:t xml:space="preserve">Supuesto</w:t>
            </w:r>
          </w:p>
        </w:tc>
        <w:tc>
          <w:tcPr>
            <w:tcW w:w="1872" w:type="dxa"/>
            <w:shd w:val="clear" w:color="auto" w:fill="F2F2F2"/>
          </w:tcPr>
          <w:p>
            <w:pPr/>
            <w:r>
              <w:t xml:space="preserve">Pérdida incurrida (USD MM)</w:t>
            </w:r>
          </w:p>
        </w:tc>
        <w:tc>
          <w:tcPr>
            <w:tcW w:w="1872" w:type="dxa"/>
            <w:shd w:val="clear" w:color="auto" w:fill="F2F2F2"/>
          </w:tcPr>
          <w:p>
            <w:pPr/>
            <w:r>
              <w:t xml:space="preserve">% de la cartera expuesta</w:t>
            </w:r>
          </w:p>
        </w:tc>
        <w:tc>
          <w:tcPr>
            <w:tcW w:w="1872" w:type="dxa"/>
            <w:shd w:val="clear" w:color="auto" w:fill="F2F2F2"/>
          </w:tcPr>
          <w:p>
            <w:pPr/>
            <w:r>
              <w:t xml:space="preserve">Adicional vs. actual (USD MM)</w:t>
            </w:r>
          </w:p>
        </w:tc>
      </w:tr>
      <w:tr>
        <w:tc>
          <w:tcPr>
            <w:tcW w:w="1872" w:type="dxa"/>
          </w:tcPr>
          <w:p>
            <w:pPr/>
            <w:r>
              <w:t xml:space="preserve">Actual</w:t>
            </w:r>
          </w:p>
        </w:tc>
        <w:tc>
          <w:tcPr>
            <w:tcW w:w="1872" w:type="dxa"/>
          </w:tcPr>
          <w:p>
            <w:pPr/>
            <w:r>
              <w:t xml:space="preserve">Pérdida incurrida de hoy</w:t>
            </w:r>
          </w:p>
        </w:tc>
        <w:tc>
          <w:tcPr>
            <w:tcW w:w="1872" w:type="dxa"/>
          </w:tcPr>
          <w:p>
            <w:pPr/>
            <w:r>
              <w:t xml:space="preserve">35,5</w:t>
            </w:r>
          </w:p>
        </w:tc>
        <w:tc>
          <w:tcPr>
            <w:tcW w:w="1872" w:type="dxa"/>
          </w:tcPr>
          <w:p>
            <w:pPr/>
            <w:r>
              <w:t xml:space="preserve">9,8 %</w:t>
            </w:r>
          </w:p>
        </w:tc>
        <w:tc>
          <w:tcPr>
            <w:tcW w:w="1872" w:type="dxa"/>
          </w:tcPr>
          <w:p>
            <w:pPr/>
            <w:r>
              <w:t xml:space="preserve">—</w:t>
            </w:r>
          </w:p>
        </w:tc>
      </w:tr>
      <w:tr>
        <w:tc>
          <w:tcPr>
            <w:tcW w:w="1872" w:type="dxa"/>
          </w:tcPr>
          <w:p>
            <w:pPr/>
            <w:r>
              <w:t xml:space="preserve">Moderado (≈ Niño 1997-98)</w:t>
            </w:r>
          </w:p>
        </w:tc>
        <w:tc>
          <w:tcPr>
            <w:tcW w:w="1872" w:type="dxa"/>
          </w:tcPr>
          <w:p>
            <w:pPr/>
            <w:r>
              <w:t xml:space="preserve">PD +6 / +5 / +3 pp por zona Alta / Media / Baja; LGD 70 %</w:t>
            </w:r>
          </w:p>
        </w:tc>
        <w:tc>
          <w:tcPr>
            <w:tcW w:w="1872" w:type="dxa"/>
          </w:tcPr>
          <w:p>
            <w:pPr/>
            <w:r>
              <w:t xml:space="preserve">45,8</w:t>
            </w:r>
          </w:p>
        </w:tc>
        <w:tc>
          <w:tcPr>
            <w:tcW w:w="1872" w:type="dxa"/>
          </w:tcPr>
          <w:p>
            <w:pPr/>
            <w:r>
              <w:t xml:space="preserve">12,6 %</w:t>
            </w:r>
          </w:p>
        </w:tc>
        <w:tc>
          <w:tcPr>
            <w:tcW w:w="1872" w:type="dxa"/>
          </w:tcPr>
          <w:p>
            <w:pPr/>
            <w:r>
              <w:t xml:space="preserve">+10,3</w:t>
            </w:r>
          </w:p>
        </w:tc>
      </w:tr>
      <w:tr>
        <w:tc>
          <w:tcPr>
            <w:tcW w:w="1872" w:type="dxa"/>
          </w:tcPr>
          <w:p>
            <w:pPr/>
            <w:r>
              <w:t xml:space="preserve">Severo (caso central, el de la lámina)</w:t>
            </w:r>
          </w:p>
        </w:tc>
        <w:tc>
          <w:tcPr>
            <w:tcW w:w="1872" w:type="dxa"/>
          </w:tcPr>
          <w:p>
            <w:pPr/>
            <w:r>
              <w:t xml:space="preserve">PD +15 / +10 / +5 pp por zona; LGD 70 %</w:t>
            </w:r>
          </w:p>
        </w:tc>
        <w:tc>
          <w:tcPr>
            <w:tcW w:w="1872" w:type="dxa"/>
          </w:tcPr>
          <w:p>
            <w:pPr/>
            <w:r>
              <w:t xml:space="preserve">56,4</w:t>
            </w:r>
          </w:p>
        </w:tc>
        <w:tc>
          <w:tcPr>
            <w:tcW w:w="1872" w:type="dxa"/>
          </w:tcPr>
          <w:p>
            <w:pPr/>
            <w:r>
              <w:t xml:space="preserve">15,5 %</w:t>
            </w:r>
          </w:p>
        </w:tc>
        <w:tc>
          <w:tcPr>
            <w:tcW w:w="1872" w:type="dxa"/>
          </w:tcPr>
          <w:p>
            <w:pPr/>
            <w:r>
              <w:t xml:space="preserve">+20,9</w:t>
            </w:r>
          </w:p>
        </w:tc>
      </w:tr>
      <w:tr>
        <w:tc>
          <w:tcPr>
            <w:tcW w:w="1872" w:type="dxa"/>
          </w:tcPr>
          <w:p>
            <w:pPr/>
            <w:r>
              <w:t xml:space="preserve">Extremo (Niño muy fuerte)</w:t>
            </w:r>
          </w:p>
        </w:tc>
        <w:tc>
          <w:tcPr>
            <w:tcW w:w="1872" w:type="dxa"/>
          </w:tcPr>
          <w:p>
            <w:pPr/>
            <w:r>
              <w:t xml:space="preserve">Toda la cartera expuesta como zona Alta: PD +15 pp; LGD 70 %</w:t>
            </w:r>
          </w:p>
        </w:tc>
        <w:tc>
          <w:tcPr>
            <w:tcW w:w="1872" w:type="dxa"/>
          </w:tcPr>
          <w:p>
            <w:pPr/>
            <w:r>
              <w:t xml:space="preserve">73,7</w:t>
            </w:r>
          </w:p>
        </w:tc>
        <w:tc>
          <w:tcPr>
            <w:tcW w:w="1872" w:type="dxa"/>
          </w:tcPr>
          <w:p>
            <w:pPr/>
            <w:r>
              <w:t xml:space="preserve">20,3 %</w:t>
            </w:r>
          </w:p>
        </w:tc>
        <w:tc>
          <w:tcPr>
            <w:tcW w:w="1872" w:type="dxa"/>
          </w:tcPr>
          <w:p>
            <w:pPr/>
            <w:r>
              <w:t xml:space="preserve">+38,2</w:t>
            </w:r>
          </w:p>
        </w:tc>
      </w:tr>
    </w:tbl>
    <w:p>
      <w:pPr/>
      <w:r>
        <w:t xml:space="preserve">Moderado y extremo usan la mezcla de zonas del sistema (Tabla 5 del BCE); recalcúlalos con la mezcla propia de la cartera. El extremo es un supuesto propio, no un escenario publicado por el BCE.</w:t>
      </w:r>
    </w:p>
    <w:p>
      <w:pPr>
        <w:pStyle w:val="Heading2"/>
      </w:pPr>
      <w:r>
        <w:t xml:space="preserve">Cómo se calculó cada valor</w:t>
      </w:r>
    </w:p>
    <w:p>
      <w:pPr/>
      <w:r>
        <w:t xml:space="preserve">Los 20,9 MM se reproducen con la fórmula de pérdida esperada del BCE aplicada solo al aumento de la PD. Con la mezcla de zonas del sistema da 20,5 MM; la diferencia de 0,4 MM la explica la mezcla propia de la cartera.</w:t>
      </w:r>
    </w:p>
    <w:p>
      <w:pPr>
        <w:pStyle w:val="Code"/>
      </w:pPr>
      <w:bookmarkStart w:id="1" w:name="bongo_lang_latex_1"/>
      <w:bookmarkEnd w:id="1"/>
      <w:r>
        <w:t xml:space="preserve">\Delta PI = EAD \times \Delta PD \times LGD</w:t>
      </w:r>
    </w:p>
    <w:p/>
    <w:p>
      <w:pPr>
        <w:pStyle w:val="Code"/>
      </w:pPr>
      <w:bookmarkStart w:id="2" w:name="bongo_lang_latex_2"/>
      <w:bookmarkEnd w:id="2"/>
      <w:r>
        <w:t xml:space="preserve">\Delta PD_{severo} = 15 \times \%Alto + 10 \times \%Medio + 5 \times \%Bajo</w:t>
      </w:r>
    </w:p>
    <w:p>
      <w:pPr/>
      <w:r>
        <w:rPr>
          <w:b/>
        </w:rPr>
        <w:t xml:space="preserve">Paso 1. Datos de la lámina.</w:t>
      </w:r>
    </w:p>
    <w:p>
      <w:pPr>
        <w:pStyle w:val="ListParagraph"/>
        <w:numPr>
          <w:ilvl w:val="0"/>
          <w:numId w:val="2"/>
        </w:numPr>
      </w:pPr>
      <w:r>
        <w:t xml:space="preserve">Cartera expuesta (EAD): 363,4 MM.</w:t>
      </w:r>
    </w:p>
    <w:p>
      <w:pPr>
        <w:pStyle w:val="ListParagraph"/>
        <w:numPr>
          <w:ilvl w:val="0"/>
          <w:numId w:val="2"/>
        </w:numPr>
      </w:pPr>
      <w:r>
        <w:t xml:space="preserve">Pérdida actual: 35,5 / 363,4 = 9,77 %, que la lámina redondea a 9,8 %.</w:t>
      </w:r>
    </w:p>
    <w:p>
      <w:pPr>
        <w:pStyle w:val="ListParagraph"/>
        <w:numPr>
          <w:ilvl w:val="0"/>
          <w:numId w:val="2"/>
        </w:numPr>
      </w:pPr>
      <w:r>
        <w:t xml:space="preserve">Cartera micro total implícita: 363,4 / 16 % ≈ 2.271 MM.</w:t>
      </w:r>
    </w:p>
    <w:p>
      <w:pPr/>
      <w:r>
        <w:rPr>
          <w:b/>
        </w:rPr>
        <w:t xml:space="preserve">Paso 2. Parámetros del BCE (Apunte de Economía 75, abril 2024).</w:t>
      </w:r>
    </w:p>
    <w:p>
      <w:pPr>
        <w:pStyle w:val="ListParagraph"/>
        <w:numPr>
          <w:ilvl w:val="0"/>
          <w:numId w:val="3"/>
        </w:numPr>
      </w:pPr>
      <w:r>
        <w:t xml:space="preserve">Tabla 9, escenario moderado: PD +6 pp (Alto), +5 pp (Medio), +3 pp (Bajo).</w:t>
      </w:r>
    </w:p>
    <w:p>
      <w:pPr>
        <w:pStyle w:val="ListParagraph"/>
        <w:numPr>
          <w:ilvl w:val="0"/>
          <w:numId w:val="3"/>
        </w:numPr>
      </w:pPr>
      <w:r>
        <w:t xml:space="preserve">Tabla 9, escenario severo: PD +15 pp (Alto), +10 pp (Medio), +5 pp (Bajo).</w:t>
      </w:r>
    </w:p>
    <w:p>
      <w:pPr>
        <w:pStyle w:val="ListParagraph"/>
        <w:numPr>
          <w:ilvl w:val="0"/>
          <w:numId w:val="3"/>
        </w:numPr>
      </w:pPr>
      <w:r>
        <w:t xml:space="preserve">Tabla 9: LGD de microcrédito = 70 %.</w:t>
      </w:r>
    </w:p>
    <w:p>
      <w:pPr>
        <w:pStyle w:val="ListParagraph"/>
        <w:numPr>
          <w:ilvl w:val="0"/>
          <w:numId w:val="3"/>
        </w:numPr>
      </w:pPr>
      <w:r>
        <w:t xml:space="preserve">Tabla 5, mezcla del sistema en zonas de riesgo: Alto 3.830 (18,6 %), Medio 4.940 (24,0 %), Bajo 11.804 (57,4 %), sobre 20.574 MM.</w:t>
      </w:r>
    </w:p>
    <w:p>
      <w:pPr/>
      <w:r>
        <w:rPr>
          <w:b/>
        </w:rPr>
        <w:t xml:space="preserve">Paso 3. ΔPD ponderado por zona.</w:t>
      </w:r>
    </w:p>
    <w:p>
      <w:pPr>
        <w:pStyle w:val="ListParagraph"/>
        <w:numPr>
          <w:ilvl w:val="0"/>
          <w:numId w:val="4"/>
        </w:numPr>
      </w:pPr>
      <w:r>
        <w:t xml:space="preserve">Moderado: 6 × 18,6 % + 5 × 24,0 % + 3 × 57,4 % = 1,12 + 1,20 + 1,72 = 4,04 pp.</w:t>
      </w:r>
    </w:p>
    <w:p>
      <w:pPr>
        <w:pStyle w:val="ListParagraph"/>
        <w:numPr>
          <w:ilvl w:val="0"/>
          <w:numId w:val="4"/>
        </w:numPr>
      </w:pPr>
      <w:r>
        <w:t xml:space="preserve">Severo: 15 × 18,6 % + 10 × 24,0 % + 5 × 57,4 % = 2,79 + 2,40 + 2,87 = 8,06 pp.</w:t>
      </w:r>
    </w:p>
    <w:p>
      <w:pPr>
        <w:pStyle w:val="ListParagraph"/>
        <w:numPr>
          <w:ilvl w:val="0"/>
          <w:numId w:val="4"/>
        </w:numPr>
      </w:pPr>
      <w:r>
        <w:t xml:space="preserve">Extremo: 15 pp, como si el 100 % de la cartera fuera zona Alta.</w:t>
      </w:r>
    </w:p>
    <w:p>
      <w:pPr/>
      <w:r>
        <w:rPr>
          <w:b/>
        </w:rPr>
        <w:t xml:space="preserve">Paso 4. Pérdida adicional y total.</w:t>
      </w:r>
    </w:p>
    <w:p>
      <w:pPr>
        <w:pStyle w:val="ListParagraph"/>
        <w:numPr>
          <w:ilvl w:val="0"/>
          <w:numId w:val="5"/>
        </w:numPr>
      </w:pPr>
      <w:r>
        <w:t xml:space="preserve">Moderado: 363,4 × 4,04 % × 70 % = 10,3 MM → 35,5 + 10,3 = 45,8 MM (12,6 %).</w:t>
      </w:r>
    </w:p>
    <w:p>
      <w:pPr>
        <w:pStyle w:val="ListParagraph"/>
        <w:numPr>
          <w:ilvl w:val="0"/>
          <w:numId w:val="5"/>
        </w:numPr>
      </w:pPr>
      <w:r>
        <w:t xml:space="preserve">Severo con mezcla del sistema: 363,4 × 8,06 % × 70 % = 20,5 MM → 56,0 MM (15,4 %).</w:t>
      </w:r>
    </w:p>
    <w:p>
      <w:pPr>
        <w:pStyle w:val="ListParagraph"/>
        <w:numPr>
          <w:ilvl w:val="0"/>
          <w:numId w:val="5"/>
        </w:numPr>
      </w:pPr>
      <w:r>
        <w:t xml:space="preserve">Severo de la lámina: 20,9 MM implica ΔPD = 20,9 / (363,4 × 0,70) = 8,22 pp. Eso cuadra con una mezcla algo más riesgosa, por ejemplo 20 % Alto, 24 % Medio y 56 % Bajo.</w:t>
      </w:r>
    </w:p>
    <w:p>
      <w:pPr>
        <w:pStyle w:val="ListParagraph"/>
        <w:numPr>
          <w:ilvl w:val="0"/>
          <w:numId w:val="5"/>
        </w:numPr>
      </w:pPr>
      <w:r>
        <w:t xml:space="preserve">Extremo: 363,4 × 15 % × 70 % = 38,2 MM → 73,7 MM (20,3 %).</w:t>
      </w:r>
    </w:p>
    <w:p>
      <w:pPr/>
      <w:r>
        <w:rPr>
          <w:b/>
        </w:rPr>
        <w:t xml:space="preserve">Cruce con el método multiplicativo (Tabla 15, bancos privados).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Escenario</w:t>
            </w:r>
          </w:p>
        </w:tc>
        <w:tc>
          <w:tcPr>
            <w:tcW w:w="2340" w:type="dxa"/>
            <w:shd w:val="clear" w:color="auto" w:fill="F2F2F2"/>
          </w:tcPr>
          <w:p>
            <w:pPr/>
            <w:r>
              <w:t xml:space="preserve">Factor BCE (severo o moderado / base)</w:t>
            </w:r>
          </w:p>
        </w:tc>
        <w:tc>
          <w:tcPr>
            <w:tcW w:w="2340" w:type="dxa"/>
            <w:shd w:val="clear" w:color="auto" w:fill="F2F2F2"/>
          </w:tcPr>
          <w:p>
            <w:pPr/>
            <w:r>
              <w:t xml:space="preserve">Resultado sobre 35,5 MM</w:t>
            </w:r>
          </w:p>
        </w:tc>
        <w:tc>
          <w:tcPr>
            <w:tcW w:w="2340" w:type="dxa"/>
            <w:shd w:val="clear" w:color="auto" w:fill="F2F2F2"/>
          </w:tcPr>
          <w:p>
            <w:pPr/>
            <w:r>
              <w:t xml:space="preserve">Diferencia vs. tabla final</w:t>
            </w:r>
          </w:p>
        </w:tc>
      </w:tr>
      <w:tr>
        <w:tc>
          <w:tcPr>
            <w:tcW w:w="2340" w:type="dxa"/>
          </w:tcPr>
          <w:p>
            <w:pPr/>
            <w:r>
              <w:t xml:space="preserve">Moderado</w:t>
            </w:r>
          </w:p>
        </w:tc>
        <w:tc>
          <w:tcPr>
            <w:tcW w:w="2340" w:type="dxa"/>
          </w:tcPr>
          <w:p>
            <w:pPr/>
            <w:r>
              <w:t xml:space="preserve">1.018 / 791 = ×1,287</w:t>
            </w:r>
          </w:p>
        </w:tc>
        <w:tc>
          <w:tcPr>
            <w:tcW w:w="2340" w:type="dxa"/>
          </w:tcPr>
          <w:p>
            <w:pPr/>
            <w:r>
              <w:t xml:space="preserve">45,7 MM</w:t>
            </w:r>
          </w:p>
        </w:tc>
        <w:tc>
          <w:tcPr>
            <w:tcW w:w="2340" w:type="dxa"/>
          </w:tcPr>
          <w:p>
            <w:pPr/>
            <w:r>
              <w:t xml:space="preserve">−0,1 MM</w:t>
            </w:r>
          </w:p>
        </w:tc>
      </w:tr>
      <w:tr>
        <w:tc>
          <w:tcPr>
            <w:tcW w:w="2340" w:type="dxa"/>
          </w:tcPr>
          <w:p>
            <w:pPr/>
            <w:r>
              <w:t xml:space="preserve">Severo</w:t>
            </w:r>
          </w:p>
        </w:tc>
        <w:tc>
          <w:tcPr>
            <w:tcW w:w="2340" w:type="dxa"/>
          </w:tcPr>
          <w:p>
            <w:pPr/>
            <w:r>
              <w:t xml:space="preserve">1.230 / 791 = ×1,555</w:t>
            </w:r>
          </w:p>
        </w:tc>
        <w:tc>
          <w:tcPr>
            <w:tcW w:w="2340" w:type="dxa"/>
          </w:tcPr>
          <w:p>
            <w:pPr/>
            <w:r>
              <w:t xml:space="preserve">55,2 MM</w:t>
            </w:r>
          </w:p>
        </w:tc>
        <w:tc>
          <w:tcPr>
            <w:tcW w:w="2340" w:type="dxa"/>
          </w:tcPr>
          <w:p>
            <w:pPr/>
            <w:r>
              <w:t xml:space="preserve">−1,2 MM</w:t>
            </w:r>
          </w:p>
        </w:tc>
      </w:tr>
    </w:tbl>
    <w:p>
      <w:pPr/>
      <w:r>
        <w:t xml:space="preserve">La lámina implica un factor de ×1,589 (56,4 / 35,5). Los dos métodos coinciden dentro de ±1,2 MM, así que el resultado es robusto al método.</w:t>
      </w:r>
    </w:p>
    <w:p>
      <w:pPr/>
      <w:r>
        <w:rPr>
          <w:b/>
        </w:rPr>
        <w:t xml:space="preserve">Cruce del escenario extremo.</w:t>
      </w:r>
      <w:r>
        <w:t xml:space="preserve"> El superintendente de Bancos dijo que el sistema aguanta una mora de hasta 6 %, frente a 3,05 % actual (×1,97). Aplicado a 35,5 MM da 69,8 MM, del mismo orden que los 73,7 MM del extremo.</w:t>
      </w:r>
    </w:p>
    <w:p>
      <w:pPr>
        <w:pStyle w:val="Heading2"/>
      </w:pPr>
      <w:r>
        <w:t xml:space="preserve">Checklist de validación</w:t>
      </w:r>
    </w:p>
    <w:p>
      <w:pPr/>
      <w:r>
        <w:t xml:space="preserve">Si la mezcla propia cumple 10 × %Alto + 5 × %Medio ≈ 3,2 pp, los 20,9 MM quedan validados con el método del BCE.</w:t>
      </w:r>
    </w:p>
    <w:p>
      <w:pPr>
        <w:pStyle w:val="ListParagraph"/>
        <w:numPr>
          <w:ilvl w:val="0"/>
          <w:numId w:val="6"/>
        </w:numPr>
      </w:pPr>
      <w:r>
        <w:t xml:space="preserve">☐ Confirmar que los 363,4 MM son solo microcrédito en parroquias del listado de riesgo (Alto, Medio, Bajo).</w:t>
      </w:r>
    </w:p>
    <w:p>
      <w:pPr>
        <w:pStyle w:val="ListParagraph"/>
        <w:numPr>
          <w:ilvl w:val="0"/>
          <w:numId w:val="6"/>
        </w:numPr>
      </w:pPr>
      <w:r>
        <w:t xml:space="preserve">☐ Obtener la distribución Alto / Medio / Bajo de los 363,4 MM y recalcular el ΔPD con la fórmula del severo.</w:t>
      </w:r>
    </w:p>
    <w:p>
      <w:pPr>
        <w:pStyle w:val="ListParagraph"/>
        <w:numPr>
          <w:ilvl w:val="0"/>
          <w:numId w:val="6"/>
        </w:numPr>
      </w:pPr>
      <w:r>
        <w:t xml:space="preserve">☐ Confirmar que se usó LGD de 70 % (Tabla 9 del BCE) y no la LGD interna del banco.</w:t>
      </w:r>
    </w:p>
    <w:p>
      <w:pPr>
        <w:pStyle w:val="ListParagraph"/>
        <w:numPr>
          <w:ilvl w:val="0"/>
          <w:numId w:val="6"/>
        </w:numPr>
      </w:pPr>
      <w:r>
        <w:t xml:space="preserve">☐ Confirmar que el shock se sumó a la PD en puntos porcentuales y no se multiplicó sobre el 9,8 %.</w:t>
      </w:r>
    </w:p>
    <w:p>
      <w:pPr>
        <w:pStyle w:val="ListParagraph"/>
        <w:numPr>
          <w:ilvl w:val="0"/>
          <w:numId w:val="6"/>
        </w:numPr>
      </w:pPr>
      <w:r>
        <w:t xml:space="preserve">☐ Verificar el 16 %: 363,4 MM / cartera micro total ≈ 2.271 MM.</w:t>
      </w:r>
    </w:p>
    <w:p>
      <w:pPr>
        <w:pStyle w:val="ListParagraph"/>
        <w:numPr>
          <w:ilvl w:val="0"/>
          <w:numId w:val="6"/>
        </w:numPr>
      </w:pPr>
      <w:r>
        <w:t xml:space="preserve">☐ Revisar el concepto: el BCE calcula pérdida esperada a 12 meses; la lámina dice pérdida incurrida. Conviene rotularlo como "pérdida incurrida estimada".</w:t>
      </w:r>
    </w:p>
    <w:p>
      <w:pPr>
        <w:pStyle w:val="ListParagraph"/>
        <w:numPr>
          <w:ilvl w:val="0"/>
          <w:numId w:val="6"/>
        </w:numPr>
      </w:pPr>
      <w:r>
        <w:t xml:space="preserve">☐ Completar el asterisco de la lámina con la fuente: "BCE, Apuntes de Economía No. 75 (2024), escenario severo".</w:t>
      </w:r>
    </w:p>
    <w:p>
      <w:pPr>
        <w:pStyle w:val="ListParagraph"/>
        <w:numPr>
          <w:ilvl w:val="0"/>
          <w:numId w:val="6"/>
        </w:numPr>
      </w:pPr>
      <w:r>
        <w:t xml:space="preserve">☐ Recalcular moderado y extremo con la mezcla propia antes de mostrarlos.</w:t>
      </w:r>
    </w:p>
    <w:p>
      <w:pPr>
        <w:pStyle w:val="Heading2"/>
      </w:pPr>
      <w:r>
        <w:t xml:space="preserve">Speech para la lámina de Productivo Empresas y PES</w:t>
      </w:r>
    </w:p>
    <w:p>
      <w:pPr/>
      <w:r>
        <w:t xml:space="preserve">Duración aproximada: 1,5 a 2 minutos. Usa los mismos escenarios y la misma fórmula que en micro; solo cambia la severidad.</w:t>
      </w:r>
    </w:p>
    <w:p>
      <w:pPr/>
      <w:r>
        <w:rPr>
          <w:b/>
        </w:rPr>
        <w:t xml:space="preserve">Exposición.</w:t>
      </w:r>
      <w:r>
        <w:t xml:space="preserve"> Pasamos a la cartera productiva. En Empresas tenemos 715,7 millones en zonas expuestas, el 20 % del portafolio, con una pérdida incurrida de 1,8 %. En PES la exposición es de 280 millones, el 18 % del portafolio, con 6,6 %.</w:t>
      </w:r>
    </w:p>
    <w:p>
      <w:pPr/>
      <w:r>
        <w:rPr>
          <w:b/>
        </w:rPr>
        <w:t xml:space="preserve">Método.</w:t>
      </w:r>
      <w:r>
        <w:t xml:space="preserve"> Aplicamos los mismos escenarios del Banco Central que en micro. La diferencia es la severidad: para crédito productivo el BCE usa 40 %, porque sus garantías son más líquidas.</w:t>
      </w:r>
    </w:p>
    <w:p>
      <w:pPr/>
      <w:r>
        <w:rPr>
          <w:b/>
        </w:rPr>
        <w:t xml:space="preserve">Impacto.</w:t>
      </w:r>
      <w:r>
        <w:t xml:space="preserve"> En el escenario severo, la pérdida de Empresas en zona expuesta sube de 1,8 % a 5,0 %, unos 23 millones adicionales. En PES sube de 6,6 % a 9,8 %, unos 9 millones adicionales.</w:t>
      </w:r>
    </w:p>
    <w:p>
      <w:pPr/>
      <w:r>
        <w:rPr>
          <w:b/>
        </w:rPr>
        <w:t xml:space="preserve">El rango en Empresas.</w:t>
      </w:r>
      <w:r>
        <w:t xml:space="preserve"> Si el impacto escala con el riesgo actual de cada cliente, Empresas llegaría a 2,8 %, unos 7 millones adicionales. Lo presentamos como rango porque las grandes empresas suelen tener operaciones más diversificadas y mejores garantías.</w:t>
      </w:r>
    </w:p>
    <w:p>
      <w:pPr/>
      <w:r>
        <w:rPr>
          <w:b/>
        </w:rPr>
        <w:t xml:space="preserve">Consolidado.</w:t>
      </w:r>
      <w:r>
        <w:t xml:space="preserve"> Sumando micro, Empresas y PES, el escenario severo representa unos 53 millones adicionales de pérdida. El moderado suma unos 26 millones y el extremo unos 98 millones.</w:t>
      </w:r>
    </w:p>
    <w:p>
      <w:pPr>
        <w:pStyle w:val="Heading2"/>
      </w:pPr>
      <w:r>
        <w:t xml:space="preserve">Escenarios Productivo Empresas y PES</w:t>
      </w:r>
    </w:p>
    <w:p>
      <w:pPr/>
      <w:r>
        <w:t xml:space="preserve">En el escenario severo, Empresas sube de 1,8 % a 5,0 % y PES de 6,6 % a 9,8 % sobre su cartera expuesta. Junto con micro, el adicional consolidado es 53,0 MM.</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Cartera</w:t>
            </w:r>
          </w:p>
        </w:tc>
        <w:tc>
          <w:tcPr>
            <w:tcW w:w="1560" w:type="dxa"/>
            <w:shd w:val="clear" w:color="auto" w:fill="F2F2F2"/>
          </w:tcPr>
          <w:p>
            <w:pPr/>
            <w:r>
              <w:t xml:space="preserve">Escenario</w:t>
            </w:r>
          </w:p>
        </w:tc>
        <w:tc>
          <w:tcPr>
            <w:tcW w:w="1560" w:type="dxa"/>
            <w:shd w:val="clear" w:color="auto" w:fill="F2F2F2"/>
          </w:tcPr>
          <w:p>
            <w:pPr/>
            <w:r>
              <w:t xml:space="preserve">PI sobre cartera expuesta</w:t>
            </w:r>
          </w:p>
        </w:tc>
        <w:tc>
          <w:tcPr>
            <w:tcW w:w="1560" w:type="dxa"/>
            <w:shd w:val="clear" w:color="auto" w:fill="F2F2F2"/>
          </w:tcPr>
          <w:p>
            <w:pPr/>
            <w:r>
              <w:t xml:space="preserve">Pérdida en zona expuesta (USD MM)</w:t>
            </w:r>
          </w:p>
        </w:tc>
        <w:tc>
          <w:tcPr>
            <w:tcW w:w="1560" w:type="dxa"/>
            <w:shd w:val="clear" w:color="auto" w:fill="F2F2F2"/>
          </w:tcPr>
          <w:p>
            <w:pPr/>
            <w:r>
              <w:t xml:space="preserve">Adicional vs. actual (USD MM)</w:t>
            </w:r>
          </w:p>
        </w:tc>
        <w:tc>
          <w:tcPr>
            <w:tcW w:w="1560" w:type="dxa"/>
            <w:shd w:val="clear" w:color="auto" w:fill="F2F2F2"/>
          </w:tcPr>
          <w:p>
            <w:pPr/>
            <w:r>
              <w:t xml:space="preserve">PI total del segmento</w:t>
            </w:r>
          </w:p>
        </w:tc>
      </w:tr>
      <w:tr>
        <w:tc>
          <w:tcPr>
            <w:tcW w:w="1560" w:type="dxa"/>
          </w:tcPr>
          <w:p>
            <w:pPr/>
            <w:r>
              <w:t xml:space="preserve">Empresas (715,7 MM expuestos de 3.552)</w:t>
            </w:r>
          </w:p>
        </w:tc>
        <w:tc>
          <w:tcPr>
            <w:tcW w:w="1560" w:type="dxa"/>
          </w:tcPr>
          <w:p>
            <w:pPr/>
            <w:r>
              <w:t xml:space="preserve">Actual</w:t>
            </w:r>
          </w:p>
        </w:tc>
        <w:tc>
          <w:tcPr>
            <w:tcW w:w="1560" w:type="dxa"/>
          </w:tcPr>
          <w:p>
            <w:pPr/>
            <w:r>
              <w:t xml:space="preserve">1,8 %</w:t>
            </w:r>
          </w:p>
        </w:tc>
        <w:tc>
          <w:tcPr>
            <w:tcW w:w="1560" w:type="dxa"/>
          </w:tcPr>
          <w:p>
            <w:pPr/>
            <w:r>
              <w:t xml:space="preserve">12,9</w:t>
            </w:r>
          </w:p>
        </w:tc>
        <w:tc>
          <w:tcPr>
            <w:tcW w:w="1560" w:type="dxa"/>
          </w:tcPr>
          <w:p>
            <w:pPr/>
            <w:r>
              <w:t xml:space="preserve">—</w:t>
            </w:r>
          </w:p>
        </w:tc>
        <w:tc>
          <w:tcPr>
            <w:tcW w:w="1560" w:type="dxa"/>
          </w:tcPr>
          <w:p>
            <w:pPr/>
            <w:r>
              <w:t xml:space="preserve">0,9 %</w:t>
            </w:r>
          </w:p>
        </w:tc>
      </w:tr>
      <w:tr>
        <w:tc>
          <w:tcPr>
            <w:tcW w:w="1560" w:type="dxa"/>
          </w:tcPr>
          <w:p>
            <w:pPr/>
            <w:r>
              <w:t xml:space="preserve">Empresas</w:t>
            </w:r>
          </w:p>
        </w:tc>
        <w:tc>
          <w:tcPr>
            <w:tcW w:w="1560" w:type="dxa"/>
          </w:tcPr>
          <w:p>
            <w:pPr/>
            <w:r>
              <w:t xml:space="preserve">Moderado (≈ Niño 1997-98)</w:t>
            </w:r>
          </w:p>
        </w:tc>
        <w:tc>
          <w:tcPr>
            <w:tcW w:w="1560" w:type="dxa"/>
          </w:tcPr>
          <w:p>
            <w:pPr/>
            <w:r>
              <w:t xml:space="preserve">3,4 %</w:t>
            </w:r>
          </w:p>
        </w:tc>
        <w:tc>
          <w:tcPr>
            <w:tcW w:w="1560" w:type="dxa"/>
          </w:tcPr>
          <w:p>
            <w:pPr/>
            <w:r>
              <w:t xml:space="preserve">24,4</w:t>
            </w:r>
          </w:p>
        </w:tc>
        <w:tc>
          <w:tcPr>
            <w:tcW w:w="1560" w:type="dxa"/>
          </w:tcPr>
          <w:p>
            <w:pPr/>
            <w:r>
              <w:t xml:space="preserve">+11,6</w:t>
            </w:r>
          </w:p>
        </w:tc>
        <w:tc>
          <w:tcPr>
            <w:tcW w:w="1560" w:type="dxa"/>
          </w:tcPr>
          <w:p>
            <w:pPr/>
            <w:r>
              <w:t xml:space="preserve">1,2 %</w:t>
            </w:r>
          </w:p>
        </w:tc>
      </w:tr>
      <w:tr>
        <w:tc>
          <w:tcPr>
            <w:tcW w:w="1560" w:type="dxa"/>
          </w:tcPr>
          <w:p>
            <w:pPr/>
            <w:r>
              <w:t xml:space="preserve">Empresas</w:t>
            </w:r>
          </w:p>
        </w:tc>
        <w:tc>
          <w:tcPr>
            <w:tcW w:w="1560" w:type="dxa"/>
          </w:tcPr>
          <w:p>
            <w:pPr/>
            <w:r>
              <w:t xml:space="preserve">Severo (caso central)</w:t>
            </w:r>
          </w:p>
        </w:tc>
        <w:tc>
          <w:tcPr>
            <w:tcW w:w="1560" w:type="dxa"/>
          </w:tcPr>
          <w:p>
            <w:pPr/>
            <w:r>
              <w:t xml:space="preserve">5,0 %</w:t>
            </w:r>
          </w:p>
        </w:tc>
        <w:tc>
          <w:tcPr>
            <w:tcW w:w="1560" w:type="dxa"/>
          </w:tcPr>
          <w:p>
            <w:pPr/>
            <w:r>
              <w:t xml:space="preserve">36,0</w:t>
            </w:r>
          </w:p>
        </w:tc>
        <w:tc>
          <w:tcPr>
            <w:tcW w:w="1560" w:type="dxa"/>
          </w:tcPr>
          <w:p>
            <w:pPr/>
            <w:r>
              <w:t xml:space="preserve">+23,1</w:t>
            </w:r>
          </w:p>
        </w:tc>
        <w:tc>
          <w:tcPr>
            <w:tcW w:w="1560" w:type="dxa"/>
          </w:tcPr>
          <w:p>
            <w:pPr/>
            <w:r>
              <w:t xml:space="preserve">1,5 %</w:t>
            </w:r>
          </w:p>
        </w:tc>
      </w:tr>
      <w:tr>
        <w:tc>
          <w:tcPr>
            <w:tcW w:w="1560" w:type="dxa"/>
          </w:tcPr>
          <w:p>
            <w:pPr/>
            <w:r>
              <w:t xml:space="preserve">Empresas</w:t>
            </w:r>
          </w:p>
        </w:tc>
        <w:tc>
          <w:tcPr>
            <w:tcW w:w="1560" w:type="dxa"/>
          </w:tcPr>
          <w:p>
            <w:pPr/>
            <w:r>
              <w:t xml:space="preserve">Extremo (Niño muy fuerte)</w:t>
            </w:r>
          </w:p>
        </w:tc>
        <w:tc>
          <w:tcPr>
            <w:tcW w:w="1560" w:type="dxa"/>
          </w:tcPr>
          <w:p>
            <w:pPr/>
            <w:r>
              <w:t xml:space="preserve">7,8 %</w:t>
            </w:r>
          </w:p>
        </w:tc>
        <w:tc>
          <w:tcPr>
            <w:tcW w:w="1560" w:type="dxa"/>
          </w:tcPr>
          <w:p>
            <w:pPr/>
            <w:r>
              <w:t xml:space="preserve">55,8</w:t>
            </w:r>
          </w:p>
        </w:tc>
        <w:tc>
          <w:tcPr>
            <w:tcW w:w="1560" w:type="dxa"/>
          </w:tcPr>
          <w:p>
            <w:pPr/>
            <w:r>
              <w:t xml:space="preserve">+42,9</w:t>
            </w:r>
          </w:p>
        </w:tc>
        <w:tc>
          <w:tcPr>
            <w:tcW w:w="1560" w:type="dxa"/>
          </w:tcPr>
          <w:p>
            <w:pPr/>
            <w:r>
              <w:t xml:space="preserve">2,1 %</w:t>
            </w:r>
          </w:p>
        </w:tc>
      </w:tr>
      <w:tr>
        <w:tc>
          <w:tcPr>
            <w:tcW w:w="1560" w:type="dxa"/>
          </w:tcPr>
          <w:p>
            <w:pPr/>
            <w:r>
              <w:t xml:space="preserve">PES (280,0 MM expuestos de 1.577)</w:t>
            </w:r>
          </w:p>
        </w:tc>
        <w:tc>
          <w:tcPr>
            <w:tcW w:w="1560" w:type="dxa"/>
          </w:tcPr>
          <w:p>
            <w:pPr/>
            <w:r>
              <w:t xml:space="preserve">Actual</w:t>
            </w:r>
          </w:p>
        </w:tc>
        <w:tc>
          <w:tcPr>
            <w:tcW w:w="1560" w:type="dxa"/>
          </w:tcPr>
          <w:p>
            <w:pPr/>
            <w:r>
              <w:t xml:space="preserve">6,6 %</w:t>
            </w:r>
          </w:p>
        </w:tc>
        <w:tc>
          <w:tcPr>
            <w:tcW w:w="1560" w:type="dxa"/>
          </w:tcPr>
          <w:p>
            <w:pPr/>
            <w:r>
              <w:t xml:space="preserve">18,5</w:t>
            </w:r>
          </w:p>
        </w:tc>
        <w:tc>
          <w:tcPr>
            <w:tcW w:w="1560" w:type="dxa"/>
          </w:tcPr>
          <w:p>
            <w:pPr/>
            <w:r>
              <w:t xml:space="preserve">—</w:t>
            </w:r>
          </w:p>
        </w:tc>
        <w:tc>
          <w:tcPr>
            <w:tcW w:w="1560" w:type="dxa"/>
          </w:tcPr>
          <w:p>
            <w:pPr/>
            <w:r>
              <w:t xml:space="preserve">4,8 %</w:t>
            </w:r>
          </w:p>
        </w:tc>
      </w:tr>
      <w:tr>
        <w:tc>
          <w:tcPr>
            <w:tcW w:w="1560" w:type="dxa"/>
          </w:tcPr>
          <w:p>
            <w:pPr/>
            <w:r>
              <w:t xml:space="preserve">PES</w:t>
            </w:r>
          </w:p>
        </w:tc>
        <w:tc>
          <w:tcPr>
            <w:tcW w:w="1560" w:type="dxa"/>
          </w:tcPr>
          <w:p>
            <w:pPr/>
            <w:r>
              <w:t xml:space="preserve">Moderado (≈ Niño 1997-98)</w:t>
            </w:r>
          </w:p>
        </w:tc>
        <w:tc>
          <w:tcPr>
            <w:tcW w:w="1560" w:type="dxa"/>
          </w:tcPr>
          <w:p>
            <w:pPr/>
            <w:r>
              <w:t xml:space="preserve">8,2 %</w:t>
            </w:r>
          </w:p>
        </w:tc>
        <w:tc>
          <w:tcPr>
            <w:tcW w:w="1560" w:type="dxa"/>
          </w:tcPr>
          <w:p>
            <w:pPr/>
            <w:r>
              <w:t xml:space="preserve">23,0</w:t>
            </w:r>
          </w:p>
        </w:tc>
        <w:tc>
          <w:tcPr>
            <w:tcW w:w="1560" w:type="dxa"/>
          </w:tcPr>
          <w:p>
            <w:pPr/>
            <w:r>
              <w:t xml:space="preserve">+4,5</w:t>
            </w:r>
          </w:p>
        </w:tc>
        <w:tc>
          <w:tcPr>
            <w:tcW w:w="1560" w:type="dxa"/>
          </w:tcPr>
          <w:p>
            <w:pPr/>
            <w:r>
              <w:t xml:space="preserve">5,1 %</w:t>
            </w:r>
          </w:p>
        </w:tc>
      </w:tr>
      <w:tr>
        <w:tc>
          <w:tcPr>
            <w:tcW w:w="1560" w:type="dxa"/>
          </w:tcPr>
          <w:p>
            <w:pPr/>
            <w:r>
              <w:t xml:space="preserve">PES</w:t>
            </w:r>
          </w:p>
        </w:tc>
        <w:tc>
          <w:tcPr>
            <w:tcW w:w="1560" w:type="dxa"/>
          </w:tcPr>
          <w:p>
            <w:pPr/>
            <w:r>
              <w:t xml:space="preserve">Severo (caso central)</w:t>
            </w:r>
          </w:p>
        </w:tc>
        <w:tc>
          <w:tcPr>
            <w:tcW w:w="1560" w:type="dxa"/>
          </w:tcPr>
          <w:p>
            <w:pPr/>
            <w:r>
              <w:t xml:space="preserve">9,8 %</w:t>
            </w:r>
          </w:p>
        </w:tc>
        <w:tc>
          <w:tcPr>
            <w:tcW w:w="1560" w:type="dxa"/>
          </w:tcPr>
          <w:p>
            <w:pPr/>
            <w:r>
              <w:t xml:space="preserve">27,5</w:t>
            </w:r>
          </w:p>
        </w:tc>
        <w:tc>
          <w:tcPr>
            <w:tcW w:w="1560" w:type="dxa"/>
          </w:tcPr>
          <w:p>
            <w:pPr/>
            <w:r>
              <w:t xml:space="preserve">+9,0</w:t>
            </w:r>
          </w:p>
        </w:tc>
        <w:tc>
          <w:tcPr>
            <w:tcW w:w="1560" w:type="dxa"/>
          </w:tcPr>
          <w:p>
            <w:pPr/>
            <w:r>
              <w:t xml:space="preserve">5,4 %</w:t>
            </w:r>
          </w:p>
        </w:tc>
      </w:tr>
      <w:tr>
        <w:tc>
          <w:tcPr>
            <w:tcW w:w="1560" w:type="dxa"/>
          </w:tcPr>
          <w:p>
            <w:pPr/>
            <w:r>
              <w:t xml:space="preserve">PES</w:t>
            </w:r>
          </w:p>
        </w:tc>
        <w:tc>
          <w:tcPr>
            <w:tcW w:w="1560" w:type="dxa"/>
          </w:tcPr>
          <w:p>
            <w:pPr/>
            <w:r>
              <w:t xml:space="preserve">Extremo (Niño muy fuerte)</w:t>
            </w:r>
          </w:p>
        </w:tc>
        <w:tc>
          <w:tcPr>
            <w:tcW w:w="1560" w:type="dxa"/>
          </w:tcPr>
          <w:p>
            <w:pPr/>
            <w:r>
              <w:t xml:space="preserve">12,6 %</w:t>
            </w:r>
          </w:p>
        </w:tc>
        <w:tc>
          <w:tcPr>
            <w:tcW w:w="1560" w:type="dxa"/>
          </w:tcPr>
          <w:p>
            <w:pPr/>
            <w:r>
              <w:t xml:space="preserve">35,3</w:t>
            </w:r>
          </w:p>
        </w:tc>
        <w:tc>
          <w:tcPr>
            <w:tcW w:w="1560" w:type="dxa"/>
          </w:tcPr>
          <w:p>
            <w:pPr/>
            <w:r>
              <w:t xml:space="preserve">+16,8</w:t>
            </w:r>
          </w:p>
        </w:tc>
        <w:tc>
          <w:tcPr>
            <w:tcW w:w="1560" w:type="dxa"/>
          </w:tcPr>
          <w:p>
            <w:pPr/>
            <w:r>
              <w:t xml:space="preserve">5,9 %</w:t>
            </w:r>
          </w:p>
        </w:tc>
      </w:tr>
    </w:tbl>
    <w:p>
      <w:pPr/>
      <w:r>
        <w:t xml:space="preserve">Supuestos: mismos shocks de PD por zona que en micro (Tabla 9 del BCE), mezcla de zonas del sistema (Tabla 5) y LGD de 40 % para productivo. El extremo es un supuesto propio.</w:t>
      </w:r>
    </w:p>
    <w:p>
      <w:pPr/>
      <w:r>
        <w:rPr>
          <w:b/>
        </w:rPr>
        <w:t xml:space="preserve">Consolidado de las tres carteras (pérdida adicional, USD MM).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Escenario</w:t>
            </w:r>
          </w:p>
        </w:tc>
        <w:tc>
          <w:tcPr>
            <w:tcW w:w="1872" w:type="dxa"/>
            <w:shd w:val="clear" w:color="auto" w:fill="F2F2F2"/>
          </w:tcPr>
          <w:p>
            <w:pPr/>
            <w:r>
              <w:t xml:space="preserve">Micro</w:t>
            </w:r>
          </w:p>
        </w:tc>
        <w:tc>
          <w:tcPr>
            <w:tcW w:w="1872" w:type="dxa"/>
            <w:shd w:val="clear" w:color="auto" w:fill="F2F2F2"/>
          </w:tcPr>
          <w:p>
            <w:pPr/>
            <w:r>
              <w:t xml:space="preserve">Empresas</w:t>
            </w:r>
          </w:p>
        </w:tc>
        <w:tc>
          <w:tcPr>
            <w:tcW w:w="1872" w:type="dxa"/>
            <w:shd w:val="clear" w:color="auto" w:fill="F2F2F2"/>
          </w:tcPr>
          <w:p>
            <w:pPr/>
            <w:r>
              <w:t xml:space="preserve">PES</w:t>
            </w:r>
          </w:p>
        </w:tc>
        <w:tc>
          <w:tcPr>
            <w:tcW w:w="1872" w:type="dxa"/>
            <w:shd w:val="clear" w:color="auto" w:fill="F2F2F2"/>
          </w:tcPr>
          <w:p>
            <w:pPr/>
            <w:r>
              <w:t xml:space="preserve">Total</w:t>
            </w:r>
          </w:p>
        </w:tc>
      </w:tr>
      <w:tr>
        <w:tc>
          <w:tcPr>
            <w:tcW w:w="1872" w:type="dxa"/>
          </w:tcPr>
          <w:p>
            <w:pPr/>
            <w:r>
              <w:t xml:space="preserve">Moderado</w:t>
            </w:r>
          </w:p>
        </w:tc>
        <w:tc>
          <w:tcPr>
            <w:tcW w:w="1872" w:type="dxa"/>
          </w:tcPr>
          <w:p>
            <w:pPr/>
            <w:r>
              <w:t xml:space="preserve">+10,3</w:t>
            </w:r>
          </w:p>
        </w:tc>
        <w:tc>
          <w:tcPr>
            <w:tcW w:w="1872" w:type="dxa"/>
          </w:tcPr>
          <w:p>
            <w:pPr/>
            <w:r>
              <w:t xml:space="preserve">+11,6</w:t>
            </w:r>
          </w:p>
        </w:tc>
        <w:tc>
          <w:tcPr>
            <w:tcW w:w="1872" w:type="dxa"/>
          </w:tcPr>
          <w:p>
            <w:pPr/>
            <w:r>
              <w:t xml:space="preserve">+4,5</w:t>
            </w:r>
          </w:p>
        </w:tc>
        <w:tc>
          <w:tcPr>
            <w:tcW w:w="1872" w:type="dxa"/>
          </w:tcPr>
          <w:p>
            <w:pPr/>
            <w:r>
              <w:t xml:space="preserve">+26,4</w:t>
            </w:r>
          </w:p>
        </w:tc>
      </w:tr>
      <w:tr>
        <w:tc>
          <w:tcPr>
            <w:tcW w:w="1872" w:type="dxa"/>
          </w:tcPr>
          <w:p>
            <w:pPr/>
            <w:r>
              <w:t xml:space="preserve">Severo (caso central)</w:t>
            </w:r>
          </w:p>
        </w:tc>
        <w:tc>
          <w:tcPr>
            <w:tcW w:w="1872" w:type="dxa"/>
          </w:tcPr>
          <w:p>
            <w:pPr/>
            <w:r>
              <w:t xml:space="preserve">+20,9</w:t>
            </w:r>
          </w:p>
        </w:tc>
        <w:tc>
          <w:tcPr>
            <w:tcW w:w="1872" w:type="dxa"/>
          </w:tcPr>
          <w:p>
            <w:pPr/>
            <w:r>
              <w:t xml:space="preserve">+23,1</w:t>
            </w:r>
          </w:p>
        </w:tc>
        <w:tc>
          <w:tcPr>
            <w:tcW w:w="1872" w:type="dxa"/>
          </w:tcPr>
          <w:p>
            <w:pPr/>
            <w:r>
              <w:t xml:space="preserve">+9,0</w:t>
            </w:r>
          </w:p>
        </w:tc>
        <w:tc>
          <w:tcPr>
            <w:tcW w:w="1872" w:type="dxa"/>
          </w:tcPr>
          <w:p>
            <w:pPr/>
            <w:r>
              <w:t xml:space="preserve">+53,0</w:t>
            </w:r>
          </w:p>
        </w:tc>
      </w:tr>
      <w:tr>
        <w:tc>
          <w:tcPr>
            <w:tcW w:w="1872" w:type="dxa"/>
          </w:tcPr>
          <w:p>
            <w:pPr/>
            <w:r>
              <w:t xml:space="preserve">Extremo</w:t>
            </w:r>
          </w:p>
        </w:tc>
        <w:tc>
          <w:tcPr>
            <w:tcW w:w="1872" w:type="dxa"/>
          </w:tcPr>
          <w:p>
            <w:pPr/>
            <w:r>
              <w:t xml:space="preserve">+38,2</w:t>
            </w:r>
          </w:p>
        </w:tc>
        <w:tc>
          <w:tcPr>
            <w:tcW w:w="1872" w:type="dxa"/>
          </w:tcPr>
          <w:p>
            <w:pPr/>
            <w:r>
              <w:t xml:space="preserve">+42,9</w:t>
            </w:r>
          </w:p>
        </w:tc>
        <w:tc>
          <w:tcPr>
            <w:tcW w:w="1872" w:type="dxa"/>
          </w:tcPr>
          <w:p>
            <w:pPr/>
            <w:r>
              <w:t xml:space="preserve">+16,8</w:t>
            </w:r>
          </w:p>
        </w:tc>
        <w:tc>
          <w:tcPr>
            <w:tcW w:w="1872" w:type="dxa"/>
          </w:tcPr>
          <w:p>
            <w:pPr/>
            <w:r>
              <w:t xml:space="preserve">+97,9</w:t>
            </w:r>
          </w:p>
        </w:tc>
      </w:tr>
    </w:tbl>
    <w:p>
      <w:pPr/>
      <w:r>
        <w:t xml:space="preserve">Si para Empresas se usa el rango bajo (método multiplicativo, +7,2 MM en severo), el consolidado severo baja a 37,1 MM.</w:t>
      </w:r>
    </w:p>
    <w:p>
      <w:pPr>
        <w:pStyle w:val="Heading2"/>
      </w:pPr>
      <w:r>
        <w:t xml:space="preserve">Cómo se calculó (productivo)</w:t>
      </w:r>
    </w:p>
    <w:p>
      <w:pPr/>
      <w:r>
        <w:t xml:space="preserve">Las cifras actuales de las láminas usan métodos distintos entre sí. Para que las tres carteras sean comparables, conviene aplicar a todas el método aditivo del BCE, como en micro.</w:t>
      </w:r>
    </w:p>
    <w:p>
      <w:pPr/>
      <w:r>
        <w:rPr>
          <w:b/>
        </w:rPr>
        <w:t xml:space="preserve">Qué método implica cada cifra actual.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Cartera</w:t>
            </w:r>
          </w:p>
        </w:tc>
        <w:tc>
          <w:tcPr>
            <w:tcW w:w="2340" w:type="dxa"/>
            <w:shd w:val="clear" w:color="auto" w:fill="F2F2F2"/>
          </w:tcPr>
          <w:p>
            <w:pPr/>
            <w:r>
              <w:t xml:space="preserve">PI simulada en la lámina</w:t>
            </w:r>
          </w:p>
        </w:tc>
        <w:tc>
          <w:tcPr>
            <w:tcW w:w="2340" w:type="dxa"/>
            <w:shd w:val="clear" w:color="auto" w:fill="F2F2F2"/>
          </w:tcPr>
          <w:p>
            <w:pPr/>
            <w:r>
              <w:t xml:space="preserve">Lo que implica</w:t>
            </w:r>
          </w:p>
        </w:tc>
        <w:tc>
          <w:tcPr>
            <w:tcW w:w="2340" w:type="dxa"/>
            <w:shd w:val="clear" w:color="auto" w:fill="F2F2F2"/>
          </w:tcPr>
          <w:p>
            <w:pPr/>
            <w:r>
              <w:t xml:space="preserve">¿Coherente con micro?</w:t>
            </w:r>
          </w:p>
        </w:tc>
      </w:tr>
      <w:tr>
        <w:tc>
          <w:tcPr>
            <w:tcW w:w="2340" w:type="dxa"/>
          </w:tcPr>
          <w:p>
            <w:pPr/>
            <w:r>
              <w:t xml:space="preserve">Micro</w:t>
            </w:r>
          </w:p>
        </w:tc>
        <w:tc>
          <w:tcPr>
            <w:tcW w:w="2340" w:type="dxa"/>
          </w:tcPr>
          <w:p>
            <w:pPr/>
            <w:r>
              <w:t xml:space="preserve">15,5 %</w:t>
            </w:r>
          </w:p>
        </w:tc>
        <w:tc>
          <w:tcPr>
            <w:tcW w:w="2340" w:type="dxa"/>
          </w:tcPr>
          <w:p>
            <w:pPr/>
            <w:r>
              <w:t xml:space="preserve">Severo aditivo: ΔPD 8,2 pp × LGD 70 %</w:t>
            </w:r>
          </w:p>
        </w:tc>
        <w:tc>
          <w:tcPr>
            <w:tcW w:w="2340" w:type="dxa"/>
          </w:tcPr>
          <w:p>
            <w:pPr/>
            <w:r>
              <w:t xml:space="preserve">Sí (referencia)</w:t>
            </w:r>
          </w:p>
        </w:tc>
      </w:tr>
      <w:tr>
        <w:tc>
          <w:tcPr>
            <w:tcW w:w="2340" w:type="dxa"/>
          </w:tcPr>
          <w:p>
            <w:pPr/>
            <w:r>
              <w:t xml:space="preserve">Empresas</w:t>
            </w:r>
          </w:p>
        </w:tc>
        <w:tc>
          <w:tcPr>
            <w:tcW w:w="2340" w:type="dxa"/>
          </w:tcPr>
          <w:p>
            <w:pPr/>
            <w:r>
              <w:t xml:space="preserve">2,9 %</w:t>
            </w:r>
          </w:p>
        </w:tc>
        <w:tc>
          <w:tcPr>
            <w:tcW w:w="2340" w:type="dxa"/>
          </w:tcPr>
          <w:p>
            <w:pPr/>
            <w:r>
              <w:t xml:space="preserve">×1,61 sobre 1,8 %, casi el mismo factor multiplicativo de micro (×1,59). Como aditivo implicaría ΔPD de 2,75 pp, menor al mínimo del BCE (+3 pp)</w:t>
            </w:r>
          </w:p>
        </w:tc>
        <w:tc>
          <w:tcPr>
            <w:tcW w:w="2340" w:type="dxa"/>
          </w:tcPr>
          <w:p>
            <w:pPr/>
            <w:r>
              <w:t xml:space="preserve">No: es multiplicativo</w:t>
            </w:r>
          </w:p>
        </w:tc>
      </w:tr>
      <w:tr>
        <w:tc>
          <w:tcPr>
            <w:tcW w:w="2340" w:type="dxa"/>
          </w:tcPr>
          <w:p>
            <w:pPr/>
            <w:r>
              <w:t xml:space="preserve">PES</w:t>
            </w:r>
          </w:p>
        </w:tc>
        <w:tc>
          <w:tcPr>
            <w:tcW w:w="2340" w:type="dxa"/>
          </w:tcPr>
          <w:p>
            <w:pPr/>
            <w:r>
              <w:t xml:space="preserve">8,2 %</w:t>
            </w:r>
          </w:p>
        </w:tc>
        <w:tc>
          <w:tcPr>
            <w:tcW w:w="2340" w:type="dxa"/>
          </w:tcPr>
          <w:p>
            <w:pPr/>
            <w:r>
              <w:t xml:space="preserve">+1,6 pp = moderado aditivo (4,04 pp × 40 %)</w:t>
            </w:r>
          </w:p>
        </w:tc>
        <w:tc>
          <w:tcPr>
            <w:tcW w:w="2340" w:type="dxa"/>
          </w:tcPr>
          <w:p>
            <w:pPr/>
            <w:r>
              <w:t xml:space="preserve">No: es moderado, no severo</w:t>
            </w:r>
          </w:p>
        </w:tc>
      </w:tr>
    </w:tbl>
    <w:p>
      <w:pPr/>
      <w:r>
        <w:t xml:space="preserve">Esto es lo que cuadran los números; confírmalo con quien armó las láminas.</w:t>
      </w:r>
    </w:p>
    <w:p>
      <w:pPr/>
      <w:r>
        <w:rPr>
          <w:b/>
        </w:rPr>
        <w:t xml:space="preserve">Cálculo paso a paso.</w:t>
      </w:r>
      <w:r>
        <w:t xml:space="preserve"> Misma fórmula que en micro (ΔPI = EAD × ΔPD × LGD), con LGD productivo de 40 % (Tabla 9 del BCE).</w:t>
      </w:r>
    </w:p>
    <w:p>
      <w:pPr>
        <w:pStyle w:val="ListParagraph"/>
        <w:numPr>
          <w:ilvl w:val="0"/>
          <w:numId w:val="7"/>
        </w:numPr>
      </w:pPr>
      <w:r>
        <w:t xml:space="preserve">Aumento de PI por escenario: moderado 4,04 pp × 40 % = 1,62 pp; severo 8,06 pp × 40 % = 3,22 pp; extremo 15 pp × 40 % = 6,0 pp.</w:t>
      </w:r>
    </w:p>
    <w:p>
      <w:pPr>
        <w:pStyle w:val="ListParagraph"/>
        <w:numPr>
          <w:ilvl w:val="0"/>
          <w:numId w:val="7"/>
        </w:numPr>
      </w:pPr>
      <w:r>
        <w:t xml:space="preserve">Empresas: 715,7 × 1,62 % = 11,6 MM; × 3,22 % = 23,1 MM; × 6,0 % = 42,9 MM.</w:t>
      </w:r>
    </w:p>
    <w:p>
      <w:pPr>
        <w:pStyle w:val="ListParagraph"/>
        <w:numPr>
          <w:ilvl w:val="0"/>
          <w:numId w:val="7"/>
        </w:numPr>
      </w:pPr>
      <w:r>
        <w:t xml:space="preserve">PES: 280,0 × 1,62 % = 4,5 MM; × 3,22 % = 9,0 MM; × 6,0 % = 16,8 MM.</w:t>
      </w:r>
    </w:p>
    <w:p>
      <w:pPr>
        <w:pStyle w:val="ListParagraph"/>
        <w:numPr>
          <w:ilvl w:val="0"/>
          <w:numId w:val="7"/>
        </w:numPr>
      </w:pPr>
      <w:r>
        <w:t xml:space="preserve">PI total del segmento = (PI total × cartera total + adicional) / cartera total. Ejemplo Empresas severo: (0,9 % × 3.552 + 23,1) / 3.552 = 1,55 %.</w:t>
      </w:r>
    </w:p>
    <w:p>
      <w:pPr/>
      <w:r>
        <w:rPr>
          <w:b/>
        </w:rPr>
        <w:t xml:space="preserve">Cruce con el método multiplicativo (Tabla 15, bancos privados).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Cartera</w:t>
            </w:r>
          </w:p>
        </w:tc>
        <w:tc>
          <w:tcPr>
            <w:tcW w:w="2340" w:type="dxa"/>
            <w:shd w:val="clear" w:color="auto" w:fill="F2F2F2"/>
          </w:tcPr>
          <w:p>
            <w:pPr/>
            <w:r>
              <w:t xml:space="preserve">Escenario</w:t>
            </w:r>
          </w:p>
        </w:tc>
        <w:tc>
          <w:tcPr>
            <w:tcW w:w="2340" w:type="dxa"/>
            <w:shd w:val="clear" w:color="auto" w:fill="F2F2F2"/>
          </w:tcPr>
          <w:p>
            <w:pPr/>
            <w:r>
              <w:t xml:space="preserve">Aditivo BCE (PI expuesta)</w:t>
            </w:r>
          </w:p>
        </w:tc>
        <w:tc>
          <w:tcPr>
            <w:tcW w:w="2340" w:type="dxa"/>
            <w:shd w:val="clear" w:color="auto" w:fill="F2F2F2"/>
          </w:tcPr>
          <w:p>
            <w:pPr/>
            <w:r>
              <w:t xml:space="preserve">Multiplicativo (PI expuesta)</w:t>
            </w:r>
          </w:p>
        </w:tc>
      </w:tr>
      <w:tr>
        <w:tc>
          <w:tcPr>
            <w:tcW w:w="2340" w:type="dxa"/>
          </w:tcPr>
          <w:p>
            <w:pPr/>
            <w:r>
              <w:t xml:space="preserve">Empresas</w:t>
            </w:r>
          </w:p>
        </w:tc>
        <w:tc>
          <w:tcPr>
            <w:tcW w:w="2340" w:type="dxa"/>
          </w:tcPr>
          <w:p>
            <w:pPr/>
            <w:r>
              <w:t xml:space="preserve">Moderado</w:t>
            </w:r>
          </w:p>
        </w:tc>
        <w:tc>
          <w:tcPr>
            <w:tcW w:w="2340" w:type="dxa"/>
          </w:tcPr>
          <w:p>
            <w:pPr/>
            <w:r>
              <w:t xml:space="preserve">3,4 %</w:t>
            </w:r>
          </w:p>
        </w:tc>
        <w:tc>
          <w:tcPr>
            <w:tcW w:w="2340" w:type="dxa"/>
          </w:tcPr>
          <w:p>
            <w:pPr/>
            <w:r>
              <w:t xml:space="preserve">2,3 % (×1,287)</w:t>
            </w:r>
          </w:p>
        </w:tc>
      </w:tr>
      <w:tr>
        <w:tc>
          <w:tcPr>
            <w:tcW w:w="2340" w:type="dxa"/>
          </w:tcPr>
          <w:p>
            <w:pPr/>
            <w:r>
              <w:t xml:space="preserve">Empresas</w:t>
            </w:r>
          </w:p>
        </w:tc>
        <w:tc>
          <w:tcPr>
            <w:tcW w:w="2340" w:type="dxa"/>
          </w:tcPr>
          <w:p>
            <w:pPr/>
            <w:r>
              <w:t xml:space="preserve">Severo</w:t>
            </w:r>
          </w:p>
        </w:tc>
        <w:tc>
          <w:tcPr>
            <w:tcW w:w="2340" w:type="dxa"/>
          </w:tcPr>
          <w:p>
            <w:pPr/>
            <w:r>
              <w:t xml:space="preserve">5,0 %</w:t>
            </w:r>
          </w:p>
        </w:tc>
        <w:tc>
          <w:tcPr>
            <w:tcW w:w="2340" w:type="dxa"/>
          </w:tcPr>
          <w:p>
            <w:pPr/>
            <w:r>
              <w:t xml:space="preserve">2,8 % (×1,555)</w:t>
            </w:r>
          </w:p>
        </w:tc>
      </w:tr>
      <w:tr>
        <w:tc>
          <w:tcPr>
            <w:tcW w:w="2340" w:type="dxa"/>
          </w:tcPr>
          <w:p>
            <w:pPr/>
            <w:r>
              <w:t xml:space="preserve">Empresas</w:t>
            </w:r>
          </w:p>
        </w:tc>
        <w:tc>
          <w:tcPr>
            <w:tcW w:w="2340" w:type="dxa"/>
          </w:tcPr>
          <w:p>
            <w:pPr/>
            <w:r>
              <w:t xml:space="preserve">Extremo</w:t>
            </w:r>
          </w:p>
        </w:tc>
        <w:tc>
          <w:tcPr>
            <w:tcW w:w="2340" w:type="dxa"/>
          </w:tcPr>
          <w:p>
            <w:pPr/>
            <w:r>
              <w:t xml:space="preserve">7,8 %</w:t>
            </w:r>
          </w:p>
        </w:tc>
        <w:tc>
          <w:tcPr>
            <w:tcW w:w="2340" w:type="dxa"/>
          </w:tcPr>
          <w:p>
            <w:pPr/>
            <w:r>
              <w:t xml:space="preserve">3,5 % (×1,97)</w:t>
            </w:r>
          </w:p>
        </w:tc>
      </w:tr>
      <w:tr>
        <w:tc>
          <w:tcPr>
            <w:tcW w:w="2340" w:type="dxa"/>
          </w:tcPr>
          <w:p>
            <w:pPr/>
            <w:r>
              <w:t xml:space="preserve">PES</w:t>
            </w:r>
          </w:p>
        </w:tc>
        <w:tc>
          <w:tcPr>
            <w:tcW w:w="2340" w:type="dxa"/>
          </w:tcPr>
          <w:p>
            <w:pPr/>
            <w:r>
              <w:t xml:space="preserve">Moderado</w:t>
            </w:r>
          </w:p>
        </w:tc>
        <w:tc>
          <w:tcPr>
            <w:tcW w:w="2340" w:type="dxa"/>
          </w:tcPr>
          <w:p>
            <w:pPr/>
            <w:r>
              <w:t xml:space="preserve">8,2 %</w:t>
            </w:r>
          </w:p>
        </w:tc>
        <w:tc>
          <w:tcPr>
            <w:tcW w:w="2340" w:type="dxa"/>
          </w:tcPr>
          <w:p>
            <w:pPr/>
            <w:r>
              <w:t xml:space="preserve">8,5 % (×1,287)</w:t>
            </w:r>
          </w:p>
        </w:tc>
      </w:tr>
      <w:tr>
        <w:tc>
          <w:tcPr>
            <w:tcW w:w="2340" w:type="dxa"/>
          </w:tcPr>
          <w:p>
            <w:pPr/>
            <w:r>
              <w:t xml:space="preserve">PES</w:t>
            </w:r>
          </w:p>
        </w:tc>
        <w:tc>
          <w:tcPr>
            <w:tcW w:w="2340" w:type="dxa"/>
          </w:tcPr>
          <w:p>
            <w:pPr/>
            <w:r>
              <w:t xml:space="preserve">Severo</w:t>
            </w:r>
          </w:p>
        </w:tc>
        <w:tc>
          <w:tcPr>
            <w:tcW w:w="2340" w:type="dxa"/>
          </w:tcPr>
          <w:p>
            <w:pPr/>
            <w:r>
              <w:t xml:space="preserve">9,8 %</w:t>
            </w:r>
          </w:p>
        </w:tc>
        <w:tc>
          <w:tcPr>
            <w:tcW w:w="2340" w:type="dxa"/>
          </w:tcPr>
          <w:p>
            <w:pPr/>
            <w:r>
              <w:t xml:space="preserve">10,3 % (×1,555)</w:t>
            </w:r>
          </w:p>
        </w:tc>
      </w:tr>
      <w:tr>
        <w:tc>
          <w:tcPr>
            <w:tcW w:w="2340" w:type="dxa"/>
          </w:tcPr>
          <w:p>
            <w:pPr/>
            <w:r>
              <w:t xml:space="preserve">PES</w:t>
            </w:r>
          </w:p>
        </w:tc>
        <w:tc>
          <w:tcPr>
            <w:tcW w:w="2340" w:type="dxa"/>
          </w:tcPr>
          <w:p>
            <w:pPr/>
            <w:r>
              <w:t xml:space="preserve">Extremo</w:t>
            </w:r>
          </w:p>
        </w:tc>
        <w:tc>
          <w:tcPr>
            <w:tcW w:w="2340" w:type="dxa"/>
          </w:tcPr>
          <w:p>
            <w:pPr/>
            <w:r>
              <w:t xml:space="preserve">12,6 %</w:t>
            </w:r>
          </w:p>
        </w:tc>
        <w:tc>
          <w:tcPr>
            <w:tcW w:w="2340" w:type="dxa"/>
          </w:tcPr>
          <w:p>
            <w:pPr/>
            <w:r>
              <w:t xml:space="preserve">13,0 % (×1,97)</w:t>
            </w:r>
          </w:p>
        </w:tc>
      </w:tr>
    </w:tbl>
    <w:p>
      <w:pPr/>
      <w:r>
        <w:t xml:space="preserve">En micro y PES los dos métodos coinciden dentro de ±0,5 pp. En Empresas no, porque su PI base es baja (1,8 %) y un shock fijo en puntos pesa mucho más. Recomendación: severo aditivo como caso central para las tres carteras y, para Empresas, mostrar el rango 2,8 % a 5,0 %.</w:t>
      </w:r>
    </w:p>
    <w:p>
      <w:pPr/>
      <w:r>
        <w:rPr>
          <w:b/>
        </w:rPr>
        <w:t xml:space="preserve">Para validar.</w:t>
      </w:r>
    </w:p>
    <w:p>
      <w:pPr>
        <w:pStyle w:val="ListParagraph"/>
        <w:numPr>
          <w:ilvl w:val="0"/>
          <w:numId w:val="8"/>
        </w:numPr>
      </w:pPr>
      <w:r>
        <w:t xml:space="preserve">☐ Confirmar que 715,7 MM y 280,0 MM son solo cartera en parroquias del listado de riesgo.</w:t>
      </w:r>
    </w:p>
    <w:p>
      <w:pPr>
        <w:pStyle w:val="ListParagraph"/>
        <w:numPr>
          <w:ilvl w:val="0"/>
          <w:numId w:val="8"/>
        </w:numPr>
      </w:pPr>
      <w:r>
        <w:t xml:space="preserve">☐ Recalcular el ΔPD con la mezcla Alto / Medio / Bajo propia de cada cartera.</w:t>
      </w:r>
    </w:p>
    <w:p>
      <w:pPr>
        <w:pStyle w:val="ListParagraph"/>
        <w:numPr>
          <w:ilvl w:val="0"/>
          <w:numId w:val="8"/>
        </w:numPr>
      </w:pPr>
      <w:r>
        <w:t xml:space="preserve">☐ Confirmar la LGD: 40 % del BCE o la interna. Si PES tiene menos garantías, prueba 50 %: el severo de PES sube a 10,6 %.</w:t>
      </w:r>
    </w:p>
    <w:p>
      <w:pPr>
        <w:pStyle w:val="ListParagraph"/>
        <w:numPr>
          <w:ilvl w:val="0"/>
          <w:numId w:val="8"/>
        </w:numPr>
      </w:pPr>
      <w:r>
        <w:t xml:space="preserve">☐ Actualizar las láminas de Empresas y PES al mismo escenario (severo) que micro.</w:t>
      </w:r>
    </w:p>
    <w:p>
      <w:pPr>
        <w:pStyle w:val="Heading2"/>
      </w:pPr>
      <w:r>
        <w:t xml:space="preserve">Fuentes</w:t>
      </w:r>
    </w:p>
    <w:p>
      <w:pPr>
        <w:pStyle w:val="ListParagraph"/>
        <w:numPr>
          <w:ilvl w:val="0"/>
          <w:numId w:val="9"/>
        </w:numPr>
      </w:pPr>
      <w:r>
        <w:t xml:space="preserve">Banco Central del Ecuador, </w:t>
      </w:r>
      <w:hyperlink r:id="rId3" w:history="1">
        <w:r>
          <w:rPr>
            <w:rStyle w:val="Hyperlink"/>
          </w:rPr>
          <w:t xml:space="preserve">Apuntes de Economía No. 75</w:t>
        </w:r>
      </w:hyperlink>
      <w:r>
        <w:t xml:space="preserve"> (abril 2024): Tablas 5, 9 y 15, y nota 3 sobre la escala de intensidad.</w:t>
      </w:r>
    </w:p>
    <w:p>
      <w:pPr>
        <w:pStyle w:val="ListParagraph"/>
        <w:numPr>
          <w:ilvl w:val="0"/>
          <w:numId w:val="9"/>
        </w:numPr>
      </w:pPr>
      <w:r>
        <w:t xml:space="preserve">Secretaría Nacional de Gestión de Riesgos, </w:t>
      </w:r>
      <w:hyperlink r:id="rId4" w:history="1">
        <w:r>
          <w:rPr>
            <w:rStyle w:val="Hyperlink"/>
          </w:rPr>
          <w:t xml:space="preserve">Boletín 041: Alerta Roja nacional, Resolución SNGR-238-2026</w:t>
        </w:r>
      </w:hyperlink>
      <w:r>
        <w:t xml:space="preserve">.</w:t>
      </w:r>
    </w:p>
    <w:p>
      <w:pPr>
        <w:pStyle w:val="ListParagraph"/>
        <w:numPr>
          <w:ilvl w:val="0"/>
          <w:numId w:val="9"/>
        </w:numPr>
      </w:pPr>
      <w:r>
        <w:t xml:space="preserve">Secretaría Nacional de Gestión de Riesgos, </w:t>
      </w:r>
      <w:hyperlink r:id="rId5" w:history="1">
        <w:r>
          <w:rPr>
            <w:rStyle w:val="Hyperlink"/>
          </w:rPr>
          <w:t xml:space="preserve">Declaratorias de alerta vigentes</w:t>
        </w:r>
      </w:hyperlink>
      <w:r>
        <w:t xml:space="preserve"> (Roja desde el 29/08/2026).</w:t>
      </w:r>
    </w:p>
    <w:p>
      <w:pPr>
        <w:pStyle w:val="ListParagraph"/>
        <w:numPr>
          <w:ilvl w:val="0"/>
          <w:numId w:val="9"/>
        </w:numPr>
      </w:pPr>
      <w:r>
        <w:t xml:space="preserve">El Comercio, </w:t>
      </w:r>
      <w:hyperlink r:id="rId6" w:history="1">
        <w:r>
          <w:rPr>
            <w:rStyle w:val="Hyperlink"/>
          </w:rPr>
          <w:t xml:space="preserve">Informe CN-ERFEN 009-2026</w:t>
        </w:r>
      </w:hyperlink>
      <w:r>
        <w:t xml:space="preserve">: anomalías de +2,9 °C (Niño 3.4) y +4,5 °C (Niño 1+2).</w:t>
      </w:r>
    </w:p>
    <w:p>
      <w:pPr>
        <w:pStyle w:val="ListParagraph"/>
        <w:numPr>
          <w:ilvl w:val="0"/>
          <w:numId w:val="9"/>
        </w:numPr>
      </w:pPr>
      <w:r>
        <w:t xml:space="preserve">Comité Nacional ERFEN, </w:t>
      </w:r>
      <w:hyperlink r:id="rId7" w:history="1">
        <w:r>
          <w:rPr>
            <w:rStyle w:val="Hyperlink"/>
          </w:rPr>
          <w:t xml:space="preserve">Informe técnico ejecutivo</w:t>
        </w:r>
      </w:hyperlink>
      <w:r>
        <w:t xml:space="preserve">: mayor impacto entre noviembre de 2026 y marzo de 2027.</w:t>
      </w:r>
    </w:p>
    <w:p>
      <w:pPr>
        <w:pStyle w:val="ListParagraph"/>
        <w:numPr>
          <w:ilvl w:val="0"/>
          <w:numId w:val="9"/>
        </w:numPr>
      </w:pPr>
      <w:r>
        <w:t xml:space="preserve">Infobae, </w:t>
      </w:r>
      <w:hyperlink r:id="rId8" w:history="1">
        <w:r>
          <w:rPr>
            <w:rStyle w:val="Hyperlink"/>
          </w:rPr>
          <w:t xml:space="preserve">BCE: El Niño podría restar crecimiento al PIB en 2027</w:t>
        </w:r>
      </w:hyperlink>
      <w:r>
        <w:t xml:space="preserve">: −0,5 pp (moderado) y −1,4 pp (fuerte).</w:t>
      </w:r>
    </w:p>
    <w:p>
      <w:pPr>
        <w:pStyle w:val="ListParagraph"/>
        <w:numPr>
          <w:ilvl w:val="0"/>
          <w:numId w:val="9"/>
        </w:numPr>
      </w:pPr>
      <w:r>
        <w:t xml:space="preserve">Radio Pichincha, </w:t>
      </w:r>
      <w:hyperlink r:id="rId9" w:history="1">
        <w:r>
          <w:rPr>
            <w:rStyle w:val="Hyperlink"/>
          </w:rPr>
          <w:t xml:space="preserve">Superintendente de Bancos sobre morosidad 2026</w:t>
        </w:r>
      </w:hyperlink>
      <w:r>
        <w:t xml:space="preserve">: mora privada 3,05 % y tolerancia hasta 6 %.</w:t>
      </w:r>
    </w:p>
    <w:p>
      <w:pPr>
        <w:pStyle w:val="ListParagraph"/>
        <w:numPr>
          <w:ilvl w:val="0"/>
          <w:numId w:val="9"/>
        </w:numPr>
      </w:pPr>
      <w:r>
        <w:t xml:space="preserve">Expreso, </w:t>
      </w:r>
      <w:hyperlink r:id="rId10" w:history="1">
        <w:r>
          <w:rPr>
            <w:rStyle w:val="Hyperlink"/>
          </w:rPr>
          <w:t xml:space="preserve">Refinanciamiento por El Niño</w:t>
        </w:r>
      </w:hyperlink>
      <w:r>
        <w:t xml:space="preserve">: la Junta aún no activaba el alivio financiero a finales de agosto.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ontenido.bce.fin.ec/documentos/PublicacionesNotas/Catalogo/Apuntes/indapun.htm" TargetMode="External"/><Relationship Id="rId4" Type="http://schemas.openxmlformats.org/officeDocument/2006/relationships/hyperlink" Target="https://www.gestionderiesgos.gob.ec/gobierno-nacional-fortalece-acciones-de-preparacion-ante-el-fenomeno-el-nino-y-declara-alerta-roja/" TargetMode="External"/><Relationship Id="rId5" Type="http://schemas.openxmlformats.org/officeDocument/2006/relationships/hyperlink" Target="https://www.gestionderiesgos.gob.ec/niveles-de-alertas-y-declaratorias-vigentes-establecidas-por-la-sgr/" TargetMode="External"/><Relationship Id="rId6" Type="http://schemas.openxmlformats.org/officeDocument/2006/relationships/hyperlink" Target="https://www.elcomercio.com/actualidad/fenomeno-el-nino-ecuador-cn-erfen/" TargetMode="External"/><Relationship Id="rId7" Type="http://schemas.openxmlformats.org/officeDocument/2006/relationships/hyperlink" Target="https://www.inocar.mil.ec/boletin/ERFEN/actual/boletin_ERFEN.pdf" TargetMode="External"/><Relationship Id="rId8" Type="http://schemas.openxmlformats.org/officeDocument/2006/relationships/hyperlink" Target="https://www.infobae.com/america/america-latina/2026/09/16/el-nino-podria-restar-el-crecimiento-del-pib-de-ecuador-en-2027-segun-el-banco-central/" TargetMode="External"/><Relationship Id="rId9" Type="http://schemas.openxmlformats.org/officeDocument/2006/relationships/hyperlink" Target="https://www.radiopichincha.com/morosidad-banca-publica-privada-disminuyo-significativamente-en-2026/" TargetMode="External"/><Relationship Id="rId10" Type="http://schemas.openxmlformats.org/officeDocument/2006/relationships/hyperlink" Target="https://www.expreso.ec/economia-y-negocios/nino-ecuador-bancos-ofreceran-refinanciamiento-clientes-afectados-293762.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Speech Impacto del Fenómeno de El Niño en las carteras Micro, Empresas y PES</dc:title>
  <dc:description>Claude Docs node/de476cfe-09d4@10 docx-w6</dc:description>
  <cp:revision>10</cp:revision>
</cp:coreProperties>
</file>