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Speech por lámina: pérdida por El Niño</w:t>
      </w:r>
    </w:p>
    <w:p>
      <w:pPr/>
      <w:r>
        <w:t xml:space="preserve">Oct 5, 2026</w:t>
      </w:r>
      <w:r>
        <w:t xml:space="preserve"> · </w:t>
      </w:r>
      <w:r>
        <w:t xml:space="preserve">@Cristian</w:t>
      </w:r>
    </w:p>
    <w:p>
      <w:pPr/>
      <w:r>
        <w:t xml:space="preserve">Guion para las 18 láminas de la presentación, unos 14 minutos en total. El mismo texto está en las notas del orador de cada lámina.</w:t>
      </w:r>
    </w:p>
    <w:p>
      <w:pPr>
        <w:pStyle w:val="Heading2"/>
      </w:pPr>
      <w:r>
        <w:t xml:space="preserve">Lámina 1. Pérdida incurrida por el Fenómeno de El Niño</w:t>
      </w:r>
    </w:p>
    <w:p>
      <w:pPr/>
      <w:r>
        <w:t xml:space="preserve">Buenos días. Hoy les presento cuánto podría costarnos el Fenómeno de El Niño en tres carteras: microfinanzas, PYMES y Empresas. Voy a mostrar cada cálculo y de dónde sale cada dato. La metodología es la del Banco Central del Ecuador, publicada en su Apunte de Economía No. 75 de abril de 2024, y la respaldamos con estudios de Moody's y de Hu y Perraudin.</w:t>
      </w:r>
    </w:p>
    <w:p>
      <w:pPr>
        <w:pStyle w:val="Heading2"/>
      </w:pPr>
      <w:r>
        <w:t xml:space="preserve">Lámina 2. El Niño sumaría 39.2 MM de pérdida adicional</w:t>
      </w:r>
    </w:p>
    <w:p>
      <w:pPr/>
      <w:r>
        <w:t xml:space="preserve">Empiezo por la conclusión. Con saldos a agosto de 2026, El Niño sumaría 39.2 millones de pérdida adicional sobre 1,529.8 millones de cartera expuesta. La pérdida de esa cartera pasaría de 79.4 a 118.6 millones.</w:t>
      </w:r>
    </w:p>
    <w:p>
      <w:pPr/>
      <w:r>
        <w:t xml:space="preserve">Microfinanzas aporta la mayor parte, 25.6 millones, con el escenario severo del BCE. PYMES aporta 5.4 millones, con el escenario moderado. Empresas aporta 8.2 millones, con un factor proporcional del BCE. En las siguientes láminas explico de dónde sale cada número.</w:t>
      </w:r>
    </w:p>
    <w:p>
      <w:pPr>
        <w:pStyle w:val="Heading2"/>
      </w:pPr>
      <w:r>
        <w:t xml:space="preserve">Lámina 3. Este Niño ya califica como muy fuerte</w:t>
      </w:r>
    </w:p>
    <w:p>
      <w:pPr/>
      <w:r>
        <w:t xml:space="preserve">¿Por qué hacemos este ejercicio ahora? El 29 de agosto la Secretaría Nacional de Gestión de Riesgos declaró Alerta Roja en todo el país. A mediados de septiembre, el mar estaba 2.9 grados sobre lo normal en el Pacífico central y 4.5 grados frente a nuestras costas. El BCE, en la nota al pie 3 de la página 8, dice que una anomalía de 2 grados o más es un Niño muy fuerte; este evento ya está en esa categoría.</w:t>
      </w:r>
    </w:p>
    <w:p>
      <w:pPr/>
      <w:r>
        <w:t xml:space="preserve">Como referencia, el BCE recuerda en las páginas 9 y 10 que el Niño de 1997-98 causó daños por cerca del 2.7% del PIB y que la morosidad del sistema subió de 7.3% a 9.3%. El mayor impacto se espera entre noviembre de 2026 y marzo de 2027, y el BCE advierte en la página 31 que el no pago llega incluso meses después del evento.</w:t>
      </w:r>
    </w:p>
    <w:p>
      <w:pPr>
        <w:pStyle w:val="Heading2"/>
      </w:pPr>
      <w:r>
        <w:t xml:space="preserve">Lámina 4. 1,529.8 MM expuestos con pérdida actual de 79.4 MM</w:t>
      </w:r>
    </w:p>
    <w:p>
      <w:pPr/>
      <w:r>
        <w:t xml:space="preserve">Primero definimos qué cartera está expuesta. Usamos 142 cantones declarados con influencia directa: es la lista de 143 cantones que usa el BCE en la página 11, sin Quito. A agosto tenemos 1,529.8 millones expuestos: 449.2 en microfinanzas, 334.0 en PYMES y 746.6 en Empresas, alrededor del 20% de cada segmento.</w:t>
      </w:r>
    </w:p>
    <w:p>
      <w:pPr/>
      <w:r>
        <w:t xml:space="preserve">Luego calculamos la pérdida actual de esa cartera multiplicando el saldo por la pérdida incurrida. En microfinanzas, 449.2 por 9.8% da 44.0 millones; en PYMES, 22.0; en Empresas, 13.4. En total, 79.4 millones.</w:t>
      </w:r>
    </w:p>
    <w:p>
      <w:pPr>
        <w:pStyle w:val="Heading2"/>
      </w:pPr>
      <w:r>
        <w:t xml:space="preserve">Lámina 5. De PE = PD × EAD × LGD a la pérdida por El Niño</w:t>
      </w:r>
    </w:p>
    <w:p>
      <w:pPr/>
      <w:r>
        <w:t xml:space="preserve">Ahora la fórmula, paso por paso. Paso uno: la pérdida esperada es probabilidad de incumplimiento por exposición por severidad; PE igual PD por EAD por LGD. Es la fórmula que el BCE usa en las páginas 35 y 36, siguiendo Basilea III. Paso dos: si dividimos esa pérdida para el saldo, queda una tasa, PD por LGD; eso es lo que mide nuestra pérdida incurrida.</w:t>
      </w:r>
    </w:p>
    <w:p>
      <w:pPr/>
      <w:r>
        <w:t xml:space="preserve">Paso tres: el BCE, en la Tabla 9 de la página 39, define la PD de cada escenario como la PD base más unos puntos, que llamamos delta PD, y deja la severidad igual. Paso cuatro: reemplazamos eso en la fórmula y distribuimos la multiplicación; queda PD por EAD por LGD, más delta PD por EAD por LGD.</w:t>
      </w:r>
    </w:p>
    <w:p>
      <w:pPr/>
      <w:r>
        <w:t xml:space="preserve">Paso cinco: el primer término es la pérdida actual y el segundo es lo que agrega El Niño. Al producto delta PD por LGD lo llamamos delta PI. Así: pérdida El Niño igual pérdida actual más saldo por delta PI. En las láminas 11 y 12 muestro cómo se usa cada término con números.</w:t>
      </w:r>
    </w:p>
    <w:p>
      <w:pPr>
        <w:pStyle w:val="Heading2"/>
      </w:pPr>
      <w:r>
        <w:t xml:space="preserve">Lámina 6. La tasa de pérdida equivale a PD × LGD</w:t>
      </w:r>
    </w:p>
    <w:p>
      <w:pPr/>
      <w:r>
        <w:t xml:space="preserve">¿Por qué podemos usar la pérdida incurrida como punto de partida? Porque una tasa de pérdida equivale a la tasa de incumplimiento por la severidad. Moody's, en la página 45 de su estudio de 2007, dice que las pérdidas de crédito son función de la probabilidad de incumplimiento y de la severidad, y calcula la tasa de pérdida como tasa de incumplimiento por uno menos la recuperación. Hu y Perraudin definen lo mismo en la página 3 y lo escriben como ecuación en la página 11.</w:t>
      </w:r>
    </w:p>
    <w:p>
      <w:pPr/>
      <w:r>
        <w:t xml:space="preserve">Como uno menos la recuperación es la severidad, nuestra pérdida incurrida ya equivale a PD por LGD. La NIIF 9, en su ejemplo ilustrativo 9, también mide la pérdida esperada con una tasa de pérdida, sin una PD explícita.</w:t>
      </w:r>
    </w:p>
    <w:p>
      <w:pPr>
        <w:pStyle w:val="Heading2"/>
      </w:pPr>
      <w:r>
        <w:t xml:space="preserve">Lámina 7. Ejemplo micro: los dos caminos dan 15.5%</w:t>
      </w:r>
    </w:p>
    <w:p>
      <w:pPr/>
      <w:r>
        <w:t xml:space="preserve">Para comprobarlo, hagamos microfinanzas por dos caminos. Camino uno, con la PD: si la pérdida actual es 9.8% y la severidad 70%, la PD implícita es 14.0%. En el escenario severo sube unos 8.1 puntos, a 22.1%; por 70% de severidad da 15.5%, y sobre 449.2 millones son 69.6 millones.</w:t>
      </w:r>
    </w:p>
    <w:p>
      <w:pPr/>
      <w:r>
        <w:t xml:space="preserve">Camino dos, el que usamos: la pérdida actual es 44.0 millones; el aumento de la tasa es 8.1 puntos por 70%, 5.7 puntos; sobre 449.2 millones son 25.6 millones adicionales. 44.0 más 25.6 da los mismos 69.6 millones. Por eso no necesitamos conocer la PD por separado.</w:t>
      </w:r>
    </w:p>
    <w:p>
      <w:pPr>
        <w:pStyle w:val="Heading2"/>
      </w:pPr>
      <w:r>
        <w:t xml:space="preserve">Lámina 8. La PD sube 4.04 pp (moderado) y 8.06 pp (severo)</w:t>
      </w:r>
    </w:p>
    <w:p>
      <w:pPr/>
      <w:r>
        <w:t xml:space="preserve">¿Cuánto sube la PD? El BCE, en la Tabla 9 de la página 39, lo define según el riesgo de la zona: en el escenario severo, 15, 10 y 5 puntos en zonas de riesgo alto, medio y bajo; en el moderado, 6, 5 y 3. Como la cartera está repartida entre zonas, lo correcto sería calcular zona por zona y sumar. Al sacar factor común, eso es igual al saldo por la severidad por la suma ponderada de los shocks.</w:t>
      </w:r>
    </w:p>
    <w:p>
      <w:pPr/>
      <w:r>
        <w:t xml:space="preserve">Para los pesos usamos la distribución del sistema que el BCE publica en la página 23: 18.6% en zona alta, 24.0% en media y 57.4% en baja. Así, la PD sube 8.06 puntos en el severo y 4.04 en el moderado. Un promedio simple daría 10 puntos y exageraría, porque la mayor parte de la cartera está en zona baja.</w:t>
      </w:r>
    </w:p>
    <w:p>
      <w:pPr>
        <w:pStyle w:val="Heading2"/>
      </w:pPr>
      <w:r>
        <w:t xml:space="preserve">Lámina 9. La severidad convierte el aumento de PD en pérdida</w:t>
      </w:r>
    </w:p>
    <w:p>
      <w:pPr/>
      <w:r>
        <w:t xml:space="preserve">El aumento de PD se convierte en pérdida al multiplicarlo por la severidad. El BCE, en la página 37, asigna 70% al microcrédito y 40% al crédito productivo, porque sus garantías son más líquidas. En microfinanzas, 8.06 puntos por 70% da 5.64; la lámina usa 5.7, que viene de la calibración de julio. En PYMES, 4.04 por 40% da 1.62 puntos.</w:t>
      </w:r>
    </w:p>
    <w:p>
      <w:pPr/>
      <w:r>
        <w:t xml:space="preserve">Para Empresas usamos un factor: la Tabla 15 de la página 49 muestra que la pérdida esperada de la banca privada pasa de 791 a 1,230 millones en el escenario severo, un factor de 1.555, que redondeamos a 1.6. 1.8% por 1.6 da 2.9%.</w:t>
      </w:r>
    </w:p>
    <w:p>
      <w:pPr>
        <w:pStyle w:val="Heading2"/>
      </w:pPr>
      <w:r>
        <w:t xml:space="preserve">Lámina 10. Por qué Empresas usa un factor proporcional</w:t>
      </w:r>
    </w:p>
    <w:p>
      <w:pPr/>
      <w:r>
        <w:t xml:space="preserve">¿Por qué Empresas usa un factor y no los mismos puntos? Si a todas las carteras les sumamos los mismos 8 puntos de PD, ignoramos el riesgo de partida. La PD implícita de microfinanzas es 14.0%, que sale de 9.8% dividido para 70%, y sube a 22.1%: 1.6 veces. La de Empresas es 4.5%, que sale de 1.8% dividido para 40%, y subiría a 12.6%: casi el triple, y su pérdida pasaría de 1.8% a 5.0%.</w:t>
      </w:r>
    </w:p>
    <w:p>
      <w:pPr/>
      <w:r>
        <w:t xml:space="preserve">Por eso usamos el factor del BCE de la Tabla 15: la pérdida esperada de la banca privada sube 1.6 veces en el escenario severo, el mismo aumento relativo que tiene micro. La teoría lo respalda: en el modelo de Vasicek, base de la fórmula de Basilea, la PD en estrés depende de la PD de partida, y las carteras de PD baja suben menos en puntos.</w:t>
      </w:r>
    </w:p>
    <w:p>
      <w:pPr/>
      <w:r>
        <w:t xml:space="preserve">Si aplicamos a Empresas el mismo estrés que lleva a micro de 14.0% a 22.1%, su PD pasa de 4.5% a 7.6% y su pérdida a cerca de 3.0%. El 2.9% del factor es consistente con eso; el 5.0% de los puntos fijos, no.</w:t>
      </w:r>
    </w:p>
    <w:p>
      <w:pPr>
        <w:pStyle w:val="Heading2"/>
      </w:pPr>
      <w:r>
        <w:t xml:space="preserve">Lámina 11. Cada término de la fórmula es un paso del cálculo</w:t>
      </w:r>
    </w:p>
    <w:p>
      <w:pPr/>
      <w:r>
        <w:t xml:space="preserve">Ahora conecto la fórmula de la lámina 5 con los cálculos, usando microfinanzas. La fórmula dice que la pérdida del escenario es PD por EAD por LGD, más delta PD por EAD por LGD.</w:t>
      </w:r>
    </w:p>
    <w:p>
      <w:pPr/>
      <w:r>
        <w:t xml:space="preserve">El primer término lo reordenamos como EAD por, entre paréntesis, PD por LGD. EAD es el saldo expuesto y PD por LGD es nuestra pérdida incurrida; entonces el primer término es saldo por PI actual: 449.2 por 9.8%, 44.0 millones. Es la pérdida actual.</w:t>
      </w:r>
    </w:p>
    <w:p>
      <w:pPr/>
      <w:r>
        <w:t xml:space="preserve">El segundo término lo reordenamos igual: EAD por, entre paréntesis, delta PD por LGD. Ese paréntesis es delta PI: 8.06 puntos por 70%, cerca de 5.7 puntos. Entonces el segundo término es saldo por delta PI: 449.2 por 5.7%, 25.6 millones. Es la pérdida adicional por El Niño. Sumando los dos términos, 44.0 más 25.6 da 69.6 millones, el 15.5% de la cartera expuesta.</w:t>
      </w:r>
    </w:p>
    <w:p>
      <w:pPr>
        <w:pStyle w:val="Heading2"/>
      </w:pPr>
      <w:r>
        <w:t xml:space="preserve">Lámina 12. Cómo se llega a los resultados de cada segmento</w:t>
      </w:r>
    </w:p>
    <w:p>
      <w:pPr/>
      <w:r>
        <w:t xml:space="preserve">Con la misma lógica calculamos los tres segmentos en cuatro pasos. Paso uno, término 1: la pérdida actual, saldo por PI. Paso dos: el aumento de la tasa, delta PD por LGD. Paso tres, término 2: la pérdida adicional, saldo por delta PI. Paso cuatro: la suma de los dos términos.</w:t>
      </w:r>
    </w:p>
    <w:p>
      <w:pPr/>
      <w:r>
        <w:t xml:space="preserve">Microfinanzas: 44.0 más 25.6 da 69.6 millones. PYMES: 334.0 por 6.6% da 22.0; el aumento es 4.04 por 40%, 1.62 puntos, que sobre 334.0 son 5.4 millones; en total, 27.4 millones. Empresas: 746.6 por 1.8% da 13.4; con el factor de 1.6 la PI sube 1.1 puntos, que sobre 746.6 son 8.2 millones; en total, 21.6 millones. Los tres segmentos suman 79.4 más 39.2, es decir, 118.6 millones.</w:t>
      </w:r>
    </w:p>
    <w:p>
      <w:pPr>
        <w:pStyle w:val="Heading2"/>
      </w:pPr>
      <w:r>
        <w:t xml:space="preserve">Lámina 13. Micro concentra 25.6 de los 39.2 MM adicionales</w:t>
      </w:r>
    </w:p>
    <w:p>
      <w:pPr/>
      <w:r>
        <w:t xml:space="preserve">Este gráfico resume el resultado. Microfinanzas concentra 25.6 de los 39.2 millones adicionales, porque combina la pérdida actual más alta, la severidad más alta y el escenario severo. PYMES aporta 5.4 millones y Empresas 8.2. La pérdida de la cartera expuesta pasa de 79.4 a 118.6 millones, es decir, de 5.2% a 7.8% del saldo expuesto.</w:t>
      </w:r>
    </w:p>
    <w:p>
      <w:pPr>
        <w:pStyle w:val="Heading2"/>
      </w:pPr>
      <w:r>
        <w:t xml:space="preserve">Lámina 14. El escenario asignado queda entre el moderado y el severo</w:t>
      </w:r>
    </w:p>
    <w:p>
      <w:pPr/>
      <w:r>
        <w:t xml:space="preserve">Para dar contexto, aplicamos también el mismo escenario del BCE a los tres segmentos. El BCE explica en la página 40 que su escenario moderado replica los efectos del Niño de 1997-98, y el severo, las dificultades crediticias de la pandemia. Con el moderado en los tres segmentos, la pérdida adicional sería 30.2 millones; con el severo, 60.5 millones.</w:t>
      </w:r>
    </w:p>
    <w:p>
      <w:pPr/>
      <w:r>
        <w:t xml:space="preserve">En un escenario extremo, que es un supuesto nuestro donde toda la cartera expuesta se comporta como zona de riesgo alto, llegaría a 112 millones. Nuestro escenario asignado, de 39.2 millones, queda entre el moderado y el severo.</w:t>
      </w:r>
    </w:p>
    <w:p>
      <w:pPr>
        <w:pStyle w:val="Heading2"/>
      </w:pPr>
      <w:r>
        <w:t xml:space="preserve">Lámina 15. Cada segmento usa un escenario distinto del BCE</w:t>
      </w:r>
    </w:p>
    <w:p>
      <w:pPr/>
      <w:r>
        <w:t xml:space="preserve">Si nos preguntan qué escenario es cada lámina: microfinanzas usa el escenario severo del BCE, con 69.6 millones; PYMES usa el moderado, con 27.4 millones; y Empresas usa el factor proporcional, con 21.6 millones, que queda incluso por debajo del moderado.</w:t>
      </w:r>
    </w:p>
    <w:p>
      <w:pPr/>
      <w:r>
        <w:t xml:space="preserve">PYMES en moderado es el punto más débil de defender: con el severo serían 10.8 millones adicionales en vez de 5.4, y el total subiría de 39.2 a 44.6 millones.</w:t>
      </w:r>
    </w:p>
    <w:p>
      <w:pPr>
        <w:pStyle w:val="Heading2"/>
      </w:pPr>
      <w:r>
        <w:t xml:space="preserve">Lámina 16. Con LGD fija, el resultado tiende a quedarse corto</w:t>
      </w:r>
    </w:p>
    <w:p>
      <w:pPr/>
      <w:r>
        <w:t xml:space="preserve">Una limitación importante: mantener la severidad fija, como hace el BCE, tiende a subestimar la pérdida. Hu y Perraudin encuentran, en el resumen de la página 1, que las tasas de incumplimiento y de recuperación están correlacionadas negativamente; en la Tabla 5 de la página 22 esa correlación es de menos 0.22, y en la conclusión de la página 15 dicen que las recuperaciones tienden a ser bajas cuando los incumplimientos son altos. Moody's, en la página 8, atribuye las recuperaciones altas de 2006 a la buena economía.</w:t>
      </w:r>
    </w:p>
    <w:p>
      <w:pPr/>
      <w:r>
        <w:t xml:space="preserve">Para dimensionarlo: si la severidad de microfinanzas subiera de 70% a 80%, su pérdida pasaría de 15.5% a 17.7%, unos 10 millones más. Además, usamos la distribución de zonas del sistema y no la nuestra, y suponemos que la pérdida incurrida de agosto es igual a la de julio.</w:t>
      </w:r>
    </w:p>
    <w:p>
      <w:pPr>
        <w:pStyle w:val="Heading2"/>
      </w:pPr>
      <w:r>
        <w:t xml:space="preserve">Lámina 17. Próximos pasos</w:t>
      </w:r>
    </w:p>
    <w:p>
      <w:pPr/>
      <w:r>
        <w:t xml:space="preserve">Para cerrar. El evento que modeló el BCE en 2024 terminó con un impacto bajo, según la página 57; el actual ya supera los 2 grados, por eso el severo es una referencia razonable. El BCE estima además que un Niño fuerte restaría 1.4 puntos al crecimiento del PIB de 2027.</w:t>
      </w:r>
    </w:p>
    <w:p>
      <w:pPr/>
      <w:r>
        <w:t xml:space="preserve">Proponemos cuatro pasos. Uno: confirmar la definición de la zona expuesta, porque micro subió 24% y PYMES 19% de julio a agosto. Dos: cruzar las parroquias con el mapa del BCE para usar nuestra propia mezcla de zonas. Tres: validar las severidades internas; con 40%, PYMES implica una PD de 16.5%, mayor que la de micro. Cuatro: monitorear la mora cada mes por zona y actualizar con cada boletín del ERFEN.</w:t>
      </w:r>
    </w:p>
    <w:p>
      <w:pPr/>
      <w:r>
        <w:t xml:space="preserve">Si se activan diferimientos, la mora visible se retrasará, pero la pérdida no desaparece. Gracias.</w:t>
      </w:r>
    </w:p>
    <w:p>
      <w:pPr>
        <w:pStyle w:val="Heading2"/>
      </w:pPr>
      <w:r>
        <w:t xml:space="preserve">Lámina 18. Anexo: fuentes y páginas citadas</w:t>
      </w:r>
    </w:p>
    <w:p>
      <w:pPr/>
      <w:r>
        <w:t xml:space="preserve">En el anexo están todas las fuentes con su página, por si alguien quiere revisar un dato. Las principales son el Apunte de Economía No. 75 del BCE, el estudio de Moody's de 2007, el paper de Hu y Perraudin de 2006 y el modelo de Vasicek que respalda el factor de Empresas.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Speech por lámina pérdida por El Niño</dc:title>
  <dc:description>Claude Docs node/86f98974-2b50@5 docx-w6</dc:description>
  <cp:revision>5</cp:revision>
</cp:coreProperties>
</file>