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A9" w:rsidRDefault="009E5670" w:rsidP="009E5670">
      <w:pPr>
        <w:spacing w:after="0"/>
        <w:jc w:val="center"/>
        <w:rPr>
          <w:b/>
        </w:rPr>
      </w:pPr>
      <w:r>
        <w:rPr>
          <w:b/>
        </w:rPr>
        <w:t>Forecasting Influenza-Like Il</w:t>
      </w:r>
      <w:r w:rsidR="003A2E3F">
        <w:rPr>
          <w:b/>
        </w:rPr>
        <w:t>lness in the United States: 2017</w:t>
      </w:r>
      <w:r>
        <w:rPr>
          <w:b/>
        </w:rPr>
        <w:t>/1</w:t>
      </w:r>
      <w:r w:rsidR="003A2E3F">
        <w:rPr>
          <w:b/>
        </w:rPr>
        <w:t>8</w:t>
      </w:r>
      <w:r>
        <w:rPr>
          <w:b/>
        </w:rPr>
        <w:t xml:space="preserve"> Influenza Season</w:t>
      </w:r>
    </w:p>
    <w:p w:rsidR="009E5670" w:rsidRDefault="003A2E3F" w:rsidP="009E5670">
      <w:pPr>
        <w:spacing w:after="0"/>
        <w:jc w:val="center"/>
        <w:rPr>
          <w:b/>
        </w:rPr>
      </w:pPr>
      <w:r>
        <w:rPr>
          <w:b/>
        </w:rPr>
        <w:t>Kaiser Permanente Washington Health Research Institute (KPWHRI)</w:t>
      </w:r>
    </w:p>
    <w:p w:rsidR="009E5670" w:rsidRDefault="009E5670" w:rsidP="009E5670">
      <w:pPr>
        <w:spacing w:after="0"/>
      </w:pPr>
    </w:p>
    <w:p w:rsidR="009E5670" w:rsidRDefault="009E5670" w:rsidP="009E5670">
      <w:pPr>
        <w:spacing w:after="0"/>
      </w:pPr>
      <w:r>
        <w:rPr>
          <w:b/>
        </w:rPr>
        <w:t>Brief description of methodology</w:t>
      </w:r>
    </w:p>
    <w:p w:rsidR="009E5670" w:rsidRDefault="009E5670" w:rsidP="009E5670">
      <w:pPr>
        <w:spacing w:after="0"/>
      </w:pPr>
      <w:r>
        <w:t>Our forecasting model consists of two components. The first component forecasts the number of detected cases of laboratory-confirmed influenza in each of the 10 United States Health and Human Services (HHS) Regions. The second component estimates the percent of visits positive for influenza (</w:t>
      </w:r>
      <w:proofErr w:type="spellStart"/>
      <w:r>
        <w:t>ILIpercent</w:t>
      </w:r>
      <w:proofErr w:type="spellEnd"/>
      <w:r>
        <w:t>) based on the forecasted influenza counts.</w:t>
      </w:r>
    </w:p>
    <w:p w:rsidR="009E5670" w:rsidRDefault="009E5670" w:rsidP="009E5670">
      <w:pPr>
        <w:spacing w:after="0"/>
      </w:pPr>
    </w:p>
    <w:p w:rsidR="009E5670" w:rsidRPr="0063595C" w:rsidRDefault="009E5670" w:rsidP="009E5670">
      <w:pPr>
        <w:spacing w:after="0"/>
        <w:rPr>
          <w:b/>
        </w:rPr>
      </w:pPr>
      <w:r w:rsidRPr="0063595C">
        <w:rPr>
          <w:b/>
        </w:rPr>
        <w:t>Influenza forecasting model</w:t>
      </w:r>
    </w:p>
    <w:p w:rsidR="0063595C" w:rsidRPr="0063595C" w:rsidRDefault="0063595C" w:rsidP="009E5670">
      <w:pPr>
        <w:spacing w:after="0"/>
        <w:rPr>
          <w:i/>
        </w:rPr>
      </w:pPr>
      <w:r>
        <w:rPr>
          <w:i/>
        </w:rPr>
        <w:t>Model development and fitting</w:t>
      </w:r>
    </w:p>
    <w:p w:rsidR="0063595C" w:rsidRDefault="00B40CAB" w:rsidP="009E5670">
      <w:pPr>
        <w:spacing w:after="0"/>
      </w:pPr>
      <w:r>
        <w:t>We use a compartmental Susceptible-Infectious-Recovered (SIR) mass action model to simulate influenza transmission within each of the 10 HHS regions.  To account for the co-circulation of separate infl</w:t>
      </w:r>
      <w:r w:rsidR="0063595C">
        <w:t>uenza virus types and subtypes [</w:t>
      </w:r>
      <w:proofErr w:type="gramStart"/>
      <w:r w:rsidR="0063595C">
        <w:t>A(</w:t>
      </w:r>
      <w:proofErr w:type="gramEnd"/>
      <w:r w:rsidR="0063595C">
        <w:t>H1N1)pdm09, A(H3N2), B</w:t>
      </w:r>
      <w:r w:rsidR="003A2E3F">
        <w:t>/Victoria, and B/Yamagata</w:t>
      </w:r>
      <w:r w:rsidR="0063595C">
        <w:t>]</w:t>
      </w:r>
      <w:r>
        <w:t>, which may interfere with each other, we use the status-based SIR formulation of Gog and Grenfell.</w:t>
      </w:r>
      <w:r w:rsidR="00FA2181">
        <w:rPr>
          <w:rStyle w:val="FootnoteReference"/>
        </w:rPr>
        <w:footnoteReference w:id="1"/>
      </w:r>
      <w:r w:rsidR="00FA2181">
        <w:t xml:space="preserve"> We use the modification to this model proposed by </w:t>
      </w:r>
      <w:proofErr w:type="spellStart"/>
      <w:r w:rsidR="00FA2181">
        <w:t>Minayev</w:t>
      </w:r>
      <w:proofErr w:type="spellEnd"/>
      <w:r w:rsidR="00FA2181">
        <w:t xml:space="preserve"> and Ferguson</w:t>
      </w:r>
      <w:r w:rsidR="00FA2181">
        <w:rPr>
          <w:rStyle w:val="FootnoteReference"/>
        </w:rPr>
        <w:footnoteReference w:id="2"/>
      </w:r>
      <w:r w:rsidR="00FA2181">
        <w:t xml:space="preserve"> to allow for transient strain-transcending immunity following infection. Model parameters are defined from published literature wherever possible, including birth/death rates, duration of infectiousness, and duration of immunity following infection. We used region-specific weekly counts of laboratory-confirmed influenza infection </w:t>
      </w:r>
      <w:r w:rsidR="003A2E3F">
        <w:t>for October 2015</w:t>
      </w:r>
      <w:r w:rsidR="0063595C">
        <w:t xml:space="preserve"> through September 201</w:t>
      </w:r>
      <w:r w:rsidR="003A2E3F">
        <w:t>7</w:t>
      </w:r>
      <w:r w:rsidR="0063595C">
        <w:t xml:space="preserve"> </w:t>
      </w:r>
      <w:r w:rsidR="00FA2181">
        <w:t>(stratified by type/subtype) to estimate the remaining parameters</w:t>
      </w:r>
      <w:r w:rsidR="0063595C">
        <w:t xml:space="preserve">. Parameters were estimated through a </w:t>
      </w:r>
      <w:proofErr w:type="gramStart"/>
      <w:r w:rsidR="0063595C">
        <w:t xml:space="preserve">monte </w:t>
      </w:r>
      <w:proofErr w:type="spellStart"/>
      <w:r w:rsidR="0063595C">
        <w:t>carlo</w:t>
      </w:r>
      <w:proofErr w:type="spellEnd"/>
      <w:proofErr w:type="gramEnd"/>
      <w:r w:rsidR="0063595C">
        <w:t xml:space="preserve"> parameter sweep. </w:t>
      </w:r>
      <w:r w:rsidR="00FA2181">
        <w:t>Estimated parameters include seasonally-forced R</w:t>
      </w:r>
      <w:r w:rsidR="00FA2181">
        <w:rPr>
          <w:vertAlign w:val="subscript"/>
        </w:rPr>
        <w:t>0</w:t>
      </w:r>
      <w:r w:rsidR="00FA2181">
        <w:t xml:space="preserve">, which are type/subtype-specific, and the proportion of infections that are detected by surveillance, which is assumed to be constant across types/subtypes within a region. We also estimated the proportion of the population susceptible to each type/subtype prior to the </w:t>
      </w:r>
      <w:r w:rsidR="0063595C">
        <w:t>start of the 2014/15</w:t>
      </w:r>
      <w:r w:rsidR="00FA2181">
        <w:t xml:space="preserve"> </w:t>
      </w:r>
      <w:r w:rsidR="0063595C">
        <w:t xml:space="preserve">influenza season. </w:t>
      </w:r>
    </w:p>
    <w:p w:rsidR="0063595C" w:rsidRDefault="0063595C" w:rsidP="009E5670">
      <w:pPr>
        <w:spacing w:after="0"/>
      </w:pPr>
    </w:p>
    <w:p w:rsidR="0063595C" w:rsidRPr="0063595C" w:rsidRDefault="0063595C" w:rsidP="009E5670">
      <w:pPr>
        <w:spacing w:after="0"/>
        <w:rPr>
          <w:i/>
        </w:rPr>
      </w:pPr>
      <w:r>
        <w:rPr>
          <w:i/>
        </w:rPr>
        <w:t>Forecasting influenza</w:t>
      </w:r>
    </w:p>
    <w:p w:rsidR="009E5670" w:rsidRDefault="0063595C" w:rsidP="009E5670">
      <w:pPr>
        <w:spacing w:after="0"/>
      </w:pPr>
      <w:r>
        <w:t xml:space="preserve">Within each region, we chose the 100 parameter sets that gave the best fit to observed influenza counts. </w:t>
      </w:r>
      <w:r w:rsidR="009058AA">
        <w:t>For each parameter set w</w:t>
      </w:r>
      <w:r w:rsidR="003A2E3F">
        <w:t>e ru</w:t>
      </w:r>
      <w:r>
        <w:t xml:space="preserve">n the </w:t>
      </w:r>
      <w:r w:rsidR="009058AA">
        <w:t>SIR model</w:t>
      </w:r>
      <w:r>
        <w:t xml:space="preserve"> from October 201</w:t>
      </w:r>
      <w:r w:rsidR="003A2E3F">
        <w:t>7</w:t>
      </w:r>
      <w:r>
        <w:t xml:space="preserve"> through </w:t>
      </w:r>
      <w:r w:rsidR="003A2E3F">
        <w:t>May</w:t>
      </w:r>
      <w:r>
        <w:t xml:space="preserve"> 201</w:t>
      </w:r>
      <w:r w:rsidR="003A2E3F">
        <w:t>8</w:t>
      </w:r>
      <w:r>
        <w:t xml:space="preserve"> and forecast the weekly observed counts of laboratory-confirmed influenza infections in each HHS region, stratified by virus type/subtype. </w:t>
      </w:r>
      <w:r w:rsidR="009058AA">
        <w:t>For each of the 100 region-level forecast w</w:t>
      </w:r>
      <w:r>
        <w:t xml:space="preserve">e summed the regional counts to estimate national counts of influenza cases identify by surveillance. </w:t>
      </w:r>
    </w:p>
    <w:p w:rsidR="0063595C" w:rsidRDefault="0063595C" w:rsidP="009E5670">
      <w:pPr>
        <w:spacing w:after="0"/>
      </w:pPr>
    </w:p>
    <w:p w:rsidR="0063595C" w:rsidRDefault="0063595C" w:rsidP="009E5670">
      <w:pPr>
        <w:spacing w:after="0"/>
      </w:pPr>
      <w:proofErr w:type="spellStart"/>
      <w:r>
        <w:rPr>
          <w:b/>
        </w:rPr>
        <w:t>ILIpercent</w:t>
      </w:r>
      <w:proofErr w:type="spellEnd"/>
      <w:r>
        <w:rPr>
          <w:b/>
        </w:rPr>
        <w:t xml:space="preserve"> conversion</w:t>
      </w:r>
    </w:p>
    <w:p w:rsidR="0063595C" w:rsidRDefault="0063595C" w:rsidP="009E5670">
      <w:pPr>
        <w:spacing w:after="0"/>
      </w:pPr>
      <w:r>
        <w:t>Within each HHS region, and for national-level surveillance, we used data from October 201</w:t>
      </w:r>
      <w:r w:rsidR="003A2E3F">
        <w:t>5</w:t>
      </w:r>
      <w:r>
        <w:t xml:space="preserve"> through September 201</w:t>
      </w:r>
      <w:r w:rsidR="003A2E3F">
        <w:t>7</w:t>
      </w:r>
      <w:r>
        <w:t xml:space="preserve"> to estimate weekly </w:t>
      </w:r>
      <w:proofErr w:type="spellStart"/>
      <w:r>
        <w:t>ILIpercent</w:t>
      </w:r>
      <w:proofErr w:type="spellEnd"/>
      <w:r>
        <w:t xml:space="preserve"> as a (cyclic) function of calendar time and of laboratory-confirmed influenza cases. This estimation model included separate parameters for each influenza type/subtype, allowing different types/subtypes to differentially impact </w:t>
      </w:r>
      <w:proofErr w:type="spellStart"/>
      <w:r>
        <w:t>ILIpercent</w:t>
      </w:r>
      <w:proofErr w:type="spellEnd"/>
      <w:r>
        <w:t>.</w:t>
      </w:r>
    </w:p>
    <w:p w:rsidR="009058AA" w:rsidRDefault="009058AA" w:rsidP="009E5670">
      <w:pPr>
        <w:spacing w:after="0"/>
      </w:pPr>
    </w:p>
    <w:p w:rsidR="009058AA" w:rsidRDefault="009058AA" w:rsidP="009E5670">
      <w:pPr>
        <w:spacing w:after="0"/>
      </w:pPr>
      <w:r>
        <w:t xml:space="preserve">For our forecasts, we use each the 100 forecasts of weekly influenza counts to estimate weekly </w:t>
      </w:r>
      <w:proofErr w:type="spellStart"/>
      <w:r>
        <w:t>ILIpercent</w:t>
      </w:r>
      <w:proofErr w:type="spellEnd"/>
      <w:r>
        <w:t xml:space="preserve">, both by HHS region and nationally, using the estimated parameters for the relationship between influenza and </w:t>
      </w:r>
      <w:proofErr w:type="spellStart"/>
      <w:r>
        <w:t>ILIpercent</w:t>
      </w:r>
      <w:proofErr w:type="spellEnd"/>
      <w:r>
        <w:t>. We then summarize across the 100 forecasts to predict the seasonal forecasting targets and the 1- to 4-week ahead targets.</w:t>
      </w:r>
    </w:p>
    <w:p w:rsidR="009058AA" w:rsidRDefault="009058AA" w:rsidP="009E5670">
      <w:pPr>
        <w:spacing w:after="0"/>
      </w:pPr>
    </w:p>
    <w:p w:rsidR="009058AA" w:rsidRDefault="009058AA" w:rsidP="009E5670">
      <w:pPr>
        <w:spacing w:after="0"/>
      </w:pPr>
      <w:r>
        <w:rPr>
          <w:b/>
        </w:rPr>
        <w:t>Updating forecasts as the season progresses</w:t>
      </w:r>
    </w:p>
    <w:p w:rsidR="009058AA" w:rsidRPr="009058AA" w:rsidRDefault="003A2E3F" w:rsidP="009E5670">
      <w:pPr>
        <w:spacing w:after="0"/>
      </w:pPr>
      <w:r>
        <w:t>We do not attempt to dynamically update model parameters each week during the 2017/18 influenza season based on new surveillance data. Instead, we monitor the fit between observed and model-predicted influenza cases by virus type/subtype. If the predicted influenza cases appear to have a meaningful discrepancy from observed cases, we refit the model parameters using data from October 2015 through the most recent available influenza data.</w:t>
      </w:r>
      <w:bookmarkStart w:id="0" w:name="_GoBack"/>
      <w:bookmarkEnd w:id="0"/>
      <w:r>
        <w:t xml:space="preserve"> </w:t>
      </w:r>
    </w:p>
    <w:sectPr w:rsidR="009058AA" w:rsidRPr="0090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E13" w:rsidRDefault="00147E13" w:rsidP="00FA2181">
      <w:pPr>
        <w:spacing w:after="0" w:line="240" w:lineRule="auto"/>
      </w:pPr>
      <w:r>
        <w:separator/>
      </w:r>
    </w:p>
  </w:endnote>
  <w:endnote w:type="continuationSeparator" w:id="0">
    <w:p w:rsidR="00147E13" w:rsidRDefault="00147E13" w:rsidP="00FA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E13" w:rsidRDefault="00147E13" w:rsidP="00FA2181">
      <w:pPr>
        <w:spacing w:after="0" w:line="240" w:lineRule="auto"/>
      </w:pPr>
      <w:r>
        <w:separator/>
      </w:r>
    </w:p>
  </w:footnote>
  <w:footnote w:type="continuationSeparator" w:id="0">
    <w:p w:rsidR="00147E13" w:rsidRDefault="00147E13" w:rsidP="00FA2181">
      <w:pPr>
        <w:spacing w:after="0" w:line="240" w:lineRule="auto"/>
      </w:pPr>
      <w:r>
        <w:continuationSeparator/>
      </w:r>
    </w:p>
  </w:footnote>
  <w:footnote w:id="1">
    <w:p w:rsidR="00FA2181" w:rsidRDefault="00FA2181">
      <w:pPr>
        <w:pStyle w:val="FootnoteText"/>
      </w:pPr>
      <w:r>
        <w:rPr>
          <w:rStyle w:val="FootnoteReference"/>
        </w:rPr>
        <w:footnoteRef/>
      </w:r>
      <w:r>
        <w:t xml:space="preserve"> Gog and Grenfell; “Dynamics and selection of many-strain pathogens”; PNAS 2002; 99(26): 17209-14</w:t>
      </w:r>
    </w:p>
  </w:footnote>
  <w:footnote w:id="2">
    <w:p w:rsidR="00FA2181" w:rsidRDefault="00FA21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Minayev</w:t>
      </w:r>
      <w:proofErr w:type="spellEnd"/>
      <w:r>
        <w:t xml:space="preserve"> and Ferguson; “Improving the realism of deterministic multi-strain models: implications for modelling influenza A”; J R </w:t>
      </w:r>
      <w:proofErr w:type="spellStart"/>
      <w:r>
        <w:t>Soc</w:t>
      </w:r>
      <w:proofErr w:type="spellEnd"/>
      <w:r>
        <w:t xml:space="preserve"> Interface 2009; 6(35):508-18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13"/>
    <w:rsid w:val="0001214D"/>
    <w:rsid w:val="00147E13"/>
    <w:rsid w:val="00316713"/>
    <w:rsid w:val="003A2E3F"/>
    <w:rsid w:val="003B37DF"/>
    <w:rsid w:val="0063595C"/>
    <w:rsid w:val="006E22C5"/>
    <w:rsid w:val="007407CE"/>
    <w:rsid w:val="009058AA"/>
    <w:rsid w:val="009E5670"/>
    <w:rsid w:val="00B03068"/>
    <w:rsid w:val="00B40CAB"/>
    <w:rsid w:val="00D13B3D"/>
    <w:rsid w:val="00E2160C"/>
    <w:rsid w:val="00E74E77"/>
    <w:rsid w:val="00F235B1"/>
    <w:rsid w:val="00FA2181"/>
    <w:rsid w:val="00FB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A21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2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21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A21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2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21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B8D04-AC8A-4C09-9186-3224A9E1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GHC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Michael</dc:creator>
  <cp:lastModifiedBy>Jackson, Michael</cp:lastModifiedBy>
  <cp:revision>3</cp:revision>
  <dcterms:created xsi:type="dcterms:W3CDTF">2017-11-06T17:25:00Z</dcterms:created>
  <dcterms:modified xsi:type="dcterms:W3CDTF">2017-11-06T17:30:00Z</dcterms:modified>
</cp:coreProperties>
</file>