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18A95" w14:textId="77777777" w:rsidR="00D974A9" w:rsidRPr="00964A6A" w:rsidRDefault="00D974A9" w:rsidP="00D974A9">
      <w:pPr>
        <w:spacing w:line="480" w:lineRule="auto"/>
        <w:rPr>
          <w:rFonts w:cs="Times New Roman"/>
          <w:b/>
          <w:color w:val="000000" w:themeColor="text1"/>
        </w:rPr>
      </w:pPr>
      <w:r w:rsidRPr="00964A6A">
        <w:rPr>
          <w:rFonts w:cs="Times New Roman"/>
          <w:b/>
          <w:color w:val="000000" w:themeColor="text1"/>
        </w:rPr>
        <w:t>Online Appendix</w:t>
      </w:r>
    </w:p>
    <w:p w14:paraId="58FE5E21" w14:textId="77777777" w:rsidR="00D974A9" w:rsidRDefault="00D974A9" w:rsidP="00D974A9">
      <w:pPr>
        <w:spacing w:line="480" w:lineRule="auto"/>
        <w:rPr>
          <w:rFonts w:cs="Times New Roman"/>
          <w:color w:val="000000" w:themeColor="text1"/>
        </w:rPr>
      </w:pPr>
    </w:p>
    <w:p w14:paraId="316DF653" w14:textId="77777777" w:rsidR="00D974A9" w:rsidRPr="00BC4667" w:rsidRDefault="00D974A9" w:rsidP="00D974A9">
      <w:pPr>
        <w:spacing w:line="480" w:lineRule="auto"/>
        <w:rPr>
          <w:rFonts w:cs="Times New Roman"/>
          <w:color w:val="000000" w:themeColor="text1"/>
        </w:rPr>
      </w:pPr>
      <w:r w:rsidRPr="00BC4667">
        <w:rPr>
          <w:rFonts w:cs="Times New Roman"/>
          <w:color w:val="000000" w:themeColor="text1"/>
        </w:rPr>
        <w:t>Appendix A</w:t>
      </w:r>
    </w:p>
    <w:p w14:paraId="628F9BED" w14:textId="77777777" w:rsidR="00D974A9" w:rsidRPr="00BC4667" w:rsidRDefault="00D974A9" w:rsidP="00D974A9">
      <w:pPr>
        <w:spacing w:line="480" w:lineRule="auto"/>
        <w:rPr>
          <w:rFonts w:cs="Times New Roman"/>
          <w:color w:val="000000" w:themeColor="text1"/>
        </w:rPr>
      </w:pPr>
    </w:p>
    <w:p w14:paraId="3A5DC1C4" w14:textId="77777777" w:rsidR="00D974A9" w:rsidRPr="00BC4667" w:rsidRDefault="00D974A9" w:rsidP="00D974A9">
      <w:pPr>
        <w:spacing w:line="480" w:lineRule="auto"/>
        <w:rPr>
          <w:rFonts w:cs="Times New Roman"/>
          <w:i/>
          <w:color w:val="000000" w:themeColor="text1"/>
        </w:rPr>
      </w:pPr>
      <w:r w:rsidRPr="00BC4667">
        <w:rPr>
          <w:rFonts w:cs="Times New Roman"/>
          <w:i/>
          <w:color w:val="000000" w:themeColor="text1"/>
        </w:rPr>
        <w:t>Example of decision by the special prosecutor</w:t>
      </w:r>
      <w:r w:rsidRPr="00BC4667">
        <w:rPr>
          <w:rFonts w:cs="Times New Roman"/>
          <w:i/>
          <w:noProof/>
          <w:color w:val="000000" w:themeColor="text1"/>
        </w:rPr>
        <w:drawing>
          <wp:inline distT="0" distB="0" distL="0" distR="0" wp14:anchorId="721133B4" wp14:editId="18F96732">
            <wp:extent cx="5723255" cy="3674745"/>
            <wp:effectExtent l="0" t="0" r="0" b="8255"/>
            <wp:docPr id="5" name="Picture 5" descr="Macintosh HD:Users:kristineeck:Desktop:Screen Shot 2017-10-25 at 10.5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istineeck:Desktop:Screen Shot 2017-10-25 at 10.52.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3674745"/>
                    </a:xfrm>
                    <a:prstGeom prst="rect">
                      <a:avLst/>
                    </a:prstGeom>
                    <a:noFill/>
                    <a:ln>
                      <a:noFill/>
                    </a:ln>
                  </pic:spPr>
                </pic:pic>
              </a:graphicData>
            </a:graphic>
          </wp:inline>
        </w:drawing>
      </w:r>
    </w:p>
    <w:p w14:paraId="39DF60E8" w14:textId="77777777" w:rsidR="00D974A9" w:rsidRPr="00BC4667" w:rsidRDefault="00D974A9" w:rsidP="00D974A9">
      <w:pPr>
        <w:spacing w:line="480" w:lineRule="auto"/>
        <w:rPr>
          <w:rFonts w:cs="Times New Roman"/>
          <w:color w:val="000000" w:themeColor="text1"/>
        </w:rPr>
      </w:pPr>
      <w:r w:rsidRPr="00BC4667">
        <w:rPr>
          <w:rFonts w:cs="Times New Roman"/>
          <w:color w:val="000000" w:themeColor="text1"/>
        </w:rPr>
        <w:br w:type="page"/>
      </w:r>
    </w:p>
    <w:p w14:paraId="4F8A521A" w14:textId="6208A893" w:rsidR="00D974A9" w:rsidRDefault="00D974A9" w:rsidP="00EA6BCD">
      <w:pPr>
        <w:spacing w:line="480" w:lineRule="auto"/>
        <w:rPr>
          <w:rFonts w:cs="Times New Roman"/>
          <w:color w:val="000000" w:themeColor="text1"/>
        </w:rPr>
      </w:pPr>
      <w:r w:rsidRPr="00BC4667">
        <w:rPr>
          <w:rFonts w:cs="Times New Roman"/>
          <w:color w:val="000000" w:themeColor="text1"/>
        </w:rPr>
        <w:lastRenderedPageBreak/>
        <w:t>Appendix B</w:t>
      </w:r>
    </w:p>
    <w:p w14:paraId="0137FC0D" w14:textId="77777777" w:rsidR="00EA6BCD" w:rsidRPr="00BC4667" w:rsidRDefault="00EA6BCD" w:rsidP="00EA6BCD">
      <w:pPr>
        <w:spacing w:line="480" w:lineRule="auto"/>
        <w:rPr>
          <w:rFonts w:cs="Times New Roman"/>
          <w:color w:val="000000" w:themeColor="text1"/>
        </w:rPr>
      </w:pPr>
    </w:p>
    <w:p w14:paraId="087C90DB" w14:textId="77777777" w:rsidR="00D974A9" w:rsidRPr="00BC4667" w:rsidRDefault="00D974A9" w:rsidP="00D974A9">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 xml:space="preserve">In this appendix, we present the tabular results from Models 1-3. The dependent variable for these models is </w:t>
      </w:r>
      <w:r w:rsidRPr="00E63B99">
        <w:rPr>
          <w:rFonts w:cs="Times New Roman"/>
          <w:smallCaps/>
          <w:color w:val="000000" w:themeColor="text1"/>
        </w:rPr>
        <w:t>Investigation</w:t>
      </w:r>
      <w:r w:rsidRPr="00BC4667">
        <w:rPr>
          <w:rFonts w:cs="Times New Roman"/>
          <w:color w:val="000000" w:themeColor="text1"/>
        </w:rPr>
        <w:t>.</w:t>
      </w:r>
      <w:r w:rsidRPr="00BC4667">
        <w:rPr>
          <w:rStyle w:val="FootnoteReference"/>
          <w:rFonts w:cs="Times New Roman"/>
          <w:color w:val="000000" w:themeColor="text1"/>
        </w:rPr>
        <w:footnoteReference w:id="1"/>
      </w:r>
      <w:r w:rsidRPr="00BC4667">
        <w:rPr>
          <w:rFonts w:cs="Times New Roman"/>
          <w:color w:val="000000" w:themeColor="text1"/>
        </w:rPr>
        <w:t xml:space="preserve"> The primary independent variable is our treatment indicator, </w:t>
      </w:r>
      <w:r w:rsidRPr="00E63B99">
        <w:rPr>
          <w:rFonts w:cs="Times New Roman"/>
          <w:smallCaps/>
          <w:color w:val="000000" w:themeColor="text1"/>
        </w:rPr>
        <w:t>Female</w:t>
      </w:r>
      <w:r w:rsidRPr="00BC4667">
        <w:rPr>
          <w:rFonts w:cs="Times New Roman"/>
          <w:color w:val="000000" w:themeColor="text1"/>
        </w:rPr>
        <w:t>. We use robust standard errors to account for heterogeneity in the error term.</w:t>
      </w:r>
      <w:r w:rsidRPr="00BC4667">
        <w:rPr>
          <w:rStyle w:val="FootnoteReference"/>
          <w:rFonts w:cs="Times New Roman"/>
          <w:color w:val="000000" w:themeColor="text1"/>
        </w:rPr>
        <w:footnoteReference w:id="2"/>
      </w:r>
    </w:p>
    <w:p w14:paraId="2DCDDA22" w14:textId="77777777" w:rsidR="00D974A9" w:rsidRPr="00A14948" w:rsidRDefault="00D974A9" w:rsidP="00D974A9">
      <w:pPr>
        <w:widowControl w:val="0"/>
        <w:autoSpaceDE w:val="0"/>
        <w:autoSpaceDN w:val="0"/>
        <w:adjustRightInd w:val="0"/>
        <w:spacing w:line="480" w:lineRule="auto"/>
        <w:rPr>
          <w:rFonts w:cs="Times New Roman"/>
          <w:i/>
          <w:color w:val="000000" w:themeColor="text1"/>
        </w:rPr>
      </w:pPr>
      <w:r w:rsidRPr="00A14948">
        <w:rPr>
          <w:rFonts w:cs="Times New Roman"/>
          <w:i/>
          <w:color w:val="000000" w:themeColor="text1"/>
        </w:rPr>
        <w:t>LPM model results</w:t>
      </w:r>
    </w:p>
    <w:p w14:paraId="4D360326" w14:textId="77777777" w:rsidR="00D974A9" w:rsidRPr="00BC4667" w:rsidRDefault="00D974A9" w:rsidP="00D974A9">
      <w:pPr>
        <w:widowControl w:val="0"/>
        <w:autoSpaceDE w:val="0"/>
        <w:autoSpaceDN w:val="0"/>
        <w:adjustRightInd w:val="0"/>
        <w:spacing w:line="480" w:lineRule="auto"/>
        <w:rPr>
          <w:rFonts w:cs="Times New Roman"/>
          <w:color w:val="000000" w:themeColor="text1"/>
        </w:rPr>
      </w:pPr>
    </w:p>
    <w:tbl>
      <w:tblPr>
        <w:tblStyle w:val="GridTable21"/>
        <w:tblW w:w="0" w:type="auto"/>
        <w:tblLook w:val="04A0" w:firstRow="1" w:lastRow="0" w:firstColumn="1" w:lastColumn="0" w:noHBand="0" w:noVBand="1"/>
      </w:tblPr>
      <w:tblGrid>
        <w:gridCol w:w="2402"/>
        <w:gridCol w:w="2342"/>
        <w:gridCol w:w="2342"/>
        <w:gridCol w:w="2150"/>
      </w:tblGrid>
      <w:tr w:rsidR="00D974A9" w:rsidRPr="00E63B99" w14:paraId="6D37107F" w14:textId="77777777" w:rsidTr="007A1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2C239682"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p>
        </w:tc>
        <w:tc>
          <w:tcPr>
            <w:tcW w:w="2342" w:type="dxa"/>
          </w:tcPr>
          <w:p w14:paraId="6C51BA90"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1</w:t>
            </w:r>
          </w:p>
        </w:tc>
        <w:tc>
          <w:tcPr>
            <w:tcW w:w="2342" w:type="dxa"/>
          </w:tcPr>
          <w:p w14:paraId="166F0F24"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2</w:t>
            </w:r>
          </w:p>
        </w:tc>
        <w:tc>
          <w:tcPr>
            <w:tcW w:w="2150" w:type="dxa"/>
          </w:tcPr>
          <w:p w14:paraId="3DA4900D"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3</w:t>
            </w:r>
          </w:p>
        </w:tc>
      </w:tr>
      <w:tr w:rsidR="00D974A9" w:rsidRPr="00E63B99" w14:paraId="6CEBB898" w14:textId="77777777" w:rsidTr="007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F2F2F2" w:themeFill="background1" w:themeFillShade="F2"/>
          </w:tcPr>
          <w:p w14:paraId="7480C6CE"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E63B99">
              <w:rPr>
                <w:rFonts w:cs="Times New Roman"/>
                <w:smallCaps/>
                <w:color w:val="000000" w:themeColor="text1"/>
              </w:rPr>
              <w:t>Female</w:t>
            </w:r>
          </w:p>
        </w:tc>
        <w:tc>
          <w:tcPr>
            <w:tcW w:w="2342" w:type="dxa"/>
            <w:shd w:val="clear" w:color="auto" w:fill="F2F2F2" w:themeFill="background1" w:themeFillShade="F2"/>
          </w:tcPr>
          <w:p w14:paraId="0B57B19E"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vertAlign w:val="superscript"/>
              </w:rPr>
            </w:pPr>
            <w:r w:rsidRPr="00BC4667">
              <w:rPr>
                <w:rFonts w:cs="Times New Roman"/>
                <w:color w:val="000000" w:themeColor="text1"/>
              </w:rPr>
              <w:t>0.</w:t>
            </w:r>
            <w:r>
              <w:rPr>
                <w:rFonts w:cs="Times New Roman"/>
                <w:color w:val="000000" w:themeColor="text1"/>
              </w:rPr>
              <w:t>179</w:t>
            </w:r>
            <w:r w:rsidRPr="00BC4667">
              <w:rPr>
                <w:rFonts w:cs="Times New Roman"/>
                <w:color w:val="000000" w:themeColor="text1"/>
              </w:rPr>
              <w:t>*</w:t>
            </w:r>
          </w:p>
          <w:p w14:paraId="3E45B9B7"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(0.01</w:t>
            </w:r>
            <w:r>
              <w:rPr>
                <w:rFonts w:cs="Times New Roman"/>
                <w:color w:val="000000" w:themeColor="text1"/>
              </w:rPr>
              <w:t>9</w:t>
            </w:r>
            <w:r w:rsidRPr="00BC4667">
              <w:rPr>
                <w:rFonts w:cs="Times New Roman"/>
                <w:color w:val="000000" w:themeColor="text1"/>
              </w:rPr>
              <w:t>)</w:t>
            </w:r>
          </w:p>
        </w:tc>
        <w:tc>
          <w:tcPr>
            <w:tcW w:w="2342" w:type="dxa"/>
            <w:shd w:val="clear" w:color="auto" w:fill="F2F2F2" w:themeFill="background1" w:themeFillShade="F2"/>
          </w:tcPr>
          <w:p w14:paraId="13F2679E"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w:t>
            </w:r>
            <w:r>
              <w:rPr>
                <w:rFonts w:cs="Times New Roman"/>
                <w:color w:val="000000" w:themeColor="text1"/>
              </w:rPr>
              <w:t>160</w:t>
            </w:r>
            <w:r w:rsidRPr="00BC4667">
              <w:rPr>
                <w:rFonts w:cs="Times New Roman"/>
                <w:color w:val="000000" w:themeColor="text1"/>
              </w:rPr>
              <w:t>*</w:t>
            </w:r>
          </w:p>
          <w:p w14:paraId="557DCC79"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Pr>
                <w:rFonts w:cs="Times New Roman"/>
                <w:color w:val="000000" w:themeColor="text1"/>
              </w:rPr>
              <w:t>(0.020</w:t>
            </w:r>
            <w:r w:rsidRPr="00BC4667">
              <w:rPr>
                <w:rFonts w:cs="Times New Roman"/>
                <w:color w:val="000000" w:themeColor="text1"/>
              </w:rPr>
              <w:t>)</w:t>
            </w:r>
          </w:p>
        </w:tc>
        <w:tc>
          <w:tcPr>
            <w:tcW w:w="2150" w:type="dxa"/>
            <w:shd w:val="clear" w:color="auto" w:fill="F2F2F2" w:themeFill="background1" w:themeFillShade="F2"/>
          </w:tcPr>
          <w:p w14:paraId="561A2103"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w:t>
            </w:r>
            <w:r>
              <w:rPr>
                <w:rFonts w:cs="Times New Roman"/>
                <w:color w:val="000000" w:themeColor="text1"/>
              </w:rPr>
              <w:t>161</w:t>
            </w:r>
            <w:r w:rsidRPr="00BC4667">
              <w:rPr>
                <w:rFonts w:cs="Times New Roman"/>
                <w:color w:val="000000" w:themeColor="text1"/>
              </w:rPr>
              <w:t>*</w:t>
            </w:r>
          </w:p>
          <w:p w14:paraId="43714EE0"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Pr>
                <w:rFonts w:cs="Times New Roman"/>
                <w:color w:val="000000" w:themeColor="text1"/>
              </w:rPr>
              <w:t>(0.020</w:t>
            </w:r>
            <w:r w:rsidRPr="00BC4667">
              <w:rPr>
                <w:rFonts w:cs="Times New Roman"/>
                <w:color w:val="000000" w:themeColor="text1"/>
              </w:rPr>
              <w:t>)</w:t>
            </w:r>
          </w:p>
        </w:tc>
      </w:tr>
      <w:tr w:rsidR="00D974A9" w:rsidRPr="00E63B99" w14:paraId="1D407AF6" w14:textId="77777777" w:rsidTr="007A1F98">
        <w:tc>
          <w:tcPr>
            <w:cnfStyle w:val="001000000000" w:firstRow="0" w:lastRow="0" w:firstColumn="1" w:lastColumn="0" w:oddVBand="0" w:evenVBand="0" w:oddHBand="0" w:evenHBand="0" w:firstRowFirstColumn="0" w:firstRowLastColumn="0" w:lastRowFirstColumn="0" w:lastRowLastColumn="0"/>
            <w:tcW w:w="2402" w:type="dxa"/>
          </w:tcPr>
          <w:p w14:paraId="2A159B87"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Year FE</w:t>
            </w:r>
          </w:p>
        </w:tc>
        <w:tc>
          <w:tcPr>
            <w:tcW w:w="2342" w:type="dxa"/>
          </w:tcPr>
          <w:p w14:paraId="19FC4AB5"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342" w:type="dxa"/>
          </w:tcPr>
          <w:p w14:paraId="7ECAD239"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c>
          <w:tcPr>
            <w:tcW w:w="2150" w:type="dxa"/>
          </w:tcPr>
          <w:p w14:paraId="45EFD80E"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r>
      <w:tr w:rsidR="00D974A9" w:rsidRPr="00E63B99" w14:paraId="201CAC23" w14:textId="77777777" w:rsidTr="007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auto"/>
          </w:tcPr>
          <w:p w14:paraId="4DB9FC18"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Vacation-Period FE</w:t>
            </w:r>
          </w:p>
        </w:tc>
        <w:tc>
          <w:tcPr>
            <w:tcW w:w="2342" w:type="dxa"/>
            <w:shd w:val="clear" w:color="auto" w:fill="auto"/>
          </w:tcPr>
          <w:p w14:paraId="7308FE8E"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342" w:type="dxa"/>
            <w:shd w:val="clear" w:color="auto" w:fill="auto"/>
          </w:tcPr>
          <w:p w14:paraId="3B1A859F"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150" w:type="dxa"/>
            <w:shd w:val="clear" w:color="auto" w:fill="auto"/>
          </w:tcPr>
          <w:p w14:paraId="0384FE4E"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r>
      <w:tr w:rsidR="00D974A9" w:rsidRPr="00E63B99" w14:paraId="245C04D2" w14:textId="77777777" w:rsidTr="007A1F98">
        <w:tc>
          <w:tcPr>
            <w:cnfStyle w:val="001000000000" w:firstRow="0" w:lastRow="0" w:firstColumn="1" w:lastColumn="0" w:oddVBand="0" w:evenVBand="0" w:oddHBand="0" w:evenHBand="0" w:firstRowFirstColumn="0" w:firstRowLastColumn="0" w:lastRowFirstColumn="0" w:lastRowLastColumn="0"/>
            <w:tcW w:w="2402" w:type="dxa"/>
            <w:shd w:val="clear" w:color="auto" w:fill="auto"/>
          </w:tcPr>
          <w:p w14:paraId="07047E3B" w14:textId="77777777" w:rsidR="00D974A9" w:rsidRPr="00BC4667" w:rsidRDefault="00D974A9" w:rsidP="007A1F98">
            <w:pPr>
              <w:widowControl w:val="0"/>
              <w:autoSpaceDE w:val="0"/>
              <w:autoSpaceDN w:val="0"/>
              <w:adjustRightInd w:val="0"/>
              <w:spacing w:line="480" w:lineRule="auto"/>
              <w:contextualSpacing/>
              <w:rPr>
                <w:rFonts w:cs="Times New Roman"/>
                <w:b w:val="0"/>
                <w:bCs w:val="0"/>
                <w:color w:val="000000" w:themeColor="text1"/>
              </w:rPr>
            </w:pPr>
            <w:r w:rsidRPr="00BC4667">
              <w:rPr>
                <w:rFonts w:cs="Times New Roman"/>
                <w:color w:val="000000" w:themeColor="text1"/>
              </w:rPr>
              <w:t>N</w:t>
            </w:r>
          </w:p>
        </w:tc>
        <w:tc>
          <w:tcPr>
            <w:tcW w:w="2342" w:type="dxa"/>
            <w:shd w:val="clear" w:color="auto" w:fill="auto"/>
          </w:tcPr>
          <w:p w14:paraId="526B43CC" w14:textId="77777777" w:rsidR="00D974A9" w:rsidRPr="00BC4667" w:rsidRDefault="00D974A9" w:rsidP="007A1F98">
            <w:pPr>
              <w:widowControl w:val="0"/>
              <w:autoSpaceDE w:val="0"/>
              <w:autoSpaceDN w:val="0"/>
              <w:adjustRightInd w:val="0"/>
              <w:spacing w:line="480" w:lineRule="auto"/>
              <w:contextualSpacing/>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2,</w:t>
            </w:r>
            <w:r>
              <w:rPr>
                <w:rFonts w:cs="Times New Roman"/>
                <w:color w:val="000000" w:themeColor="text1"/>
              </w:rPr>
              <w:t>304</w:t>
            </w:r>
          </w:p>
        </w:tc>
        <w:tc>
          <w:tcPr>
            <w:tcW w:w="2342" w:type="dxa"/>
            <w:shd w:val="clear" w:color="auto" w:fill="auto"/>
          </w:tcPr>
          <w:p w14:paraId="7814C2F2" w14:textId="77777777" w:rsidR="00D974A9" w:rsidRPr="00BC4667" w:rsidRDefault="00D974A9" w:rsidP="007A1F98">
            <w:pPr>
              <w:widowControl w:val="0"/>
              <w:autoSpaceDE w:val="0"/>
              <w:autoSpaceDN w:val="0"/>
              <w:adjustRightInd w:val="0"/>
              <w:spacing w:line="480" w:lineRule="auto"/>
              <w:contextualSpacing/>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2,</w:t>
            </w:r>
            <w:r>
              <w:rPr>
                <w:rFonts w:cs="Times New Roman"/>
                <w:color w:val="000000" w:themeColor="text1"/>
              </w:rPr>
              <w:t>304</w:t>
            </w:r>
          </w:p>
        </w:tc>
        <w:tc>
          <w:tcPr>
            <w:tcW w:w="2150" w:type="dxa"/>
            <w:shd w:val="clear" w:color="auto" w:fill="auto"/>
          </w:tcPr>
          <w:p w14:paraId="4F87B5F3" w14:textId="77777777" w:rsidR="00D974A9" w:rsidRPr="00BC4667" w:rsidRDefault="00D974A9" w:rsidP="007A1F98">
            <w:pPr>
              <w:widowControl w:val="0"/>
              <w:autoSpaceDE w:val="0"/>
              <w:autoSpaceDN w:val="0"/>
              <w:adjustRightInd w:val="0"/>
              <w:spacing w:line="480" w:lineRule="auto"/>
              <w:contextualSpacing/>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2,</w:t>
            </w:r>
            <w:r>
              <w:rPr>
                <w:rFonts w:cs="Times New Roman"/>
                <w:color w:val="000000" w:themeColor="text1"/>
              </w:rPr>
              <w:t>304</w:t>
            </w:r>
          </w:p>
        </w:tc>
      </w:tr>
    </w:tbl>
    <w:p w14:paraId="7931A216" w14:textId="77777777" w:rsidR="00D974A9" w:rsidRPr="00BC4667" w:rsidRDefault="00D974A9" w:rsidP="00D974A9">
      <w:pPr>
        <w:widowControl w:val="0"/>
        <w:autoSpaceDE w:val="0"/>
        <w:autoSpaceDN w:val="0"/>
        <w:adjustRightInd w:val="0"/>
        <w:spacing w:line="480" w:lineRule="auto"/>
        <w:rPr>
          <w:rFonts w:cs="Times New Roman"/>
          <w:color w:val="000000" w:themeColor="text1"/>
          <w:sz w:val="20"/>
          <w:szCs w:val="20"/>
        </w:rPr>
      </w:pPr>
      <w:r w:rsidRPr="00BC4667">
        <w:rPr>
          <w:rFonts w:cs="Times New Roman"/>
          <w:b/>
          <w:i/>
          <w:color w:val="000000" w:themeColor="text1"/>
          <w:sz w:val="20"/>
          <w:szCs w:val="20"/>
        </w:rPr>
        <w:t>Note</w:t>
      </w:r>
      <w:r w:rsidRPr="00BC4667">
        <w:rPr>
          <w:rFonts w:cs="Times New Roman"/>
          <w:color w:val="000000" w:themeColor="text1"/>
          <w:sz w:val="20"/>
          <w:szCs w:val="20"/>
        </w:rPr>
        <w:t xml:space="preserve">: Cells contain estimated coefficients. Robust standard errors in parentheses. Constant not presented. * indicates that </w:t>
      </w:r>
      <w:r w:rsidRPr="00BC4667">
        <w:rPr>
          <w:rFonts w:cs="Times New Roman"/>
          <w:i/>
          <w:color w:val="000000" w:themeColor="text1"/>
          <w:sz w:val="20"/>
          <w:szCs w:val="20"/>
        </w:rPr>
        <w:t xml:space="preserve">p </w:t>
      </w:r>
      <w:r w:rsidRPr="00BC4667">
        <w:rPr>
          <w:rFonts w:cs="Times New Roman"/>
          <w:color w:val="000000" w:themeColor="text1"/>
          <w:sz w:val="20"/>
          <w:szCs w:val="20"/>
        </w:rPr>
        <w:t>&lt; 0.01. See text for more details about the data and model.</w:t>
      </w:r>
    </w:p>
    <w:p w14:paraId="00240FDF" w14:textId="6C39471C" w:rsidR="00D974A9" w:rsidRPr="00BC4667" w:rsidRDefault="00D974A9" w:rsidP="00D974A9">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lastRenderedPageBreak/>
        <w:t xml:space="preserve">Appendix </w:t>
      </w:r>
      <w:r w:rsidR="00EA6BCD">
        <w:rPr>
          <w:rFonts w:cs="Times New Roman"/>
          <w:color w:val="000000" w:themeColor="text1"/>
        </w:rPr>
        <w:t>C</w:t>
      </w:r>
    </w:p>
    <w:p w14:paraId="02818474" w14:textId="77777777" w:rsidR="00D974A9" w:rsidRPr="00BC4667" w:rsidRDefault="00D974A9" w:rsidP="00D974A9">
      <w:pPr>
        <w:widowControl w:val="0"/>
        <w:autoSpaceDE w:val="0"/>
        <w:autoSpaceDN w:val="0"/>
        <w:adjustRightInd w:val="0"/>
        <w:spacing w:line="480" w:lineRule="auto"/>
        <w:rPr>
          <w:rFonts w:cs="Times New Roman"/>
          <w:color w:val="000000" w:themeColor="text1"/>
        </w:rPr>
      </w:pPr>
    </w:p>
    <w:p w14:paraId="3DC31096" w14:textId="77777777" w:rsidR="00D974A9" w:rsidRPr="00BC4667" w:rsidRDefault="00D974A9" w:rsidP="00D974A9">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 xml:space="preserve">In this appendix, we present the results from a series of logit and </w:t>
      </w:r>
      <w:proofErr w:type="spellStart"/>
      <w:r w:rsidRPr="00BC4667">
        <w:rPr>
          <w:rFonts w:cs="Times New Roman"/>
          <w:color w:val="000000" w:themeColor="text1"/>
        </w:rPr>
        <w:t>probit</w:t>
      </w:r>
      <w:proofErr w:type="spellEnd"/>
      <w:r w:rsidRPr="00BC4667">
        <w:rPr>
          <w:rFonts w:cs="Times New Roman"/>
          <w:color w:val="000000" w:themeColor="text1"/>
        </w:rPr>
        <w:t xml:space="preserve"> models that mirror the LPM results models described in the main text. The dependent variable for these models is </w:t>
      </w:r>
      <w:r w:rsidRPr="00E63B99">
        <w:rPr>
          <w:rFonts w:cs="Times New Roman"/>
          <w:smallCaps/>
          <w:color w:val="000000" w:themeColor="text1"/>
        </w:rPr>
        <w:t>Investigation</w:t>
      </w:r>
      <w:r w:rsidRPr="00BC4667">
        <w:rPr>
          <w:rFonts w:cs="Times New Roman"/>
          <w:color w:val="000000" w:themeColor="text1"/>
        </w:rPr>
        <w:t xml:space="preserve">. The primary independent variable is our treatment indicator, </w:t>
      </w:r>
      <w:r w:rsidRPr="00E63B99">
        <w:rPr>
          <w:rFonts w:cs="Times New Roman"/>
          <w:smallCaps/>
          <w:color w:val="000000" w:themeColor="text1"/>
        </w:rPr>
        <w:t>Female</w:t>
      </w:r>
      <w:r w:rsidRPr="00BC4667">
        <w:rPr>
          <w:rFonts w:cs="Times New Roman"/>
          <w:color w:val="000000" w:themeColor="text1"/>
        </w:rPr>
        <w:t xml:space="preserve">. </w:t>
      </w:r>
    </w:p>
    <w:p w14:paraId="7F60266A" w14:textId="77777777" w:rsidR="00D974A9" w:rsidRPr="00A14948" w:rsidRDefault="00D974A9" w:rsidP="00D974A9">
      <w:pPr>
        <w:widowControl w:val="0"/>
        <w:autoSpaceDE w:val="0"/>
        <w:autoSpaceDN w:val="0"/>
        <w:adjustRightInd w:val="0"/>
        <w:spacing w:line="480" w:lineRule="auto"/>
        <w:rPr>
          <w:rFonts w:cs="Times New Roman"/>
          <w:i/>
          <w:color w:val="000000" w:themeColor="text1"/>
        </w:rPr>
      </w:pPr>
      <w:r w:rsidRPr="00A14948">
        <w:rPr>
          <w:rFonts w:cs="Times New Roman"/>
          <w:i/>
          <w:color w:val="000000" w:themeColor="text1"/>
        </w:rPr>
        <w:t>Logit model results</w:t>
      </w:r>
    </w:p>
    <w:p w14:paraId="26AEABEB" w14:textId="77777777" w:rsidR="00D974A9" w:rsidRPr="00BC4667" w:rsidRDefault="00D974A9" w:rsidP="00D974A9">
      <w:pPr>
        <w:widowControl w:val="0"/>
        <w:autoSpaceDE w:val="0"/>
        <w:autoSpaceDN w:val="0"/>
        <w:adjustRightInd w:val="0"/>
        <w:spacing w:line="480" w:lineRule="auto"/>
        <w:rPr>
          <w:rFonts w:cs="Times New Roman"/>
          <w:color w:val="000000" w:themeColor="text1"/>
        </w:rPr>
      </w:pPr>
    </w:p>
    <w:tbl>
      <w:tblPr>
        <w:tblStyle w:val="GridTable21"/>
        <w:tblW w:w="0" w:type="auto"/>
        <w:tblLook w:val="04A0" w:firstRow="1" w:lastRow="0" w:firstColumn="1" w:lastColumn="0" w:noHBand="0" w:noVBand="1"/>
      </w:tblPr>
      <w:tblGrid>
        <w:gridCol w:w="2402"/>
        <w:gridCol w:w="2342"/>
        <w:gridCol w:w="2342"/>
        <w:gridCol w:w="2150"/>
      </w:tblGrid>
      <w:tr w:rsidR="00D974A9" w:rsidRPr="00E63B99" w14:paraId="359F5E52" w14:textId="77777777" w:rsidTr="007A1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16061025"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p>
        </w:tc>
        <w:tc>
          <w:tcPr>
            <w:tcW w:w="2342" w:type="dxa"/>
          </w:tcPr>
          <w:p w14:paraId="01A610A5"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1</w:t>
            </w:r>
          </w:p>
        </w:tc>
        <w:tc>
          <w:tcPr>
            <w:tcW w:w="2342" w:type="dxa"/>
          </w:tcPr>
          <w:p w14:paraId="5AD93C11"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2</w:t>
            </w:r>
          </w:p>
        </w:tc>
        <w:tc>
          <w:tcPr>
            <w:tcW w:w="2150" w:type="dxa"/>
          </w:tcPr>
          <w:p w14:paraId="5AE245DF"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3</w:t>
            </w:r>
          </w:p>
        </w:tc>
      </w:tr>
      <w:tr w:rsidR="00D974A9" w:rsidRPr="00E63B99" w14:paraId="177B21AF" w14:textId="77777777" w:rsidTr="007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F2F2F2" w:themeFill="background1" w:themeFillShade="F2"/>
          </w:tcPr>
          <w:p w14:paraId="3DF22F41"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E63B99">
              <w:rPr>
                <w:rFonts w:cs="Times New Roman"/>
                <w:smallCaps/>
                <w:color w:val="000000" w:themeColor="text1"/>
              </w:rPr>
              <w:t>Female</w:t>
            </w:r>
          </w:p>
        </w:tc>
        <w:tc>
          <w:tcPr>
            <w:tcW w:w="2342" w:type="dxa"/>
            <w:shd w:val="clear" w:color="auto" w:fill="F2F2F2" w:themeFill="background1" w:themeFillShade="F2"/>
          </w:tcPr>
          <w:p w14:paraId="0F0BA4B0"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vertAlign w:val="superscript"/>
              </w:rPr>
            </w:pPr>
            <w:r>
              <w:rPr>
                <w:rFonts w:cs="Times New Roman"/>
                <w:color w:val="000000" w:themeColor="text1"/>
              </w:rPr>
              <w:t>0.851</w:t>
            </w:r>
            <w:r w:rsidRPr="00BC4667">
              <w:rPr>
                <w:rFonts w:cs="Times New Roman"/>
                <w:color w:val="000000" w:themeColor="text1"/>
              </w:rPr>
              <w:t>*</w:t>
            </w:r>
          </w:p>
          <w:p w14:paraId="4CB99FC5"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(0.09</w:t>
            </w:r>
            <w:r>
              <w:rPr>
                <w:rFonts w:cs="Times New Roman"/>
                <w:color w:val="000000" w:themeColor="text1"/>
              </w:rPr>
              <w:t>4</w:t>
            </w:r>
            <w:r w:rsidRPr="00BC4667">
              <w:rPr>
                <w:rFonts w:cs="Times New Roman"/>
                <w:color w:val="000000" w:themeColor="text1"/>
              </w:rPr>
              <w:t>)</w:t>
            </w:r>
          </w:p>
        </w:tc>
        <w:tc>
          <w:tcPr>
            <w:tcW w:w="2342" w:type="dxa"/>
            <w:shd w:val="clear" w:color="auto" w:fill="F2F2F2" w:themeFill="background1" w:themeFillShade="F2"/>
          </w:tcPr>
          <w:p w14:paraId="08332C60"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Pr>
                <w:rFonts w:cs="Times New Roman"/>
                <w:color w:val="000000" w:themeColor="text1"/>
              </w:rPr>
              <w:t>0.764</w:t>
            </w:r>
            <w:r w:rsidRPr="00BC4667">
              <w:rPr>
                <w:rFonts w:cs="Times New Roman"/>
                <w:color w:val="000000" w:themeColor="text1"/>
              </w:rPr>
              <w:t>*</w:t>
            </w:r>
          </w:p>
          <w:p w14:paraId="2E3A1041"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w:t>
            </w:r>
            <w:r>
              <w:rPr>
                <w:rFonts w:cs="Times New Roman"/>
                <w:color w:val="000000" w:themeColor="text1"/>
              </w:rPr>
              <w:t>097</w:t>
            </w:r>
            <w:r w:rsidRPr="00BC4667">
              <w:rPr>
                <w:rFonts w:cs="Times New Roman"/>
                <w:color w:val="000000" w:themeColor="text1"/>
              </w:rPr>
              <w:t>)</w:t>
            </w:r>
          </w:p>
        </w:tc>
        <w:tc>
          <w:tcPr>
            <w:tcW w:w="2150" w:type="dxa"/>
            <w:shd w:val="clear" w:color="auto" w:fill="F2F2F2" w:themeFill="background1" w:themeFillShade="F2"/>
          </w:tcPr>
          <w:p w14:paraId="048E5BFE"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Pr>
                <w:rFonts w:cs="Times New Roman"/>
                <w:color w:val="000000" w:themeColor="text1"/>
              </w:rPr>
              <w:t>0.769</w:t>
            </w:r>
            <w:r w:rsidRPr="00BC4667">
              <w:rPr>
                <w:rFonts w:cs="Times New Roman"/>
                <w:color w:val="000000" w:themeColor="text1"/>
              </w:rPr>
              <w:t>*</w:t>
            </w:r>
          </w:p>
          <w:p w14:paraId="646BD299"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(0.09</w:t>
            </w:r>
            <w:r>
              <w:rPr>
                <w:rFonts w:cs="Times New Roman"/>
                <w:color w:val="000000" w:themeColor="text1"/>
              </w:rPr>
              <w:t>7</w:t>
            </w:r>
            <w:r w:rsidRPr="00BC4667">
              <w:rPr>
                <w:rFonts w:cs="Times New Roman"/>
                <w:color w:val="000000" w:themeColor="text1"/>
              </w:rPr>
              <w:t>)</w:t>
            </w:r>
          </w:p>
        </w:tc>
      </w:tr>
      <w:tr w:rsidR="00D974A9" w:rsidRPr="00E63B99" w14:paraId="1D2D1CB0" w14:textId="77777777" w:rsidTr="007A1F98">
        <w:tc>
          <w:tcPr>
            <w:cnfStyle w:val="001000000000" w:firstRow="0" w:lastRow="0" w:firstColumn="1" w:lastColumn="0" w:oddVBand="0" w:evenVBand="0" w:oddHBand="0" w:evenHBand="0" w:firstRowFirstColumn="0" w:firstRowLastColumn="0" w:lastRowFirstColumn="0" w:lastRowLastColumn="0"/>
            <w:tcW w:w="2402" w:type="dxa"/>
          </w:tcPr>
          <w:p w14:paraId="69C7F1D7"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Year FE</w:t>
            </w:r>
          </w:p>
        </w:tc>
        <w:tc>
          <w:tcPr>
            <w:tcW w:w="2342" w:type="dxa"/>
          </w:tcPr>
          <w:p w14:paraId="3695B8F2"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342" w:type="dxa"/>
          </w:tcPr>
          <w:p w14:paraId="28E4EEB6"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c>
          <w:tcPr>
            <w:tcW w:w="2150" w:type="dxa"/>
          </w:tcPr>
          <w:p w14:paraId="71A68AF0"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r>
      <w:tr w:rsidR="00D974A9" w:rsidRPr="00E63B99" w14:paraId="1CEE3DD6" w14:textId="77777777" w:rsidTr="007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auto"/>
          </w:tcPr>
          <w:p w14:paraId="66B25D62"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Vacation-Period FE</w:t>
            </w:r>
          </w:p>
        </w:tc>
        <w:tc>
          <w:tcPr>
            <w:tcW w:w="2342" w:type="dxa"/>
            <w:shd w:val="clear" w:color="auto" w:fill="auto"/>
          </w:tcPr>
          <w:p w14:paraId="63B56373"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342" w:type="dxa"/>
            <w:shd w:val="clear" w:color="auto" w:fill="auto"/>
          </w:tcPr>
          <w:p w14:paraId="40B50D5E"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150" w:type="dxa"/>
            <w:shd w:val="clear" w:color="auto" w:fill="auto"/>
          </w:tcPr>
          <w:p w14:paraId="7CCE99C6"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r>
      <w:tr w:rsidR="00D974A9" w:rsidRPr="00E63B99" w14:paraId="767964BF" w14:textId="77777777" w:rsidTr="007A1F98">
        <w:tc>
          <w:tcPr>
            <w:cnfStyle w:val="001000000000" w:firstRow="0" w:lastRow="0" w:firstColumn="1" w:lastColumn="0" w:oddVBand="0" w:evenVBand="0" w:oddHBand="0" w:evenHBand="0" w:firstRowFirstColumn="0" w:firstRowLastColumn="0" w:lastRowFirstColumn="0" w:lastRowLastColumn="0"/>
            <w:tcW w:w="2402" w:type="dxa"/>
            <w:shd w:val="clear" w:color="auto" w:fill="auto"/>
          </w:tcPr>
          <w:p w14:paraId="7AC70CC9"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Pr>
                <w:rFonts w:cs="Times New Roman"/>
                <w:color w:val="000000" w:themeColor="text1"/>
              </w:rPr>
              <w:t>N</w:t>
            </w:r>
          </w:p>
        </w:tc>
        <w:tc>
          <w:tcPr>
            <w:tcW w:w="2342" w:type="dxa"/>
            <w:shd w:val="clear" w:color="auto" w:fill="auto"/>
          </w:tcPr>
          <w:p w14:paraId="41427740"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color w:val="000000" w:themeColor="text1"/>
              </w:rPr>
              <w:t>2,304</w:t>
            </w:r>
          </w:p>
        </w:tc>
        <w:tc>
          <w:tcPr>
            <w:tcW w:w="2342" w:type="dxa"/>
            <w:shd w:val="clear" w:color="auto" w:fill="auto"/>
          </w:tcPr>
          <w:p w14:paraId="2DE5B262"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color w:val="000000" w:themeColor="text1"/>
              </w:rPr>
              <w:t>2,304</w:t>
            </w:r>
          </w:p>
        </w:tc>
        <w:tc>
          <w:tcPr>
            <w:tcW w:w="2150" w:type="dxa"/>
            <w:shd w:val="clear" w:color="auto" w:fill="auto"/>
          </w:tcPr>
          <w:p w14:paraId="5FF9352A"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color w:val="000000" w:themeColor="text1"/>
              </w:rPr>
              <w:t>2,304</w:t>
            </w:r>
          </w:p>
        </w:tc>
      </w:tr>
    </w:tbl>
    <w:p w14:paraId="2A1AE115" w14:textId="77777777" w:rsidR="00D974A9" w:rsidRPr="00BC4667" w:rsidRDefault="00D974A9" w:rsidP="00D974A9">
      <w:pPr>
        <w:widowControl w:val="0"/>
        <w:autoSpaceDE w:val="0"/>
        <w:autoSpaceDN w:val="0"/>
        <w:adjustRightInd w:val="0"/>
        <w:spacing w:line="480" w:lineRule="auto"/>
        <w:rPr>
          <w:rFonts w:cs="Times New Roman"/>
          <w:color w:val="000000" w:themeColor="text1"/>
          <w:sz w:val="20"/>
          <w:szCs w:val="20"/>
        </w:rPr>
      </w:pPr>
      <w:r w:rsidRPr="00BC4667">
        <w:rPr>
          <w:rFonts w:cs="Times New Roman"/>
          <w:b/>
          <w:i/>
          <w:color w:val="000000" w:themeColor="text1"/>
          <w:sz w:val="20"/>
          <w:szCs w:val="20"/>
        </w:rPr>
        <w:t>Note</w:t>
      </w:r>
      <w:r w:rsidRPr="00BC4667">
        <w:rPr>
          <w:rFonts w:cs="Times New Roman"/>
          <w:color w:val="000000" w:themeColor="text1"/>
          <w:sz w:val="20"/>
          <w:szCs w:val="20"/>
        </w:rPr>
        <w:t xml:space="preserve">: Cells contain estimated coefficients. Classic standard errors in parentheses. Constant not presented. *indicates that </w:t>
      </w:r>
      <w:r w:rsidRPr="00BC4667">
        <w:rPr>
          <w:rFonts w:cs="Times New Roman"/>
          <w:i/>
          <w:color w:val="000000" w:themeColor="text1"/>
          <w:sz w:val="20"/>
          <w:szCs w:val="20"/>
        </w:rPr>
        <w:t xml:space="preserve">p </w:t>
      </w:r>
      <w:r w:rsidRPr="00BC4667">
        <w:rPr>
          <w:rFonts w:cs="Times New Roman"/>
          <w:color w:val="000000" w:themeColor="text1"/>
          <w:sz w:val="20"/>
          <w:szCs w:val="20"/>
        </w:rPr>
        <w:t>&lt; 0.01. See text for more details about the data and model.</w:t>
      </w:r>
    </w:p>
    <w:p w14:paraId="6439B978" w14:textId="77777777" w:rsidR="00D974A9" w:rsidRPr="00BC4667" w:rsidRDefault="00D974A9" w:rsidP="00D974A9">
      <w:pPr>
        <w:widowControl w:val="0"/>
        <w:autoSpaceDE w:val="0"/>
        <w:autoSpaceDN w:val="0"/>
        <w:adjustRightInd w:val="0"/>
        <w:spacing w:line="480" w:lineRule="auto"/>
        <w:rPr>
          <w:rFonts w:cs="Times New Roman"/>
          <w:color w:val="000000" w:themeColor="text1"/>
          <w:sz w:val="22"/>
          <w:szCs w:val="22"/>
        </w:rPr>
      </w:pPr>
    </w:p>
    <w:p w14:paraId="158D1E71" w14:textId="77777777" w:rsidR="00D974A9" w:rsidRPr="00A14948" w:rsidRDefault="00D974A9" w:rsidP="00D974A9">
      <w:pPr>
        <w:widowControl w:val="0"/>
        <w:autoSpaceDE w:val="0"/>
        <w:autoSpaceDN w:val="0"/>
        <w:adjustRightInd w:val="0"/>
        <w:spacing w:line="480" w:lineRule="auto"/>
        <w:rPr>
          <w:rFonts w:cs="Times New Roman"/>
          <w:i/>
          <w:color w:val="000000" w:themeColor="text1"/>
        </w:rPr>
      </w:pPr>
      <w:proofErr w:type="spellStart"/>
      <w:r w:rsidRPr="00A14948">
        <w:rPr>
          <w:rFonts w:cs="Times New Roman"/>
          <w:i/>
          <w:color w:val="000000" w:themeColor="text1"/>
        </w:rPr>
        <w:t>Probit</w:t>
      </w:r>
      <w:proofErr w:type="spellEnd"/>
      <w:r w:rsidRPr="00A14948">
        <w:rPr>
          <w:rFonts w:cs="Times New Roman"/>
          <w:i/>
          <w:color w:val="000000" w:themeColor="text1"/>
        </w:rPr>
        <w:t xml:space="preserve"> model results</w:t>
      </w:r>
    </w:p>
    <w:p w14:paraId="61D59377" w14:textId="77777777" w:rsidR="00D974A9" w:rsidRPr="00BC4667" w:rsidRDefault="00D974A9" w:rsidP="00D974A9">
      <w:pPr>
        <w:widowControl w:val="0"/>
        <w:autoSpaceDE w:val="0"/>
        <w:autoSpaceDN w:val="0"/>
        <w:adjustRightInd w:val="0"/>
        <w:spacing w:line="480" w:lineRule="auto"/>
        <w:rPr>
          <w:rFonts w:cs="Times New Roman"/>
          <w:color w:val="000000" w:themeColor="text1"/>
        </w:rPr>
      </w:pPr>
    </w:p>
    <w:tbl>
      <w:tblPr>
        <w:tblStyle w:val="GridTable21"/>
        <w:tblW w:w="0" w:type="auto"/>
        <w:tblLook w:val="04A0" w:firstRow="1" w:lastRow="0" w:firstColumn="1" w:lastColumn="0" w:noHBand="0" w:noVBand="1"/>
      </w:tblPr>
      <w:tblGrid>
        <w:gridCol w:w="2402"/>
        <w:gridCol w:w="2342"/>
        <w:gridCol w:w="2342"/>
        <w:gridCol w:w="2150"/>
      </w:tblGrid>
      <w:tr w:rsidR="00D974A9" w:rsidRPr="00E63B99" w14:paraId="1D62A654" w14:textId="77777777" w:rsidTr="007A1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tcPr>
          <w:p w14:paraId="598721D5"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p>
        </w:tc>
        <w:tc>
          <w:tcPr>
            <w:tcW w:w="2342" w:type="dxa"/>
          </w:tcPr>
          <w:p w14:paraId="3029CDE8"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1</w:t>
            </w:r>
          </w:p>
        </w:tc>
        <w:tc>
          <w:tcPr>
            <w:tcW w:w="2342" w:type="dxa"/>
          </w:tcPr>
          <w:p w14:paraId="4ECD1BD7"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2</w:t>
            </w:r>
          </w:p>
        </w:tc>
        <w:tc>
          <w:tcPr>
            <w:tcW w:w="2150" w:type="dxa"/>
          </w:tcPr>
          <w:p w14:paraId="2DB1E9CA" w14:textId="77777777" w:rsidR="00D974A9" w:rsidRPr="00BC4667" w:rsidRDefault="00D974A9" w:rsidP="007A1F98">
            <w:pPr>
              <w:widowControl w:val="0"/>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Model 3</w:t>
            </w:r>
          </w:p>
        </w:tc>
      </w:tr>
      <w:tr w:rsidR="00D974A9" w:rsidRPr="00E63B99" w14:paraId="7F9EF06A" w14:textId="77777777" w:rsidTr="007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F2F2F2" w:themeFill="background1" w:themeFillShade="F2"/>
          </w:tcPr>
          <w:p w14:paraId="6C93A3FA"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E63B99">
              <w:rPr>
                <w:rFonts w:cs="Times New Roman"/>
                <w:smallCaps/>
                <w:color w:val="000000" w:themeColor="text1"/>
              </w:rPr>
              <w:t>Female</w:t>
            </w:r>
          </w:p>
        </w:tc>
        <w:tc>
          <w:tcPr>
            <w:tcW w:w="2342" w:type="dxa"/>
            <w:shd w:val="clear" w:color="auto" w:fill="F2F2F2" w:themeFill="background1" w:themeFillShade="F2"/>
          </w:tcPr>
          <w:p w14:paraId="7706A840" w14:textId="77777777" w:rsidR="00D974A9" w:rsidRPr="00BC4667" w:rsidRDefault="00D974A9" w:rsidP="007A1F98">
            <w:pPr>
              <w:widowControl w:val="0"/>
              <w:autoSpaceDE w:val="0"/>
              <w:autoSpaceDN w:val="0"/>
              <w:adjustRightInd w:val="0"/>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vertAlign w:val="superscript"/>
              </w:rPr>
            </w:pPr>
            <w:r w:rsidRPr="00BC4667">
              <w:rPr>
                <w:rFonts w:cs="Times New Roman"/>
                <w:color w:val="000000" w:themeColor="text1"/>
              </w:rPr>
              <w:t>0.</w:t>
            </w:r>
            <w:r>
              <w:rPr>
                <w:rFonts w:cs="Times New Roman"/>
                <w:color w:val="000000" w:themeColor="text1"/>
              </w:rPr>
              <w:t>514</w:t>
            </w:r>
            <w:r w:rsidRPr="00BC4667">
              <w:rPr>
                <w:rFonts w:cs="Times New Roman"/>
                <w:color w:val="000000" w:themeColor="text1"/>
              </w:rPr>
              <w:t>*</w:t>
            </w:r>
          </w:p>
          <w:p w14:paraId="557197F5" w14:textId="77777777" w:rsidR="00D974A9" w:rsidRPr="00BC4667" w:rsidRDefault="00D974A9" w:rsidP="007A1F98">
            <w:pPr>
              <w:widowControl w:val="0"/>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(0.05</w:t>
            </w:r>
            <w:r>
              <w:rPr>
                <w:rFonts w:cs="Times New Roman"/>
                <w:color w:val="000000" w:themeColor="text1"/>
              </w:rPr>
              <w:t>6</w:t>
            </w:r>
            <w:r w:rsidRPr="00BC4667">
              <w:rPr>
                <w:rFonts w:cs="Times New Roman"/>
                <w:color w:val="000000" w:themeColor="text1"/>
              </w:rPr>
              <w:t>)</w:t>
            </w:r>
          </w:p>
        </w:tc>
        <w:tc>
          <w:tcPr>
            <w:tcW w:w="2342" w:type="dxa"/>
            <w:shd w:val="clear" w:color="auto" w:fill="F2F2F2" w:themeFill="background1" w:themeFillShade="F2"/>
          </w:tcPr>
          <w:p w14:paraId="01DF83D3" w14:textId="77777777" w:rsidR="00D974A9" w:rsidRPr="00BC4667" w:rsidRDefault="00D974A9" w:rsidP="007A1F98">
            <w:pPr>
              <w:widowControl w:val="0"/>
              <w:autoSpaceDE w:val="0"/>
              <w:autoSpaceDN w:val="0"/>
              <w:adjustRightInd w:val="0"/>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w:t>
            </w:r>
            <w:r>
              <w:rPr>
                <w:rFonts w:cs="Times New Roman"/>
                <w:color w:val="000000" w:themeColor="text1"/>
              </w:rPr>
              <w:t>461</w:t>
            </w:r>
            <w:r w:rsidRPr="00BC4667">
              <w:rPr>
                <w:rFonts w:cs="Times New Roman"/>
                <w:color w:val="000000" w:themeColor="text1"/>
              </w:rPr>
              <w:t>*</w:t>
            </w:r>
          </w:p>
          <w:p w14:paraId="76D0E5C1" w14:textId="77777777" w:rsidR="00D974A9" w:rsidRPr="00BC4667" w:rsidRDefault="00D974A9" w:rsidP="007A1F98">
            <w:pPr>
              <w:widowControl w:val="0"/>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(0.05</w:t>
            </w:r>
            <w:r>
              <w:rPr>
                <w:rFonts w:cs="Times New Roman"/>
                <w:color w:val="000000" w:themeColor="text1"/>
              </w:rPr>
              <w:t>8</w:t>
            </w:r>
            <w:r w:rsidRPr="00BC4667">
              <w:rPr>
                <w:rFonts w:cs="Times New Roman"/>
                <w:color w:val="000000" w:themeColor="text1"/>
              </w:rPr>
              <w:t>)</w:t>
            </w:r>
          </w:p>
        </w:tc>
        <w:tc>
          <w:tcPr>
            <w:tcW w:w="2150" w:type="dxa"/>
            <w:shd w:val="clear" w:color="auto" w:fill="F2F2F2" w:themeFill="background1" w:themeFillShade="F2"/>
          </w:tcPr>
          <w:p w14:paraId="470B0E7B" w14:textId="77777777" w:rsidR="00D974A9" w:rsidRPr="00BC4667" w:rsidRDefault="00D974A9" w:rsidP="007A1F98">
            <w:pPr>
              <w:widowControl w:val="0"/>
              <w:autoSpaceDE w:val="0"/>
              <w:autoSpaceDN w:val="0"/>
              <w:adjustRightInd w:val="0"/>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w:t>
            </w:r>
            <w:r>
              <w:rPr>
                <w:rFonts w:cs="Times New Roman"/>
                <w:color w:val="000000" w:themeColor="text1"/>
              </w:rPr>
              <w:t>463</w:t>
            </w:r>
            <w:r w:rsidRPr="00BC4667">
              <w:rPr>
                <w:rFonts w:cs="Times New Roman"/>
                <w:color w:val="000000" w:themeColor="text1"/>
              </w:rPr>
              <w:t>*</w:t>
            </w:r>
          </w:p>
          <w:p w14:paraId="0E376EB6" w14:textId="77777777" w:rsidR="00D974A9" w:rsidRPr="00BC4667" w:rsidRDefault="00D974A9" w:rsidP="007A1F98">
            <w:pPr>
              <w:widowControl w:val="0"/>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(0.05</w:t>
            </w:r>
            <w:r>
              <w:rPr>
                <w:rFonts w:cs="Times New Roman"/>
                <w:color w:val="000000" w:themeColor="text1"/>
              </w:rPr>
              <w:t>8</w:t>
            </w:r>
            <w:r w:rsidRPr="00BC4667">
              <w:rPr>
                <w:rFonts w:cs="Times New Roman"/>
                <w:color w:val="000000" w:themeColor="text1"/>
              </w:rPr>
              <w:t>)</w:t>
            </w:r>
          </w:p>
        </w:tc>
      </w:tr>
      <w:tr w:rsidR="00D974A9" w:rsidRPr="00E63B99" w14:paraId="4C7494E6" w14:textId="77777777" w:rsidTr="007A1F98">
        <w:tc>
          <w:tcPr>
            <w:cnfStyle w:val="001000000000" w:firstRow="0" w:lastRow="0" w:firstColumn="1" w:lastColumn="0" w:oddVBand="0" w:evenVBand="0" w:oddHBand="0" w:evenHBand="0" w:firstRowFirstColumn="0" w:firstRowLastColumn="0" w:lastRowFirstColumn="0" w:lastRowLastColumn="0"/>
            <w:tcW w:w="2402" w:type="dxa"/>
          </w:tcPr>
          <w:p w14:paraId="0F7A0A79"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Year FE</w:t>
            </w:r>
          </w:p>
        </w:tc>
        <w:tc>
          <w:tcPr>
            <w:tcW w:w="2342" w:type="dxa"/>
          </w:tcPr>
          <w:p w14:paraId="57F07017"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342" w:type="dxa"/>
          </w:tcPr>
          <w:p w14:paraId="3E08FBAC"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c>
          <w:tcPr>
            <w:tcW w:w="2150" w:type="dxa"/>
          </w:tcPr>
          <w:p w14:paraId="79ABBCBD"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r>
      <w:tr w:rsidR="00D974A9" w:rsidRPr="00E63B99" w14:paraId="51543FC8" w14:textId="77777777" w:rsidTr="007A1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2" w:type="dxa"/>
            <w:shd w:val="clear" w:color="auto" w:fill="auto"/>
          </w:tcPr>
          <w:p w14:paraId="2F81074F"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sidRPr="00BC4667">
              <w:rPr>
                <w:rFonts w:cs="Times New Roman"/>
                <w:color w:val="000000" w:themeColor="text1"/>
              </w:rPr>
              <w:t>Vacation-Period FE</w:t>
            </w:r>
          </w:p>
        </w:tc>
        <w:tc>
          <w:tcPr>
            <w:tcW w:w="2342" w:type="dxa"/>
            <w:shd w:val="clear" w:color="auto" w:fill="auto"/>
          </w:tcPr>
          <w:p w14:paraId="04022DAE"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342" w:type="dxa"/>
            <w:shd w:val="clear" w:color="auto" w:fill="auto"/>
          </w:tcPr>
          <w:p w14:paraId="629F26BA"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No</w:t>
            </w:r>
          </w:p>
        </w:tc>
        <w:tc>
          <w:tcPr>
            <w:tcW w:w="2150" w:type="dxa"/>
            <w:shd w:val="clear" w:color="auto" w:fill="auto"/>
          </w:tcPr>
          <w:p w14:paraId="0E9DA875" w14:textId="77777777" w:rsidR="00D974A9" w:rsidRPr="00BC4667" w:rsidRDefault="00D974A9" w:rsidP="007A1F98">
            <w:pPr>
              <w:widowControl w:val="0"/>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rPr>
            </w:pPr>
            <w:r w:rsidRPr="00BC4667">
              <w:rPr>
                <w:rFonts w:cs="Times New Roman"/>
                <w:color w:val="000000" w:themeColor="text1"/>
              </w:rPr>
              <w:t>Yes</w:t>
            </w:r>
          </w:p>
        </w:tc>
      </w:tr>
      <w:tr w:rsidR="00D974A9" w:rsidRPr="00E63B99" w14:paraId="2386959E" w14:textId="77777777" w:rsidTr="007A1F98">
        <w:tc>
          <w:tcPr>
            <w:cnfStyle w:val="001000000000" w:firstRow="0" w:lastRow="0" w:firstColumn="1" w:lastColumn="0" w:oddVBand="0" w:evenVBand="0" w:oddHBand="0" w:evenHBand="0" w:firstRowFirstColumn="0" w:firstRowLastColumn="0" w:lastRowFirstColumn="0" w:lastRowLastColumn="0"/>
            <w:tcW w:w="2402" w:type="dxa"/>
            <w:shd w:val="clear" w:color="auto" w:fill="auto"/>
          </w:tcPr>
          <w:p w14:paraId="281FCD19" w14:textId="77777777" w:rsidR="00D974A9" w:rsidRPr="00BC4667" w:rsidRDefault="00D974A9" w:rsidP="007A1F98">
            <w:pPr>
              <w:widowControl w:val="0"/>
              <w:autoSpaceDE w:val="0"/>
              <w:autoSpaceDN w:val="0"/>
              <w:adjustRightInd w:val="0"/>
              <w:spacing w:line="480" w:lineRule="auto"/>
              <w:rPr>
                <w:rFonts w:cs="Times New Roman"/>
                <w:color w:val="000000" w:themeColor="text1"/>
              </w:rPr>
            </w:pPr>
            <w:r>
              <w:rPr>
                <w:rFonts w:cs="Times New Roman"/>
                <w:color w:val="000000" w:themeColor="text1"/>
              </w:rPr>
              <w:t>N</w:t>
            </w:r>
          </w:p>
        </w:tc>
        <w:tc>
          <w:tcPr>
            <w:tcW w:w="2342" w:type="dxa"/>
            <w:shd w:val="clear" w:color="auto" w:fill="auto"/>
          </w:tcPr>
          <w:p w14:paraId="670C1212"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color w:val="000000" w:themeColor="text1"/>
              </w:rPr>
              <w:t>2,304</w:t>
            </w:r>
          </w:p>
        </w:tc>
        <w:tc>
          <w:tcPr>
            <w:tcW w:w="2342" w:type="dxa"/>
            <w:shd w:val="clear" w:color="auto" w:fill="auto"/>
          </w:tcPr>
          <w:p w14:paraId="551E1C26"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color w:val="000000" w:themeColor="text1"/>
              </w:rPr>
              <w:t>2,304</w:t>
            </w:r>
          </w:p>
        </w:tc>
        <w:tc>
          <w:tcPr>
            <w:tcW w:w="2150" w:type="dxa"/>
            <w:shd w:val="clear" w:color="auto" w:fill="auto"/>
          </w:tcPr>
          <w:p w14:paraId="7F2AAEF3" w14:textId="77777777" w:rsidR="00D974A9" w:rsidRPr="00BC4667" w:rsidRDefault="00D974A9" w:rsidP="007A1F98">
            <w:pPr>
              <w:widowControl w:val="0"/>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rPr>
            </w:pPr>
            <w:r>
              <w:rPr>
                <w:rFonts w:cs="Times New Roman"/>
                <w:color w:val="000000" w:themeColor="text1"/>
              </w:rPr>
              <w:t>2,304</w:t>
            </w:r>
          </w:p>
        </w:tc>
      </w:tr>
    </w:tbl>
    <w:p w14:paraId="7D269341" w14:textId="77777777" w:rsidR="00D974A9" w:rsidRPr="00BC4667" w:rsidRDefault="00D974A9" w:rsidP="00D974A9">
      <w:pPr>
        <w:widowControl w:val="0"/>
        <w:autoSpaceDE w:val="0"/>
        <w:autoSpaceDN w:val="0"/>
        <w:adjustRightInd w:val="0"/>
        <w:spacing w:line="480" w:lineRule="auto"/>
        <w:rPr>
          <w:rFonts w:cs="Times New Roman"/>
          <w:color w:val="000000" w:themeColor="text1"/>
          <w:sz w:val="20"/>
          <w:szCs w:val="20"/>
        </w:rPr>
      </w:pPr>
      <w:r w:rsidRPr="00BC4667">
        <w:rPr>
          <w:rFonts w:cs="Times New Roman"/>
          <w:b/>
          <w:i/>
          <w:color w:val="000000" w:themeColor="text1"/>
          <w:sz w:val="20"/>
          <w:szCs w:val="20"/>
        </w:rPr>
        <w:t>Note</w:t>
      </w:r>
      <w:r w:rsidRPr="00BC4667">
        <w:rPr>
          <w:rFonts w:cs="Times New Roman"/>
          <w:color w:val="000000" w:themeColor="text1"/>
          <w:sz w:val="20"/>
          <w:szCs w:val="20"/>
        </w:rPr>
        <w:t xml:space="preserve">: Cells contain estimated coefficients. Classic standard errors in parentheses. Constant not presented. *indicates that </w:t>
      </w:r>
      <w:r w:rsidRPr="00BC4667">
        <w:rPr>
          <w:rFonts w:cs="Times New Roman"/>
          <w:i/>
          <w:color w:val="000000" w:themeColor="text1"/>
          <w:sz w:val="20"/>
          <w:szCs w:val="20"/>
        </w:rPr>
        <w:t xml:space="preserve">p </w:t>
      </w:r>
      <w:r w:rsidRPr="00BC4667">
        <w:rPr>
          <w:rFonts w:cs="Times New Roman"/>
          <w:color w:val="000000" w:themeColor="text1"/>
          <w:sz w:val="20"/>
          <w:szCs w:val="20"/>
        </w:rPr>
        <w:t>&lt; 0.01. See text for more details about the data and model.</w:t>
      </w:r>
    </w:p>
    <w:p w14:paraId="4BEC220B" w14:textId="35FCA226" w:rsidR="00D974A9" w:rsidRPr="00BC4667" w:rsidRDefault="00D974A9" w:rsidP="00D974A9">
      <w:pPr>
        <w:spacing w:line="480" w:lineRule="auto"/>
        <w:rPr>
          <w:rFonts w:cs="Times New Roman"/>
          <w:color w:val="000000" w:themeColor="text1"/>
        </w:rPr>
      </w:pPr>
      <w:r w:rsidRPr="00BC4667">
        <w:rPr>
          <w:rFonts w:cs="Times New Roman"/>
          <w:color w:val="000000" w:themeColor="text1"/>
        </w:rPr>
        <w:lastRenderedPageBreak/>
        <w:t xml:space="preserve">Appendix </w:t>
      </w:r>
      <w:r w:rsidR="00EA6BCD">
        <w:rPr>
          <w:rFonts w:cs="Times New Roman"/>
          <w:color w:val="000000" w:themeColor="text1"/>
        </w:rPr>
        <w:t>D</w:t>
      </w:r>
    </w:p>
    <w:p w14:paraId="3CE2DC88" w14:textId="77777777" w:rsidR="00D974A9" w:rsidRPr="00BC4667" w:rsidRDefault="00D974A9" w:rsidP="00D974A9">
      <w:pPr>
        <w:spacing w:line="480" w:lineRule="auto"/>
        <w:rPr>
          <w:rFonts w:cs="Times New Roman"/>
          <w:i/>
          <w:color w:val="000000" w:themeColor="text1"/>
        </w:rPr>
      </w:pPr>
      <w:r w:rsidRPr="00BC4667">
        <w:rPr>
          <w:rFonts w:cs="Times New Roman"/>
          <w:i/>
          <w:color w:val="000000" w:themeColor="text1"/>
        </w:rPr>
        <w:t>LPM model results (yearly cross-sections)</w:t>
      </w:r>
    </w:p>
    <w:p w14:paraId="663333C2" w14:textId="7D65711D" w:rsidR="00D974A9" w:rsidRPr="00BC4667" w:rsidRDefault="00DE4EE1" w:rsidP="00D974A9">
      <w:pPr>
        <w:spacing w:line="480" w:lineRule="auto"/>
        <w:ind w:firstLine="720"/>
        <w:rPr>
          <w:rFonts w:cs="Times New Roman"/>
          <w:color w:val="000000" w:themeColor="text1"/>
        </w:rPr>
      </w:pPr>
      <w:r w:rsidRPr="00DE4EE1">
        <w:rPr>
          <w:rFonts w:cs="Times New Roman"/>
          <w:noProof/>
          <w:color w:val="000000" w:themeColor="text1"/>
        </w:rPr>
        <w:drawing>
          <wp:inline distT="0" distB="0" distL="0" distR="0" wp14:anchorId="37B154A8" wp14:editId="6243E912">
            <wp:extent cx="5727700" cy="414464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144645"/>
                    </a:xfrm>
                    <a:prstGeom prst="rect">
                      <a:avLst/>
                    </a:prstGeom>
                  </pic:spPr>
                </pic:pic>
              </a:graphicData>
            </a:graphic>
          </wp:inline>
        </w:drawing>
      </w:r>
    </w:p>
    <w:p w14:paraId="555577F6" w14:textId="41BCDC6C" w:rsidR="00D974A9" w:rsidRPr="00BC4667" w:rsidRDefault="00D974A9" w:rsidP="00D974A9">
      <w:pPr>
        <w:spacing w:line="480" w:lineRule="auto"/>
        <w:ind w:left="720"/>
        <w:rPr>
          <w:rFonts w:cs="Times New Roman"/>
          <w:color w:val="000000" w:themeColor="text1"/>
          <w:sz w:val="20"/>
          <w:szCs w:val="20"/>
        </w:rPr>
      </w:pPr>
      <w:r w:rsidRPr="00BC4667">
        <w:rPr>
          <w:rFonts w:cs="Times New Roman"/>
          <w:b/>
          <w:i/>
          <w:color w:val="000000" w:themeColor="text1"/>
          <w:sz w:val="20"/>
          <w:szCs w:val="20"/>
        </w:rPr>
        <w:t>Note</w:t>
      </w:r>
      <w:r w:rsidRPr="00BC4667">
        <w:rPr>
          <w:rFonts w:cs="Times New Roman"/>
          <w:color w:val="000000" w:themeColor="text1"/>
          <w:sz w:val="20"/>
          <w:szCs w:val="20"/>
        </w:rPr>
        <w:t>: Figure 5 shows the results from several LPM models estimated using yearly cross-sections of our panel data. Each model includes our treatment indicator and a dummy for whether a case was opened during the yearly vacation period. The figure plots the estimated coefficients (black points) from the model along with 95 percent confidence intervals (gray bars). The reference category across models is ‘male prosecutor’.</w:t>
      </w:r>
      <w:r>
        <w:rPr>
          <w:rFonts w:cs="Times New Roman"/>
          <w:color w:val="000000" w:themeColor="text1"/>
          <w:sz w:val="20"/>
          <w:szCs w:val="20"/>
        </w:rPr>
        <w:t xml:space="preserve"> Note that the effect of ‘female prosecutor’ is positive across all models and statistically significant at conventional levels for the models that use data from 2013-2015.</w:t>
      </w:r>
    </w:p>
    <w:p w14:paraId="4AE7F414" w14:textId="77777777" w:rsidR="00D974A9" w:rsidRPr="00BC4667" w:rsidRDefault="00D974A9" w:rsidP="00D974A9">
      <w:pPr>
        <w:widowControl w:val="0"/>
        <w:autoSpaceDE w:val="0"/>
        <w:autoSpaceDN w:val="0"/>
        <w:adjustRightInd w:val="0"/>
        <w:spacing w:line="480" w:lineRule="auto"/>
        <w:rPr>
          <w:rFonts w:cs="Times New Roman"/>
          <w:color w:val="000000" w:themeColor="text1"/>
          <w:sz w:val="20"/>
          <w:szCs w:val="20"/>
        </w:rPr>
      </w:pPr>
    </w:p>
    <w:p w14:paraId="3F8B89B1" w14:textId="77777777" w:rsidR="00D974A9" w:rsidRPr="00BC4667" w:rsidRDefault="00D974A9" w:rsidP="00D974A9">
      <w:pPr>
        <w:widowControl w:val="0"/>
        <w:autoSpaceDE w:val="0"/>
        <w:autoSpaceDN w:val="0"/>
        <w:adjustRightInd w:val="0"/>
        <w:spacing w:line="480" w:lineRule="auto"/>
        <w:rPr>
          <w:rFonts w:cs="Times New Roman"/>
          <w:color w:val="000000" w:themeColor="text1"/>
          <w:sz w:val="22"/>
          <w:szCs w:val="22"/>
        </w:rPr>
      </w:pPr>
    </w:p>
    <w:p w14:paraId="672E30C0" w14:textId="77777777" w:rsidR="00E94247" w:rsidRDefault="00E94247">
      <w:bookmarkStart w:id="0" w:name="_GoBack"/>
      <w:bookmarkEnd w:id="0"/>
    </w:p>
    <w:sectPr w:rsidR="00E94247" w:rsidSect="0006185E">
      <w:footerReference w:type="even" r:id="rId8"/>
      <w:footerReference w:type="default" r:id="rId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9A4E3" w14:textId="77777777" w:rsidR="009D402A" w:rsidRDefault="009D402A" w:rsidP="00D974A9">
      <w:r>
        <w:separator/>
      </w:r>
    </w:p>
  </w:endnote>
  <w:endnote w:type="continuationSeparator" w:id="0">
    <w:p w14:paraId="0F2972CB" w14:textId="77777777" w:rsidR="009D402A" w:rsidRDefault="009D402A" w:rsidP="00D9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7D59C" w14:textId="77777777" w:rsidR="005A792D" w:rsidRDefault="00D974A9" w:rsidP="00973F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3A966A" w14:textId="77777777" w:rsidR="005A792D" w:rsidRDefault="009D4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13D51" w14:textId="77777777" w:rsidR="005A792D" w:rsidRDefault="00D974A9" w:rsidP="00973F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8A0F1C" w14:textId="77777777" w:rsidR="005A792D" w:rsidRDefault="009D4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B2572" w14:textId="77777777" w:rsidR="009D402A" w:rsidRDefault="009D402A" w:rsidP="00D974A9">
      <w:r>
        <w:separator/>
      </w:r>
    </w:p>
  </w:footnote>
  <w:footnote w:type="continuationSeparator" w:id="0">
    <w:p w14:paraId="79E48511" w14:textId="77777777" w:rsidR="009D402A" w:rsidRDefault="009D402A" w:rsidP="00D974A9">
      <w:r>
        <w:continuationSeparator/>
      </w:r>
    </w:p>
  </w:footnote>
  <w:footnote w:id="1">
    <w:p w14:paraId="7D26C491" w14:textId="77777777" w:rsidR="00D974A9" w:rsidRPr="00ED5DBA" w:rsidRDefault="00D974A9" w:rsidP="00D974A9">
      <w:pPr>
        <w:pStyle w:val="FootnoteText"/>
        <w:spacing w:line="480" w:lineRule="auto"/>
        <w:rPr>
          <w:rFonts w:ascii="Garamond" w:hAnsi="Garamond" w:cs="Times New Roman"/>
        </w:rPr>
      </w:pPr>
      <w:r w:rsidRPr="00ED5DBA">
        <w:rPr>
          <w:rStyle w:val="FootnoteReference"/>
          <w:rFonts w:ascii="Garamond" w:hAnsi="Garamond" w:cs="Times New Roman"/>
        </w:rPr>
        <w:footnoteRef/>
      </w:r>
      <w:r w:rsidRPr="00ED5DBA">
        <w:rPr>
          <w:rFonts w:ascii="Garamond" w:hAnsi="Garamond" w:cs="Times New Roman"/>
        </w:rPr>
        <w:t xml:space="preserve"> While our outcome measure, is binary, we use an LPM because the results are easy to interpret and because coefficient estimates are unbiased if the model is specified correctly. Our model is specified correctly since we only include dummy variables (Wooldridge 2010). To ensure that our results are not model dependent, we also estimate logit and </w:t>
      </w:r>
      <w:proofErr w:type="spellStart"/>
      <w:r w:rsidRPr="00ED5DBA">
        <w:rPr>
          <w:rFonts w:ascii="Garamond" w:hAnsi="Garamond" w:cs="Times New Roman"/>
        </w:rPr>
        <w:t>probit</w:t>
      </w:r>
      <w:proofErr w:type="spellEnd"/>
      <w:r w:rsidRPr="00ED5DBA">
        <w:rPr>
          <w:rFonts w:ascii="Garamond" w:hAnsi="Garamond" w:cs="Times New Roman"/>
        </w:rPr>
        <w:t xml:space="preserve"> models. The results from these models, which we report in </w:t>
      </w:r>
      <w:r>
        <w:rPr>
          <w:rFonts w:ascii="Garamond" w:hAnsi="Garamond" w:cs="Times New Roman"/>
        </w:rPr>
        <w:t>the online appendix</w:t>
      </w:r>
      <w:r w:rsidRPr="00ED5DBA">
        <w:rPr>
          <w:rFonts w:ascii="Garamond" w:hAnsi="Garamond" w:cs="Times New Roman"/>
        </w:rPr>
        <w:t>, are substantively the same.</w:t>
      </w:r>
    </w:p>
  </w:footnote>
  <w:footnote w:id="2">
    <w:p w14:paraId="534FEFA0" w14:textId="77777777" w:rsidR="00D974A9" w:rsidRPr="00ED5DBA" w:rsidRDefault="00D974A9" w:rsidP="00D974A9">
      <w:pPr>
        <w:pStyle w:val="FootnoteText"/>
        <w:spacing w:line="480" w:lineRule="auto"/>
        <w:rPr>
          <w:rFonts w:ascii="Garamond" w:hAnsi="Garamond" w:cs="Times New Roman"/>
        </w:rPr>
      </w:pPr>
      <w:r w:rsidRPr="00ED5DBA">
        <w:rPr>
          <w:rStyle w:val="FootnoteReference"/>
          <w:rFonts w:ascii="Garamond" w:hAnsi="Garamond" w:cs="Times New Roman"/>
        </w:rPr>
        <w:footnoteRef/>
      </w:r>
      <w:r w:rsidRPr="00ED5DBA">
        <w:rPr>
          <w:rFonts w:ascii="Garamond" w:hAnsi="Garamond" w:cs="Times New Roman"/>
        </w:rPr>
        <w:t xml:space="preserve"> We obtain similar results if we use classic standard errors. One might be concerned that we should use clustered standard errors.  The literature, however, is unclear about whether cluster standard errors should be used when randomization occurs at the unit level (Abadie, </w:t>
      </w:r>
      <w:proofErr w:type="spellStart"/>
      <w:r w:rsidRPr="00ED5DBA">
        <w:rPr>
          <w:rFonts w:ascii="Garamond" w:hAnsi="Garamond" w:cs="Times New Roman"/>
        </w:rPr>
        <w:t>Athey</w:t>
      </w:r>
      <w:proofErr w:type="spellEnd"/>
      <w:r w:rsidRPr="00ED5DBA">
        <w:rPr>
          <w:rFonts w:ascii="Garamond" w:hAnsi="Garamond" w:cs="Times New Roman"/>
        </w:rPr>
        <w:t xml:space="preserve">, </w:t>
      </w:r>
      <w:proofErr w:type="spellStart"/>
      <w:r w:rsidRPr="00ED5DBA">
        <w:rPr>
          <w:rFonts w:ascii="Garamond" w:hAnsi="Garamond" w:cs="Times New Roman"/>
        </w:rPr>
        <w:t>Imbens</w:t>
      </w:r>
      <w:proofErr w:type="spellEnd"/>
      <w:r w:rsidRPr="00ED5DBA">
        <w:rPr>
          <w:rFonts w:ascii="Garamond" w:hAnsi="Garamond" w:cs="Times New Roman"/>
        </w:rPr>
        <w:t>, and Wooldridge 2017). Another issue here is that the literature is also unclear about when the number of clusters is sufficiently large to justify the asymptotic assumptions underlying traditional cluster-robust standard errors. Acknowledging the potential problems with using cluster standard errors given the randomization scheme employed by the lottery, we address the second issue by using bootstrap clustered standard errors. We use several variants of these errors as robustness checks, clustering on the year, prosecutor, and (non-)vacation period. Using different variance-covariance matrices does not affect our results.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A9"/>
    <w:rsid w:val="0006185E"/>
    <w:rsid w:val="00082193"/>
    <w:rsid w:val="00377591"/>
    <w:rsid w:val="00534E02"/>
    <w:rsid w:val="00727A7B"/>
    <w:rsid w:val="009D402A"/>
    <w:rsid w:val="00A638EC"/>
    <w:rsid w:val="00D974A9"/>
    <w:rsid w:val="00DC1406"/>
    <w:rsid w:val="00DE4EE1"/>
    <w:rsid w:val="00E252E1"/>
    <w:rsid w:val="00E94247"/>
    <w:rsid w:val="00EA6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139E9"/>
  <w14:defaultImageDpi w14:val="300"/>
  <w15:docId w15:val="{92326524-AFE3-C243-9C49-D14A5341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4A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974A9"/>
    <w:rPr>
      <w:rFonts w:asciiTheme="minorHAnsi" w:hAnsiTheme="minorHAnsi"/>
      <w:sz w:val="20"/>
      <w:szCs w:val="20"/>
    </w:rPr>
  </w:style>
  <w:style w:type="character" w:customStyle="1" w:styleId="FootnoteTextChar">
    <w:name w:val="Footnote Text Char"/>
    <w:basedOn w:val="DefaultParagraphFont"/>
    <w:link w:val="FootnoteText"/>
    <w:uiPriority w:val="99"/>
    <w:rsid w:val="00D974A9"/>
    <w:rPr>
      <w:sz w:val="20"/>
      <w:szCs w:val="20"/>
    </w:rPr>
  </w:style>
  <w:style w:type="character" w:styleId="FootnoteReference">
    <w:name w:val="footnote reference"/>
    <w:basedOn w:val="DefaultParagraphFont"/>
    <w:uiPriority w:val="99"/>
    <w:unhideWhenUsed/>
    <w:rsid w:val="00D974A9"/>
    <w:rPr>
      <w:vertAlign w:val="superscript"/>
    </w:rPr>
  </w:style>
  <w:style w:type="paragraph" w:styleId="Footer">
    <w:name w:val="footer"/>
    <w:basedOn w:val="Normal"/>
    <w:link w:val="FooterChar"/>
    <w:uiPriority w:val="99"/>
    <w:unhideWhenUsed/>
    <w:rsid w:val="00D974A9"/>
    <w:pPr>
      <w:tabs>
        <w:tab w:val="center" w:pos="4320"/>
        <w:tab w:val="right" w:pos="8640"/>
      </w:tabs>
    </w:pPr>
  </w:style>
  <w:style w:type="character" w:customStyle="1" w:styleId="FooterChar">
    <w:name w:val="Footer Char"/>
    <w:basedOn w:val="DefaultParagraphFont"/>
    <w:link w:val="Footer"/>
    <w:uiPriority w:val="99"/>
    <w:rsid w:val="00D974A9"/>
    <w:rPr>
      <w:rFonts w:ascii="Garamond" w:hAnsi="Garamond"/>
    </w:rPr>
  </w:style>
  <w:style w:type="character" w:styleId="PageNumber">
    <w:name w:val="page number"/>
    <w:basedOn w:val="DefaultParagraphFont"/>
    <w:uiPriority w:val="99"/>
    <w:semiHidden/>
    <w:unhideWhenUsed/>
    <w:rsid w:val="00D974A9"/>
  </w:style>
  <w:style w:type="table" w:customStyle="1" w:styleId="GridTable21">
    <w:name w:val="Grid Table 21"/>
    <w:basedOn w:val="TableNormal"/>
    <w:uiPriority w:val="47"/>
    <w:rsid w:val="00D974A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974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4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354</Words>
  <Characters>2019</Characters>
  <Application>Microsoft Office Word</Application>
  <DocSecurity>0</DocSecurity>
  <Lines>16</Lines>
  <Paragraphs>4</Paragraphs>
  <ScaleCrop>false</ScaleCrop>
  <Company>UU</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Eck</dc:creator>
  <cp:keywords/>
  <dc:description/>
  <cp:lastModifiedBy>Charles D. Crabtree</cp:lastModifiedBy>
  <cp:revision>5</cp:revision>
  <dcterms:created xsi:type="dcterms:W3CDTF">2018-05-28T08:58:00Z</dcterms:created>
  <dcterms:modified xsi:type="dcterms:W3CDTF">2020-02-06T06:16:00Z</dcterms:modified>
</cp:coreProperties>
</file>