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B16B0" w14:textId="77777777" w:rsidR="00AC7231" w:rsidRPr="00482869" w:rsidRDefault="00000000">
      <w:pPr>
        <w:rPr>
          <w:sz w:val="24"/>
          <w:szCs w:val="24"/>
          <w:lang w:val="es-CO"/>
        </w:rPr>
      </w:pPr>
      <w:r w:rsidRPr="00482869">
        <w:rPr>
          <w:sz w:val="24"/>
          <w:szCs w:val="24"/>
          <w:lang w:val="es-CO"/>
        </w:rPr>
        <w:t>Carlos Cristiano</w:t>
      </w:r>
    </w:p>
    <w:p w14:paraId="7DF20785" w14:textId="77777777" w:rsidR="00AC7231" w:rsidRPr="00482869" w:rsidRDefault="00AC7231">
      <w:pPr>
        <w:rPr>
          <w:sz w:val="24"/>
          <w:szCs w:val="24"/>
          <w:lang w:val="es-CO"/>
        </w:rPr>
      </w:pPr>
    </w:p>
    <w:p w14:paraId="49177240" w14:textId="77777777" w:rsidR="00AC7231" w:rsidRPr="00482869" w:rsidRDefault="00000000" w:rsidP="00482869">
      <w:pPr>
        <w:jc w:val="center"/>
        <w:rPr>
          <w:b/>
          <w:bCs/>
          <w:sz w:val="24"/>
          <w:szCs w:val="24"/>
          <w:lang w:val="es-CO"/>
        </w:rPr>
      </w:pPr>
      <w:r w:rsidRPr="00482869">
        <w:rPr>
          <w:b/>
          <w:bCs/>
          <w:sz w:val="24"/>
          <w:szCs w:val="24"/>
          <w:lang w:val="es-CO"/>
        </w:rPr>
        <w:t>PRUEBA TECNICA</w:t>
      </w:r>
    </w:p>
    <w:p w14:paraId="2386E1AF" w14:textId="77777777" w:rsidR="00AC7231" w:rsidRPr="00482869" w:rsidRDefault="00AC7231">
      <w:pPr>
        <w:rPr>
          <w:sz w:val="24"/>
          <w:szCs w:val="24"/>
          <w:lang w:val="es-CO"/>
        </w:rPr>
      </w:pPr>
    </w:p>
    <w:p w14:paraId="088CC7A6" w14:textId="77777777" w:rsidR="00AC7231" w:rsidRPr="00482869" w:rsidRDefault="00AC7231">
      <w:pPr>
        <w:rPr>
          <w:sz w:val="24"/>
          <w:szCs w:val="24"/>
          <w:lang w:val="es-CO"/>
        </w:rPr>
      </w:pPr>
    </w:p>
    <w:p w14:paraId="1726D81C" w14:textId="77777777" w:rsidR="00482869" w:rsidRDefault="00482869">
      <w:pPr>
        <w:rPr>
          <w:b/>
          <w:sz w:val="24"/>
          <w:szCs w:val="24"/>
          <w:lang w:val="es-CO"/>
        </w:rPr>
      </w:pPr>
    </w:p>
    <w:p w14:paraId="1BD3F350" w14:textId="289C81A8" w:rsidR="00AC7231" w:rsidRPr="00482869" w:rsidRDefault="00000000">
      <w:pPr>
        <w:rPr>
          <w:b/>
          <w:sz w:val="24"/>
          <w:szCs w:val="24"/>
          <w:lang w:val="es-CO"/>
        </w:rPr>
      </w:pPr>
      <w:r w:rsidRPr="00482869">
        <w:rPr>
          <w:b/>
          <w:sz w:val="24"/>
          <w:szCs w:val="24"/>
          <w:lang w:val="es-CO"/>
        </w:rPr>
        <w:t>Exploración de los Datos</w:t>
      </w:r>
    </w:p>
    <w:p w14:paraId="2D2A0CE5" w14:textId="77777777" w:rsidR="00AC7231" w:rsidRDefault="00AC7231">
      <w:pPr>
        <w:rPr>
          <w:sz w:val="24"/>
          <w:szCs w:val="24"/>
          <w:lang w:val="es-CO"/>
        </w:rPr>
      </w:pPr>
    </w:p>
    <w:p w14:paraId="413D75F2" w14:textId="13804AAE" w:rsidR="00AC7231" w:rsidRPr="00482869" w:rsidRDefault="00000000" w:rsidP="00482869">
      <w:pPr>
        <w:ind w:firstLine="720"/>
        <w:rPr>
          <w:sz w:val="24"/>
          <w:szCs w:val="24"/>
          <w:lang w:val="es-CO"/>
        </w:rPr>
      </w:pPr>
      <w:r w:rsidRPr="00482869">
        <w:rPr>
          <w:sz w:val="24"/>
          <w:szCs w:val="24"/>
          <w:lang w:val="es-CO"/>
        </w:rPr>
        <w:t>La primera fase del análisis consistió en una exploración de los datos provistos en dos conjuntos principales: `Prestadores` y `Municipios`. El conjunto de `Prestadores`, compuesto por 31 variables en formato de texto (tipo `</w:t>
      </w:r>
      <w:proofErr w:type="spellStart"/>
      <w:r w:rsidRPr="00482869">
        <w:rPr>
          <w:sz w:val="24"/>
          <w:szCs w:val="24"/>
          <w:lang w:val="es-CO"/>
        </w:rPr>
        <w:t>character</w:t>
      </w:r>
      <w:proofErr w:type="spellEnd"/>
      <w:r w:rsidRPr="00482869">
        <w:rPr>
          <w:sz w:val="24"/>
          <w:szCs w:val="24"/>
          <w:lang w:val="es-CO"/>
        </w:rPr>
        <w:t>`), comprende un total de 60946 registros de prestadores de servicios de salud, e incluye detalles significativos como departamento, municipio, nombre, tipo de entidad y datos de contacto. Especial atención se prestó a los campos de fecha (`</w:t>
      </w:r>
      <w:proofErr w:type="spellStart"/>
      <w:r w:rsidRPr="00482869">
        <w:rPr>
          <w:sz w:val="24"/>
          <w:szCs w:val="24"/>
          <w:lang w:val="es-CO"/>
        </w:rPr>
        <w:t>fecha_radicacion</w:t>
      </w:r>
      <w:proofErr w:type="spellEnd"/>
      <w:r w:rsidRPr="00482869">
        <w:rPr>
          <w:sz w:val="24"/>
          <w:szCs w:val="24"/>
          <w:lang w:val="es-CO"/>
        </w:rPr>
        <w:t>`, `</w:t>
      </w:r>
      <w:proofErr w:type="spellStart"/>
      <w:r w:rsidRPr="00482869">
        <w:rPr>
          <w:sz w:val="24"/>
          <w:szCs w:val="24"/>
          <w:lang w:val="es-CO"/>
        </w:rPr>
        <w:t>fecha_vencimiento</w:t>
      </w:r>
      <w:proofErr w:type="spellEnd"/>
      <w:r w:rsidRPr="00482869">
        <w:rPr>
          <w:sz w:val="24"/>
          <w:szCs w:val="24"/>
          <w:lang w:val="es-CO"/>
        </w:rPr>
        <w:t>` y `</w:t>
      </w:r>
      <w:proofErr w:type="spellStart"/>
      <w:r w:rsidRPr="00482869">
        <w:rPr>
          <w:sz w:val="24"/>
          <w:szCs w:val="24"/>
          <w:lang w:val="es-CO"/>
        </w:rPr>
        <w:t>fecha_cierre</w:t>
      </w:r>
      <w:proofErr w:type="spellEnd"/>
      <w:r w:rsidRPr="00482869">
        <w:rPr>
          <w:sz w:val="24"/>
          <w:szCs w:val="24"/>
          <w:lang w:val="es-CO"/>
        </w:rPr>
        <w:t xml:space="preserve">`), los cuales ameritaban una conversión a formato de fecha adecuado para posibilitar análisis temporales subsecuentes. Por otra parte, `Municipios` se </w:t>
      </w:r>
      <w:proofErr w:type="spellStart"/>
      <w:r w:rsidRPr="00482869">
        <w:rPr>
          <w:sz w:val="24"/>
          <w:szCs w:val="24"/>
          <w:lang w:val="es-CO"/>
        </w:rPr>
        <w:t>componia</w:t>
      </w:r>
      <w:proofErr w:type="spellEnd"/>
      <w:r w:rsidRPr="00482869">
        <w:rPr>
          <w:sz w:val="24"/>
          <w:szCs w:val="24"/>
          <w:lang w:val="es-CO"/>
        </w:rPr>
        <w:t xml:space="preserve"> de 1118 entidades territoriales, revelando características clave como la superficie, la población, índice de ruralidad y </w:t>
      </w:r>
      <w:r w:rsidR="00482869" w:rsidRPr="00482869">
        <w:rPr>
          <w:sz w:val="24"/>
          <w:szCs w:val="24"/>
          <w:lang w:val="es-CO"/>
        </w:rPr>
        <w:t>Región</w:t>
      </w:r>
      <w:r w:rsidRPr="00482869">
        <w:rPr>
          <w:sz w:val="24"/>
          <w:szCs w:val="24"/>
          <w:lang w:val="es-CO"/>
        </w:rPr>
        <w:t xml:space="preserve">. </w:t>
      </w:r>
    </w:p>
    <w:p w14:paraId="6DE2AD10" w14:textId="77777777" w:rsidR="00AC7231" w:rsidRPr="00482869" w:rsidRDefault="00AC7231">
      <w:pPr>
        <w:rPr>
          <w:sz w:val="24"/>
          <w:szCs w:val="24"/>
          <w:lang w:val="es-CO"/>
        </w:rPr>
      </w:pPr>
    </w:p>
    <w:p w14:paraId="2C162B16" w14:textId="54F7E546" w:rsidR="00AC7231" w:rsidRPr="00482869" w:rsidRDefault="00000000">
      <w:pPr>
        <w:rPr>
          <w:sz w:val="24"/>
          <w:szCs w:val="24"/>
          <w:lang w:val="es-CO"/>
        </w:rPr>
      </w:pPr>
      <w:r w:rsidRPr="00482869">
        <w:rPr>
          <w:sz w:val="24"/>
          <w:szCs w:val="24"/>
          <w:lang w:val="es-CO"/>
        </w:rPr>
        <w:t xml:space="preserve">La base de datos llamada Modelo, es la </w:t>
      </w:r>
      <w:proofErr w:type="spellStart"/>
      <w:r w:rsidRPr="00482869">
        <w:rPr>
          <w:sz w:val="24"/>
          <w:szCs w:val="24"/>
          <w:lang w:val="es-CO"/>
        </w:rPr>
        <w:t>union</w:t>
      </w:r>
      <w:proofErr w:type="spellEnd"/>
      <w:r w:rsidRPr="00482869">
        <w:rPr>
          <w:sz w:val="24"/>
          <w:szCs w:val="24"/>
          <w:lang w:val="es-CO"/>
        </w:rPr>
        <w:t xml:space="preserve"> de las bases Prestadores y municipios, y </w:t>
      </w:r>
      <w:proofErr w:type="spellStart"/>
      <w:r w:rsidRPr="00482869">
        <w:rPr>
          <w:sz w:val="24"/>
          <w:szCs w:val="24"/>
          <w:lang w:val="es-CO"/>
        </w:rPr>
        <w:t>esta</w:t>
      </w:r>
      <w:proofErr w:type="spellEnd"/>
      <w:r w:rsidRPr="00482869">
        <w:rPr>
          <w:sz w:val="24"/>
          <w:szCs w:val="24"/>
          <w:lang w:val="es-CO"/>
        </w:rPr>
        <w:t xml:space="preserve"> unida por sus llaves primarias </w:t>
      </w:r>
      <w:proofErr w:type="spellStart"/>
      <w:r w:rsidRPr="00482869">
        <w:rPr>
          <w:sz w:val="24"/>
          <w:szCs w:val="24"/>
          <w:lang w:val="es-CO"/>
        </w:rPr>
        <w:t>Depnum</w:t>
      </w:r>
      <w:proofErr w:type="spellEnd"/>
      <w:r w:rsidRPr="00482869">
        <w:rPr>
          <w:sz w:val="24"/>
          <w:szCs w:val="24"/>
          <w:lang w:val="es-CO"/>
        </w:rPr>
        <w:t xml:space="preserve"> y </w:t>
      </w:r>
      <w:proofErr w:type="spellStart"/>
      <w:r w:rsidRPr="00482869">
        <w:rPr>
          <w:sz w:val="24"/>
          <w:szCs w:val="24"/>
          <w:lang w:val="es-CO"/>
        </w:rPr>
        <w:t>codigo_habilitacion</w:t>
      </w:r>
      <w:proofErr w:type="spellEnd"/>
      <w:r w:rsidRPr="00482869">
        <w:rPr>
          <w:sz w:val="24"/>
          <w:szCs w:val="24"/>
          <w:lang w:val="es-CO"/>
        </w:rPr>
        <w:t xml:space="preserve">. En el caso de </w:t>
      </w:r>
      <w:r w:rsidR="00482869" w:rsidRPr="00482869">
        <w:rPr>
          <w:sz w:val="24"/>
          <w:szCs w:val="24"/>
          <w:lang w:val="es-CO"/>
        </w:rPr>
        <w:t>Código</w:t>
      </w:r>
      <w:r w:rsidRPr="00482869">
        <w:rPr>
          <w:sz w:val="24"/>
          <w:szCs w:val="24"/>
          <w:lang w:val="es-CO"/>
        </w:rPr>
        <w:t xml:space="preserve"> </w:t>
      </w:r>
      <w:r w:rsidR="00482869" w:rsidRPr="00482869">
        <w:rPr>
          <w:sz w:val="24"/>
          <w:szCs w:val="24"/>
          <w:lang w:val="es-CO"/>
        </w:rPr>
        <w:t>habilitación</w:t>
      </w:r>
      <w:r w:rsidRPr="00482869">
        <w:rPr>
          <w:sz w:val="24"/>
          <w:szCs w:val="24"/>
          <w:lang w:val="es-CO"/>
        </w:rPr>
        <w:t xml:space="preserve"> se extrajeron los cinco primeros </w:t>
      </w:r>
      <w:r w:rsidR="00482869" w:rsidRPr="00482869">
        <w:rPr>
          <w:sz w:val="24"/>
          <w:szCs w:val="24"/>
          <w:lang w:val="es-CO"/>
        </w:rPr>
        <w:t>dígitos</w:t>
      </w:r>
      <w:r w:rsidRPr="00482869">
        <w:rPr>
          <w:sz w:val="24"/>
          <w:szCs w:val="24"/>
          <w:lang w:val="es-CO"/>
        </w:rPr>
        <w:t xml:space="preserve"> los cuales </w:t>
      </w:r>
      <w:r w:rsidR="00482869" w:rsidRPr="00482869">
        <w:rPr>
          <w:sz w:val="24"/>
          <w:szCs w:val="24"/>
          <w:lang w:val="es-CO"/>
        </w:rPr>
        <w:t>corresponde</w:t>
      </w:r>
      <w:r w:rsidRPr="00482869">
        <w:rPr>
          <w:sz w:val="24"/>
          <w:szCs w:val="24"/>
          <w:lang w:val="es-CO"/>
        </w:rPr>
        <w:t xml:space="preserve"> a </w:t>
      </w:r>
      <w:proofErr w:type="spellStart"/>
      <w:r w:rsidRPr="00482869">
        <w:rPr>
          <w:sz w:val="24"/>
          <w:szCs w:val="24"/>
          <w:lang w:val="es-CO"/>
        </w:rPr>
        <w:t>Depnum</w:t>
      </w:r>
      <w:proofErr w:type="spellEnd"/>
      <w:r w:rsidRPr="00482869">
        <w:rPr>
          <w:sz w:val="24"/>
          <w:szCs w:val="24"/>
          <w:lang w:val="es-CO"/>
        </w:rPr>
        <w:t xml:space="preserve">, es decir re realizo un pegue de izquierda con los datos de municipio, esta nueva base de datos tiene los mismo 60946 registros y adicional tiene las variables: Superficie, </w:t>
      </w:r>
      <w:r w:rsidR="00482869" w:rsidRPr="00482869">
        <w:rPr>
          <w:sz w:val="24"/>
          <w:szCs w:val="24"/>
          <w:lang w:val="es-CO"/>
        </w:rPr>
        <w:t>Población</w:t>
      </w:r>
      <w:r w:rsidRPr="00482869">
        <w:rPr>
          <w:sz w:val="24"/>
          <w:szCs w:val="24"/>
          <w:lang w:val="es-CO"/>
        </w:rPr>
        <w:t xml:space="preserve">, Virtual y </w:t>
      </w:r>
      <w:r w:rsidR="00482869" w:rsidRPr="00482869">
        <w:rPr>
          <w:sz w:val="24"/>
          <w:szCs w:val="24"/>
          <w:lang w:val="es-CO"/>
        </w:rPr>
        <w:t>Región</w:t>
      </w:r>
      <w:r w:rsidRPr="00482869">
        <w:rPr>
          <w:sz w:val="24"/>
          <w:szCs w:val="24"/>
          <w:lang w:val="es-CO"/>
        </w:rPr>
        <w:t>.</w:t>
      </w:r>
    </w:p>
    <w:p w14:paraId="697FB099" w14:textId="77777777" w:rsidR="00AC7231" w:rsidRDefault="00AC7231">
      <w:pPr>
        <w:rPr>
          <w:sz w:val="24"/>
          <w:szCs w:val="24"/>
          <w:lang w:val="es-CO"/>
        </w:rPr>
      </w:pPr>
    </w:p>
    <w:p w14:paraId="76CB2920" w14:textId="77777777" w:rsidR="00482869" w:rsidRDefault="00482869">
      <w:pPr>
        <w:rPr>
          <w:sz w:val="24"/>
          <w:szCs w:val="24"/>
          <w:lang w:val="es-CO"/>
        </w:rPr>
      </w:pPr>
    </w:p>
    <w:p w14:paraId="6F7EFBE5" w14:textId="77777777" w:rsidR="00482869" w:rsidRDefault="00482869">
      <w:pPr>
        <w:rPr>
          <w:sz w:val="24"/>
          <w:szCs w:val="24"/>
          <w:lang w:val="es-CO"/>
        </w:rPr>
      </w:pPr>
    </w:p>
    <w:p w14:paraId="112EEA9D" w14:textId="77777777" w:rsidR="00482869" w:rsidRDefault="00482869">
      <w:pPr>
        <w:rPr>
          <w:sz w:val="24"/>
          <w:szCs w:val="24"/>
          <w:lang w:val="es-CO"/>
        </w:rPr>
      </w:pPr>
    </w:p>
    <w:p w14:paraId="0E88BEBF" w14:textId="77777777" w:rsidR="00482869" w:rsidRDefault="00482869">
      <w:pPr>
        <w:rPr>
          <w:sz w:val="24"/>
          <w:szCs w:val="24"/>
          <w:lang w:val="es-CO"/>
        </w:rPr>
      </w:pPr>
    </w:p>
    <w:p w14:paraId="3E3602F8" w14:textId="77777777" w:rsidR="00482869" w:rsidRDefault="00482869">
      <w:pPr>
        <w:rPr>
          <w:sz w:val="24"/>
          <w:szCs w:val="24"/>
          <w:lang w:val="es-CO"/>
        </w:rPr>
      </w:pPr>
    </w:p>
    <w:p w14:paraId="203639E9" w14:textId="77777777" w:rsidR="00482869" w:rsidRDefault="00482869">
      <w:pPr>
        <w:rPr>
          <w:sz w:val="24"/>
          <w:szCs w:val="24"/>
          <w:lang w:val="es-CO"/>
        </w:rPr>
      </w:pPr>
    </w:p>
    <w:p w14:paraId="68A744D8" w14:textId="77777777" w:rsidR="00482869" w:rsidRPr="00482869" w:rsidRDefault="00482869">
      <w:pPr>
        <w:rPr>
          <w:sz w:val="24"/>
          <w:szCs w:val="24"/>
          <w:lang w:val="es-CO"/>
        </w:rPr>
      </w:pPr>
    </w:p>
    <w:p w14:paraId="62A6D3F8" w14:textId="77777777" w:rsidR="00AC7231" w:rsidRPr="00482869" w:rsidRDefault="00000000">
      <w:pPr>
        <w:rPr>
          <w:sz w:val="24"/>
          <w:szCs w:val="24"/>
        </w:rPr>
      </w:pPr>
      <w:r w:rsidRPr="00482869">
        <w:rPr>
          <w:sz w:val="24"/>
          <w:szCs w:val="24"/>
        </w:rPr>
        <w:lastRenderedPageBreak/>
        <w:t xml:space="preserve">Imagen 1: </w:t>
      </w:r>
      <w:proofErr w:type="spellStart"/>
      <w:r w:rsidRPr="00482869">
        <w:rPr>
          <w:sz w:val="24"/>
          <w:szCs w:val="24"/>
        </w:rPr>
        <w:t>Exploracion</w:t>
      </w:r>
      <w:proofErr w:type="spellEnd"/>
      <w:r w:rsidRPr="00482869">
        <w:rPr>
          <w:sz w:val="24"/>
          <w:szCs w:val="24"/>
        </w:rPr>
        <w:t xml:space="preserve"> de </w:t>
      </w:r>
      <w:proofErr w:type="spellStart"/>
      <w:r w:rsidRPr="00482869">
        <w:rPr>
          <w:sz w:val="24"/>
          <w:szCs w:val="24"/>
        </w:rPr>
        <w:t>Datos</w:t>
      </w:r>
      <w:proofErr w:type="spellEnd"/>
    </w:p>
    <w:p w14:paraId="351EAAA2" w14:textId="77777777" w:rsidR="00AC7231" w:rsidRPr="00482869" w:rsidRDefault="00000000">
      <w:pPr>
        <w:rPr>
          <w:sz w:val="24"/>
          <w:szCs w:val="24"/>
        </w:rPr>
      </w:pPr>
      <w:r w:rsidRPr="00482869">
        <w:rPr>
          <w:noProof/>
          <w:sz w:val="24"/>
          <w:szCs w:val="24"/>
        </w:rPr>
        <w:drawing>
          <wp:inline distT="114300" distB="114300" distL="114300" distR="114300" wp14:anchorId="7D1858AF" wp14:editId="2A0F3D18">
            <wp:extent cx="5943600" cy="330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14:paraId="7484E503" w14:textId="77777777" w:rsidR="00AC7231" w:rsidRPr="00482869" w:rsidRDefault="00AC7231">
      <w:pPr>
        <w:rPr>
          <w:sz w:val="24"/>
          <w:szCs w:val="24"/>
        </w:rPr>
      </w:pPr>
    </w:p>
    <w:p w14:paraId="29528DF7" w14:textId="31C1B725" w:rsidR="00AC7231" w:rsidRPr="00482869" w:rsidRDefault="00000000">
      <w:pPr>
        <w:rPr>
          <w:sz w:val="24"/>
          <w:szCs w:val="24"/>
          <w:lang w:val="es-CO"/>
        </w:rPr>
      </w:pPr>
      <w:r w:rsidRPr="00482869">
        <w:rPr>
          <w:sz w:val="24"/>
          <w:szCs w:val="24"/>
          <w:lang w:val="es-CO"/>
        </w:rPr>
        <w:t xml:space="preserve">La imagen 1 describe la base resultante usada para el </w:t>
      </w:r>
      <w:r w:rsidR="00482869" w:rsidRPr="00482869">
        <w:rPr>
          <w:sz w:val="24"/>
          <w:szCs w:val="24"/>
          <w:lang w:val="es-CO"/>
        </w:rPr>
        <w:t>análisis</w:t>
      </w:r>
      <w:r w:rsidRPr="00482869">
        <w:rPr>
          <w:sz w:val="24"/>
          <w:szCs w:val="24"/>
          <w:lang w:val="es-CO"/>
        </w:rPr>
        <w:t xml:space="preserve"> de descriptivo y </w:t>
      </w:r>
      <w:r w:rsidR="00482869" w:rsidRPr="00482869">
        <w:rPr>
          <w:sz w:val="24"/>
          <w:szCs w:val="24"/>
          <w:lang w:val="es-CO"/>
        </w:rPr>
        <w:t>estadístico</w:t>
      </w:r>
      <w:r w:rsidRPr="00482869">
        <w:rPr>
          <w:sz w:val="24"/>
          <w:szCs w:val="24"/>
          <w:lang w:val="es-CO"/>
        </w:rPr>
        <w:t xml:space="preserve"> llevado a cabo. </w:t>
      </w:r>
    </w:p>
    <w:p w14:paraId="5F1D0988" w14:textId="77777777" w:rsidR="00AC7231" w:rsidRPr="00482869" w:rsidRDefault="00AC7231">
      <w:pPr>
        <w:rPr>
          <w:sz w:val="24"/>
          <w:szCs w:val="24"/>
          <w:lang w:val="es-CO"/>
        </w:rPr>
      </w:pPr>
    </w:p>
    <w:p w14:paraId="78038736" w14:textId="77777777" w:rsidR="00AC7231" w:rsidRPr="00482869" w:rsidRDefault="00AC7231">
      <w:pPr>
        <w:rPr>
          <w:b/>
          <w:sz w:val="24"/>
          <w:szCs w:val="24"/>
          <w:lang w:val="es-CO"/>
        </w:rPr>
      </w:pPr>
    </w:p>
    <w:p w14:paraId="3A671688" w14:textId="77777777" w:rsidR="00AC7231" w:rsidRPr="00482869" w:rsidRDefault="00000000">
      <w:pPr>
        <w:rPr>
          <w:b/>
          <w:sz w:val="24"/>
          <w:szCs w:val="24"/>
          <w:lang w:val="es-CO"/>
        </w:rPr>
      </w:pPr>
      <w:r w:rsidRPr="00482869">
        <w:rPr>
          <w:b/>
          <w:sz w:val="24"/>
          <w:szCs w:val="24"/>
          <w:lang w:val="es-CO"/>
        </w:rPr>
        <w:t>Análisis descriptivos</w:t>
      </w:r>
    </w:p>
    <w:p w14:paraId="1FD8393F" w14:textId="77777777" w:rsidR="00AC7231" w:rsidRPr="00482869" w:rsidRDefault="00AC7231">
      <w:pPr>
        <w:rPr>
          <w:sz w:val="24"/>
          <w:szCs w:val="24"/>
          <w:lang w:val="es-CO"/>
        </w:rPr>
      </w:pPr>
    </w:p>
    <w:p w14:paraId="4518F78F" w14:textId="46629DD9" w:rsidR="00AC7231" w:rsidRPr="00482869" w:rsidRDefault="00000000" w:rsidP="00482869">
      <w:pPr>
        <w:ind w:firstLine="720"/>
        <w:rPr>
          <w:sz w:val="24"/>
          <w:szCs w:val="24"/>
          <w:lang w:val="es-CO"/>
        </w:rPr>
      </w:pPr>
      <w:r w:rsidRPr="00482869">
        <w:rPr>
          <w:sz w:val="24"/>
          <w:szCs w:val="24"/>
          <w:lang w:val="es-CO"/>
        </w:rPr>
        <w:t xml:space="preserve">A través de las técnicas de exploración de datos, se logró distinguir patrones iniciales y distribuciones de interés, lo cual orientó el enfoque de análisis descriptivo. Entre los hallazgos preliminares, se </w:t>
      </w:r>
      <w:r w:rsidR="00482869" w:rsidRPr="00482869">
        <w:rPr>
          <w:sz w:val="24"/>
          <w:szCs w:val="24"/>
          <w:lang w:val="es-CO"/>
        </w:rPr>
        <w:t>notó</w:t>
      </w:r>
      <w:r w:rsidRPr="00482869">
        <w:rPr>
          <w:sz w:val="24"/>
          <w:szCs w:val="24"/>
          <w:lang w:val="es-CO"/>
        </w:rPr>
        <w:t xml:space="preserve"> se notó una variabilidad substancial en la cantidad de prestadores por </w:t>
      </w:r>
      <w:r w:rsidR="00482869" w:rsidRPr="00482869">
        <w:rPr>
          <w:sz w:val="24"/>
          <w:szCs w:val="24"/>
          <w:lang w:val="es-CO"/>
        </w:rPr>
        <w:t>región</w:t>
      </w:r>
      <w:r w:rsidRPr="00482869">
        <w:rPr>
          <w:sz w:val="24"/>
          <w:szCs w:val="24"/>
          <w:lang w:val="es-CO"/>
        </w:rPr>
        <w:t xml:space="preserve">, lo cual sugiere una posible relación entre los factores demográficos y la accesibilidad a servicios de salud. Adicionalmente se </w:t>
      </w:r>
      <w:r w:rsidR="00482869" w:rsidRPr="00482869">
        <w:rPr>
          <w:sz w:val="24"/>
          <w:szCs w:val="24"/>
          <w:lang w:val="es-CO"/>
        </w:rPr>
        <w:t>creó</w:t>
      </w:r>
      <w:r w:rsidRPr="00482869">
        <w:rPr>
          <w:sz w:val="24"/>
          <w:szCs w:val="24"/>
          <w:lang w:val="es-CO"/>
        </w:rPr>
        <w:t xml:space="preserve"> una variable llamada “periodo de validez” que comprende la diferencia de </w:t>
      </w:r>
      <w:r w:rsidR="00482869" w:rsidRPr="00482869">
        <w:rPr>
          <w:sz w:val="24"/>
          <w:szCs w:val="24"/>
          <w:lang w:val="es-CO"/>
        </w:rPr>
        <w:t>días</w:t>
      </w:r>
      <w:r w:rsidRPr="00482869">
        <w:rPr>
          <w:sz w:val="24"/>
          <w:szCs w:val="24"/>
          <w:lang w:val="es-CO"/>
        </w:rPr>
        <w:t xml:space="preserve"> entre </w:t>
      </w:r>
      <w:proofErr w:type="spellStart"/>
      <w:r w:rsidRPr="00482869">
        <w:rPr>
          <w:sz w:val="24"/>
          <w:szCs w:val="24"/>
          <w:lang w:val="es-CO"/>
        </w:rPr>
        <w:t>fecha_radicacion</w:t>
      </w:r>
      <w:proofErr w:type="spellEnd"/>
      <w:r w:rsidRPr="00482869">
        <w:rPr>
          <w:sz w:val="24"/>
          <w:szCs w:val="24"/>
          <w:lang w:val="es-CO"/>
        </w:rPr>
        <w:t xml:space="preserve"> y </w:t>
      </w:r>
      <w:proofErr w:type="spellStart"/>
      <w:r w:rsidRPr="00482869">
        <w:rPr>
          <w:sz w:val="24"/>
          <w:szCs w:val="24"/>
          <w:lang w:val="es-CO"/>
        </w:rPr>
        <w:t>fecha_vencimiento</w:t>
      </w:r>
      <w:proofErr w:type="spellEnd"/>
      <w:r w:rsidRPr="00482869">
        <w:rPr>
          <w:sz w:val="24"/>
          <w:szCs w:val="24"/>
          <w:lang w:val="es-CO"/>
        </w:rPr>
        <w:t>.</w:t>
      </w:r>
    </w:p>
    <w:p w14:paraId="69DE0256" w14:textId="182B37ED" w:rsidR="00AC7231" w:rsidRPr="00482869" w:rsidRDefault="00000000">
      <w:pPr>
        <w:jc w:val="center"/>
        <w:rPr>
          <w:sz w:val="24"/>
          <w:szCs w:val="24"/>
          <w:lang w:val="es-CO"/>
        </w:rPr>
      </w:pPr>
      <w:r w:rsidRPr="00482869">
        <w:rPr>
          <w:sz w:val="24"/>
          <w:szCs w:val="24"/>
          <w:lang w:val="es-CO"/>
        </w:rPr>
        <w:lastRenderedPageBreak/>
        <w:t xml:space="preserve">Imagen 2: </w:t>
      </w:r>
      <w:r w:rsidR="00482869">
        <w:rPr>
          <w:sz w:val="24"/>
          <w:szCs w:val="24"/>
          <w:lang w:val="es-CO"/>
        </w:rPr>
        <w:t>D</w:t>
      </w:r>
      <w:r w:rsidR="00482869" w:rsidRPr="00482869">
        <w:rPr>
          <w:sz w:val="24"/>
          <w:szCs w:val="24"/>
          <w:lang w:val="es-CO"/>
        </w:rPr>
        <w:t>istribución</w:t>
      </w:r>
      <w:r w:rsidRPr="00482869">
        <w:rPr>
          <w:sz w:val="24"/>
          <w:szCs w:val="24"/>
          <w:lang w:val="es-CO"/>
        </w:rPr>
        <w:t xml:space="preserve"> de </w:t>
      </w:r>
      <w:r w:rsidR="00482869" w:rsidRPr="00482869">
        <w:rPr>
          <w:sz w:val="24"/>
          <w:szCs w:val="24"/>
          <w:lang w:val="es-CO"/>
        </w:rPr>
        <w:t>días</w:t>
      </w:r>
      <w:r w:rsidRPr="00482869">
        <w:rPr>
          <w:sz w:val="24"/>
          <w:szCs w:val="24"/>
          <w:lang w:val="es-CO"/>
        </w:rPr>
        <w:t xml:space="preserve"> en las diferentes regiones del </w:t>
      </w:r>
      <w:r w:rsidR="00482869" w:rsidRPr="00482869">
        <w:rPr>
          <w:sz w:val="24"/>
          <w:szCs w:val="24"/>
          <w:lang w:val="es-CO"/>
        </w:rPr>
        <w:t>país</w:t>
      </w:r>
      <w:r w:rsidRPr="00482869">
        <w:rPr>
          <w:sz w:val="24"/>
          <w:szCs w:val="24"/>
          <w:lang w:val="es-CO"/>
        </w:rPr>
        <w:t xml:space="preserve"> </w:t>
      </w:r>
      <w:r w:rsidRPr="00482869">
        <w:rPr>
          <w:noProof/>
          <w:sz w:val="24"/>
          <w:szCs w:val="24"/>
        </w:rPr>
        <w:drawing>
          <wp:inline distT="114300" distB="114300" distL="114300" distR="114300" wp14:anchorId="25A77D97" wp14:editId="2589C25A">
            <wp:extent cx="4591050" cy="2760042"/>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591050" cy="2760042"/>
                    </a:xfrm>
                    <a:prstGeom prst="rect">
                      <a:avLst/>
                    </a:prstGeom>
                    <a:ln/>
                  </pic:spPr>
                </pic:pic>
              </a:graphicData>
            </a:graphic>
          </wp:inline>
        </w:drawing>
      </w:r>
      <w:r w:rsidRPr="00482869">
        <w:rPr>
          <w:noProof/>
          <w:sz w:val="24"/>
          <w:szCs w:val="24"/>
        </w:rPr>
        <w:drawing>
          <wp:inline distT="114300" distB="114300" distL="114300" distR="114300" wp14:anchorId="30F1CEE3" wp14:editId="479AAC49">
            <wp:extent cx="4748213" cy="284892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748213" cy="2848928"/>
                    </a:xfrm>
                    <a:prstGeom prst="rect">
                      <a:avLst/>
                    </a:prstGeom>
                    <a:ln/>
                  </pic:spPr>
                </pic:pic>
              </a:graphicData>
            </a:graphic>
          </wp:inline>
        </w:drawing>
      </w:r>
    </w:p>
    <w:p w14:paraId="050C91D6" w14:textId="77777777" w:rsidR="00AC7231" w:rsidRPr="00482869" w:rsidRDefault="00AC7231">
      <w:pPr>
        <w:rPr>
          <w:sz w:val="24"/>
          <w:szCs w:val="24"/>
          <w:lang w:val="es-CO"/>
        </w:rPr>
      </w:pPr>
    </w:p>
    <w:p w14:paraId="4E436422" w14:textId="77777777" w:rsidR="00AC7231" w:rsidRPr="00482869" w:rsidRDefault="00AC7231">
      <w:pPr>
        <w:rPr>
          <w:sz w:val="24"/>
          <w:szCs w:val="24"/>
          <w:lang w:val="es-CO"/>
        </w:rPr>
      </w:pPr>
    </w:p>
    <w:p w14:paraId="0A653855" w14:textId="1673D627" w:rsidR="00AC7231" w:rsidRPr="00482869" w:rsidRDefault="00000000">
      <w:pPr>
        <w:rPr>
          <w:sz w:val="24"/>
          <w:szCs w:val="24"/>
          <w:lang w:val="es-CO"/>
        </w:rPr>
      </w:pPr>
      <w:r w:rsidRPr="00482869">
        <w:rPr>
          <w:sz w:val="24"/>
          <w:szCs w:val="24"/>
          <w:lang w:val="es-CO"/>
        </w:rPr>
        <w:t xml:space="preserve">La imagen 2 superior, muestra un </w:t>
      </w:r>
      <w:r w:rsidR="00482869" w:rsidRPr="00482869">
        <w:rPr>
          <w:sz w:val="24"/>
          <w:szCs w:val="24"/>
          <w:lang w:val="es-CO"/>
        </w:rPr>
        <w:t>gráfico</w:t>
      </w:r>
      <w:r w:rsidRPr="00482869">
        <w:rPr>
          <w:sz w:val="24"/>
          <w:szCs w:val="24"/>
          <w:lang w:val="es-CO"/>
        </w:rPr>
        <w:t xml:space="preserve"> de violín de la distribución del período de validez de las habilitaciones de los prestadores en cada región, revelando diferencias notables en la duración de </w:t>
      </w:r>
      <w:proofErr w:type="gramStart"/>
      <w:r w:rsidRPr="00482869">
        <w:rPr>
          <w:sz w:val="24"/>
          <w:szCs w:val="24"/>
          <w:lang w:val="es-CO"/>
        </w:rPr>
        <w:t>las mismas</w:t>
      </w:r>
      <w:proofErr w:type="gramEnd"/>
      <w:r w:rsidRPr="00482869">
        <w:rPr>
          <w:sz w:val="24"/>
          <w:szCs w:val="24"/>
          <w:lang w:val="es-CO"/>
        </w:rPr>
        <w:t xml:space="preserve">, mientras que la imagen inferior corresponde a la </w:t>
      </w:r>
      <w:r w:rsidR="00482869" w:rsidRPr="00482869">
        <w:rPr>
          <w:sz w:val="24"/>
          <w:szCs w:val="24"/>
          <w:lang w:val="es-CO"/>
        </w:rPr>
        <w:t>distribución</w:t>
      </w:r>
      <w:r w:rsidRPr="00482869">
        <w:rPr>
          <w:sz w:val="24"/>
          <w:szCs w:val="24"/>
          <w:lang w:val="es-CO"/>
        </w:rPr>
        <w:t xml:space="preserve"> de los </w:t>
      </w:r>
    </w:p>
    <w:p w14:paraId="682ECF65" w14:textId="01D10C7B" w:rsidR="00AC7231" w:rsidRPr="00482869" w:rsidRDefault="00000000">
      <w:pPr>
        <w:rPr>
          <w:sz w:val="24"/>
          <w:szCs w:val="24"/>
          <w:lang w:val="es-CO"/>
        </w:rPr>
      </w:pPr>
      <w:r w:rsidRPr="00482869">
        <w:rPr>
          <w:sz w:val="24"/>
          <w:szCs w:val="24"/>
          <w:lang w:val="es-CO"/>
        </w:rPr>
        <w:lastRenderedPageBreak/>
        <w:t xml:space="preserve">De la variable </w:t>
      </w:r>
      <w:proofErr w:type="spellStart"/>
      <w:r w:rsidRPr="00482869">
        <w:rPr>
          <w:sz w:val="24"/>
          <w:szCs w:val="24"/>
          <w:lang w:val="es-CO"/>
        </w:rPr>
        <w:t>dv</w:t>
      </w:r>
      <w:proofErr w:type="spellEnd"/>
      <w:r w:rsidRPr="00482869">
        <w:rPr>
          <w:sz w:val="24"/>
          <w:szCs w:val="24"/>
          <w:lang w:val="es-CO"/>
        </w:rPr>
        <w:t xml:space="preserve"> (digito </w:t>
      </w:r>
      <w:r w:rsidR="00482869" w:rsidRPr="00482869">
        <w:rPr>
          <w:sz w:val="24"/>
          <w:szCs w:val="24"/>
          <w:lang w:val="es-CO"/>
        </w:rPr>
        <w:t>verificación</w:t>
      </w:r>
      <w:r w:rsidRPr="00482869">
        <w:rPr>
          <w:sz w:val="24"/>
          <w:szCs w:val="24"/>
          <w:lang w:val="es-CO"/>
        </w:rPr>
        <w:t>) es cual es un escalar de 1 a 10. Estos resultados indican variaciones regionales en prácticas administrativas y políticas que podrían afectar la operatividad de los prestadores de servicio.</w:t>
      </w:r>
    </w:p>
    <w:p w14:paraId="66D75092" w14:textId="77777777" w:rsidR="00AC7231" w:rsidRPr="00482869" w:rsidRDefault="00AC7231">
      <w:pPr>
        <w:rPr>
          <w:sz w:val="24"/>
          <w:szCs w:val="24"/>
          <w:lang w:val="es-CO"/>
        </w:rPr>
      </w:pPr>
    </w:p>
    <w:p w14:paraId="6D3AED0B" w14:textId="77777777" w:rsidR="00AC7231" w:rsidRPr="00482869" w:rsidRDefault="00AC7231">
      <w:pPr>
        <w:rPr>
          <w:sz w:val="24"/>
          <w:szCs w:val="24"/>
          <w:lang w:val="es-CO"/>
        </w:rPr>
      </w:pPr>
    </w:p>
    <w:p w14:paraId="08A4B071" w14:textId="77777777" w:rsidR="00AC7231" w:rsidRPr="00482869" w:rsidRDefault="00000000">
      <w:pPr>
        <w:rPr>
          <w:b/>
          <w:sz w:val="24"/>
          <w:szCs w:val="24"/>
          <w:lang w:val="es-CO"/>
        </w:rPr>
      </w:pPr>
      <w:r w:rsidRPr="00482869">
        <w:rPr>
          <w:b/>
          <w:sz w:val="24"/>
          <w:szCs w:val="24"/>
          <w:lang w:val="es-CO"/>
        </w:rPr>
        <w:t>Modelo Estadístico</w:t>
      </w:r>
    </w:p>
    <w:p w14:paraId="311192D4" w14:textId="77777777" w:rsidR="00AC7231" w:rsidRPr="00482869" w:rsidRDefault="00AC7231">
      <w:pPr>
        <w:rPr>
          <w:sz w:val="24"/>
          <w:szCs w:val="24"/>
          <w:lang w:val="es-CO"/>
        </w:rPr>
      </w:pPr>
    </w:p>
    <w:p w14:paraId="0A3A9633" w14:textId="716021AB" w:rsidR="00AC7231" w:rsidRPr="00482869" w:rsidRDefault="00000000">
      <w:pPr>
        <w:rPr>
          <w:sz w:val="24"/>
          <w:szCs w:val="24"/>
          <w:lang w:val="es-CO"/>
        </w:rPr>
      </w:pPr>
      <w:r w:rsidRPr="00482869">
        <w:rPr>
          <w:sz w:val="24"/>
          <w:szCs w:val="24"/>
          <w:lang w:val="es-CO"/>
        </w:rPr>
        <w:t>Para investigar los determinantes de la clasificación de los prestadores de servicios de salud en Colombia, optamos por un modelo lineal mixto generalizado (GLMM). Este modelo nos permitió considerar la naturaleza binaria de la variable de respuesta `</w:t>
      </w:r>
      <w:proofErr w:type="spellStart"/>
      <w:r w:rsidRPr="00482869">
        <w:rPr>
          <w:sz w:val="24"/>
          <w:szCs w:val="24"/>
          <w:lang w:val="es-CO"/>
        </w:rPr>
        <w:t>clase_persona</w:t>
      </w:r>
      <w:proofErr w:type="spellEnd"/>
      <w:r w:rsidRPr="00482869">
        <w:rPr>
          <w:sz w:val="24"/>
          <w:szCs w:val="24"/>
          <w:lang w:val="es-CO"/>
        </w:rPr>
        <w:t xml:space="preserve">`, la cual representa la clasificación del prestador como "NATURAL" (1) o "JURIDICO" (0). El data set fue filtrado con valores donde </w:t>
      </w:r>
      <w:proofErr w:type="spellStart"/>
      <w:r w:rsidRPr="00482869">
        <w:rPr>
          <w:sz w:val="24"/>
          <w:szCs w:val="24"/>
          <w:lang w:val="es-CO"/>
        </w:rPr>
        <w:t>dv</w:t>
      </w:r>
      <w:proofErr w:type="spellEnd"/>
      <w:r w:rsidRPr="00482869">
        <w:rPr>
          <w:sz w:val="24"/>
          <w:szCs w:val="24"/>
          <w:lang w:val="es-CO"/>
        </w:rPr>
        <w:t xml:space="preserve"> era un numero entero y mayor a 0, por lo cual para el </w:t>
      </w:r>
      <w:r w:rsidR="00482869" w:rsidRPr="00482869">
        <w:rPr>
          <w:sz w:val="24"/>
          <w:szCs w:val="24"/>
          <w:lang w:val="es-CO"/>
        </w:rPr>
        <w:t>análisis</w:t>
      </w:r>
      <w:r w:rsidRPr="00482869">
        <w:rPr>
          <w:sz w:val="24"/>
          <w:szCs w:val="24"/>
          <w:lang w:val="es-CO"/>
        </w:rPr>
        <w:t xml:space="preserve"> </w:t>
      </w:r>
      <w:r w:rsidR="00482869" w:rsidRPr="00482869">
        <w:rPr>
          <w:sz w:val="24"/>
          <w:szCs w:val="24"/>
          <w:lang w:val="es-CO"/>
        </w:rPr>
        <w:t>estadístico</w:t>
      </w:r>
      <w:r w:rsidRPr="00482869">
        <w:rPr>
          <w:sz w:val="24"/>
          <w:szCs w:val="24"/>
          <w:lang w:val="es-CO"/>
        </w:rPr>
        <w:t xml:space="preserve"> l</w:t>
      </w:r>
      <w:r w:rsidR="00482869">
        <w:rPr>
          <w:sz w:val="24"/>
          <w:szCs w:val="24"/>
          <w:lang w:val="es-CO"/>
        </w:rPr>
        <w:t>a</w:t>
      </w:r>
      <w:r w:rsidRPr="00482869">
        <w:rPr>
          <w:sz w:val="24"/>
          <w:szCs w:val="24"/>
          <w:lang w:val="es-CO"/>
        </w:rPr>
        <w:t xml:space="preserve"> base </w:t>
      </w:r>
      <w:r w:rsidR="00482869" w:rsidRPr="00482869">
        <w:rPr>
          <w:sz w:val="24"/>
          <w:szCs w:val="24"/>
          <w:lang w:val="es-CO"/>
        </w:rPr>
        <w:t>tenía</w:t>
      </w:r>
      <w:r w:rsidRPr="00482869">
        <w:rPr>
          <w:sz w:val="24"/>
          <w:szCs w:val="24"/>
          <w:lang w:val="es-CO"/>
        </w:rPr>
        <w:t xml:space="preserve"> un tamaño de 41495 observaciones. </w:t>
      </w:r>
    </w:p>
    <w:p w14:paraId="04A0EB70" w14:textId="77777777" w:rsidR="00AC7231" w:rsidRPr="00482869" w:rsidRDefault="00AC7231">
      <w:pPr>
        <w:rPr>
          <w:sz w:val="24"/>
          <w:szCs w:val="24"/>
          <w:lang w:val="es-CO"/>
        </w:rPr>
      </w:pPr>
    </w:p>
    <w:p w14:paraId="2C74D10D" w14:textId="505383EA" w:rsidR="00AC7231" w:rsidRPr="00482869" w:rsidRDefault="00000000">
      <w:pPr>
        <w:rPr>
          <w:sz w:val="24"/>
          <w:szCs w:val="24"/>
          <w:lang w:val="es-CO"/>
        </w:rPr>
      </w:pPr>
      <w:r w:rsidRPr="00482869">
        <w:rPr>
          <w:sz w:val="24"/>
          <w:szCs w:val="24"/>
          <w:lang w:val="es-CO"/>
        </w:rPr>
        <w:t xml:space="preserve"> La variabilidad entre las clasificaciones se modeló en función de la variable </w:t>
      </w:r>
      <w:proofErr w:type="spellStart"/>
      <w:r w:rsidRPr="00482869">
        <w:rPr>
          <w:sz w:val="24"/>
          <w:szCs w:val="24"/>
          <w:lang w:val="es-CO"/>
        </w:rPr>
        <w:t>dv</w:t>
      </w:r>
      <w:proofErr w:type="spellEnd"/>
      <w:r w:rsidRPr="00482869">
        <w:rPr>
          <w:sz w:val="24"/>
          <w:szCs w:val="24"/>
          <w:lang w:val="es-CO"/>
        </w:rPr>
        <w:t xml:space="preserve"> (`digito </w:t>
      </w:r>
      <w:proofErr w:type="spellStart"/>
      <w:r w:rsidRPr="00482869">
        <w:rPr>
          <w:sz w:val="24"/>
          <w:szCs w:val="24"/>
          <w:lang w:val="es-CO"/>
        </w:rPr>
        <w:t>verificacion</w:t>
      </w:r>
      <w:proofErr w:type="spellEnd"/>
      <w:r w:rsidRPr="00482869">
        <w:rPr>
          <w:sz w:val="24"/>
          <w:szCs w:val="24"/>
          <w:lang w:val="es-CO"/>
        </w:rPr>
        <w:t>`) y la duración de la habilitación (`</w:t>
      </w:r>
      <w:proofErr w:type="spellStart"/>
      <w:r w:rsidRPr="00482869">
        <w:rPr>
          <w:sz w:val="24"/>
          <w:szCs w:val="24"/>
          <w:lang w:val="es-CO"/>
        </w:rPr>
        <w:t>periodo_validez</w:t>
      </w:r>
      <w:proofErr w:type="spellEnd"/>
      <w:r w:rsidRPr="00482869">
        <w:rPr>
          <w:sz w:val="24"/>
          <w:szCs w:val="24"/>
          <w:lang w:val="es-CO"/>
        </w:rPr>
        <w:t>`), como efectos fijos que se espera tengan un efecto sistemático en la clasificación del prestador. Además, se incorporó un efecto aleatorio (`</w:t>
      </w:r>
      <w:proofErr w:type="spellStart"/>
      <w:r w:rsidRPr="00482869">
        <w:rPr>
          <w:sz w:val="24"/>
          <w:szCs w:val="24"/>
          <w:lang w:val="es-CO"/>
        </w:rPr>
        <w:t>Region</w:t>
      </w:r>
      <w:proofErr w:type="spellEnd"/>
      <w:r w:rsidRPr="00482869">
        <w:rPr>
          <w:sz w:val="24"/>
          <w:szCs w:val="24"/>
          <w:lang w:val="es-CO"/>
        </w:rPr>
        <w:t xml:space="preserve">`) para discernir la heterogeneidad </w:t>
      </w:r>
      <w:r w:rsidR="00482869" w:rsidRPr="00482869">
        <w:rPr>
          <w:sz w:val="24"/>
          <w:szCs w:val="24"/>
          <w:lang w:val="es-CO"/>
        </w:rPr>
        <w:t>intragrupo</w:t>
      </w:r>
      <w:r w:rsidRPr="00482869">
        <w:rPr>
          <w:sz w:val="24"/>
          <w:szCs w:val="24"/>
          <w:lang w:val="es-CO"/>
        </w:rPr>
        <w:t xml:space="preserve"> ocasionada por diferencias regionales no capturadas por las variables fijas.</w:t>
      </w:r>
    </w:p>
    <w:p w14:paraId="18849D64" w14:textId="77777777" w:rsidR="00AC7231" w:rsidRPr="00482869" w:rsidRDefault="00AC7231">
      <w:pPr>
        <w:rPr>
          <w:sz w:val="24"/>
          <w:szCs w:val="24"/>
          <w:lang w:val="es-CO"/>
        </w:rPr>
      </w:pPr>
    </w:p>
    <w:p w14:paraId="3296CB9D" w14:textId="77777777" w:rsidR="00AC7231" w:rsidRPr="00482869" w:rsidRDefault="00000000">
      <w:pPr>
        <w:rPr>
          <w:sz w:val="24"/>
          <w:szCs w:val="24"/>
          <w:lang w:val="es-CO"/>
        </w:rPr>
      </w:pPr>
      <w:r w:rsidRPr="00482869">
        <w:rPr>
          <w:sz w:val="24"/>
          <w:szCs w:val="24"/>
          <w:lang w:val="es-CO"/>
        </w:rPr>
        <w:t xml:space="preserve">El modelo GLMM con familia binomial y enlace </w:t>
      </w:r>
      <w:proofErr w:type="spellStart"/>
      <w:r w:rsidRPr="00482869">
        <w:rPr>
          <w:sz w:val="24"/>
          <w:szCs w:val="24"/>
          <w:lang w:val="es-CO"/>
        </w:rPr>
        <w:t>logit</w:t>
      </w:r>
      <w:proofErr w:type="spellEnd"/>
      <w:r w:rsidRPr="00482869">
        <w:rPr>
          <w:sz w:val="24"/>
          <w:szCs w:val="24"/>
          <w:lang w:val="es-CO"/>
        </w:rPr>
        <w:t xml:space="preserve"> se eligió debido a su eficacia para datos agrupados y su capacidad para tratar con respuestas dicotómicas. La inclusión de efectos aleatorios atiende la estructura jerárquica de los datos, permitiendo que los </w:t>
      </w:r>
      <w:proofErr w:type="spellStart"/>
      <w:r w:rsidRPr="00482869">
        <w:rPr>
          <w:sz w:val="24"/>
          <w:szCs w:val="24"/>
          <w:lang w:val="es-CO"/>
        </w:rPr>
        <w:t>interceptos</w:t>
      </w:r>
      <w:proofErr w:type="spellEnd"/>
      <w:r w:rsidRPr="00482869">
        <w:rPr>
          <w:sz w:val="24"/>
          <w:szCs w:val="24"/>
          <w:lang w:val="es-CO"/>
        </w:rPr>
        <w:t xml:space="preserve"> varíen por región y reconociendo que cada una posee atributos únicos que podrían influenciar la clasificación del prestador. Este enfoque proporciona una manera robusta y flexible de evaluar el papel que juegan las variables clave, mientras se controla por posibles efectos confusos debido a la agrupación de datos.</w:t>
      </w:r>
    </w:p>
    <w:p w14:paraId="5E0E080C" w14:textId="77777777" w:rsidR="00AC7231" w:rsidRPr="00482869" w:rsidRDefault="00AC7231">
      <w:pPr>
        <w:rPr>
          <w:sz w:val="24"/>
          <w:szCs w:val="24"/>
          <w:lang w:val="es-CO"/>
        </w:rPr>
      </w:pPr>
    </w:p>
    <w:p w14:paraId="5B578F2C" w14:textId="2EDF3349" w:rsidR="00AC7231" w:rsidRPr="00482869" w:rsidRDefault="005A3A9D">
      <w:pPr>
        <w:rPr>
          <w:sz w:val="24"/>
          <w:szCs w:val="24"/>
        </w:rPr>
      </w:pPr>
      <m:oMathPara>
        <m:oMath>
          <m:r>
            <w:rPr>
              <w:rFonts w:ascii="Cambria Math" w:hAnsi="Cambria Math"/>
              <w:sz w:val="24"/>
              <w:szCs w:val="24"/>
            </w:rPr>
            <w:lastRenderedPageBreak/>
            <m:t>log</m:t>
          </m:r>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den>
              </m:f>
            </m:e>
          </m:d>
          <m:r>
            <w:rPr>
              <w:rFonts w:ascii="Cambria Math" w:hAnsi="Cambria Math"/>
              <w:sz w:val="24"/>
              <w:szCs w:val="24"/>
            </w:rPr>
            <m:t xml:space="preserve">= </m:t>
          </m:r>
          <m:r>
            <w:rPr>
              <w:rFonts w:ascii="Microsoft YaHei" w:eastAsia="Microsoft YaHei" w:hAnsi="Microsoft YaHei" w:cs="Microsoft YaHei"/>
              <w:sz w:val="24"/>
              <w:szCs w:val="24"/>
              <w:shd w:val="clear" w:color="auto" w:fill="F3F3F3"/>
            </w:rPr>
            <m:t>0.08 -0.39</m:t>
          </m:r>
          <m:r>
            <w:rPr>
              <w:rFonts w:ascii="Cambria Math" w:eastAsia="Microsoft YaHei" w:hAnsi="Microsoft YaHei" w:cs="Microsoft YaHei"/>
              <w:sz w:val="24"/>
              <w:szCs w:val="24"/>
              <w:shd w:val="clear" w:color="auto" w:fill="F3F3F3"/>
            </w:rPr>
            <m:t>d</m:t>
          </m:r>
          <m:sSub>
            <m:sSubPr>
              <m:ctrlPr>
                <w:rPr>
                  <w:rFonts w:ascii="Cambria Math" w:eastAsia="Microsoft YaHei" w:hAnsi="Microsoft YaHei" w:cs="Microsoft YaHei"/>
                  <w:i/>
                  <w:sz w:val="24"/>
                  <w:szCs w:val="24"/>
                  <w:shd w:val="clear" w:color="auto" w:fill="F3F3F3"/>
                </w:rPr>
              </m:ctrlPr>
            </m:sSubPr>
            <m:e>
              <m:r>
                <w:rPr>
                  <w:rFonts w:ascii="Cambria Math" w:eastAsia="Microsoft YaHei" w:hAnsi="Microsoft YaHei" w:cs="Microsoft YaHei"/>
                  <w:sz w:val="24"/>
                  <w:szCs w:val="24"/>
                  <w:shd w:val="clear" w:color="auto" w:fill="F3F3F3"/>
                </w:rPr>
                <m:t>v</m:t>
              </m:r>
            </m:e>
            <m:sub>
              <m:r>
                <w:rPr>
                  <w:rFonts w:ascii="Cambria Math" w:eastAsia="Microsoft YaHei" w:hAnsi="Microsoft YaHei" w:cs="Microsoft YaHei"/>
                  <w:sz w:val="24"/>
                  <w:szCs w:val="24"/>
                  <w:shd w:val="clear" w:color="auto" w:fill="F3F3F3"/>
                </w:rPr>
                <m:t>i</m:t>
              </m:r>
            </m:sub>
          </m:sSub>
          <m:r>
            <w:rPr>
              <w:rFonts w:ascii="Microsoft YaHei" w:eastAsia="Microsoft YaHei" w:hAnsi="Microsoft YaHei" w:cs="Microsoft YaHei"/>
              <w:sz w:val="24"/>
              <w:szCs w:val="24"/>
              <w:shd w:val="clear" w:color="auto" w:fill="F3F3F3"/>
            </w:rPr>
            <m:t xml:space="preserve"> -0.000127pe</m:t>
          </m:r>
          <m:r>
            <w:rPr>
              <w:rFonts w:ascii="Cambria Math" w:eastAsia="Microsoft YaHei" w:hAnsi="Microsoft YaHei" w:cs="Microsoft YaHei"/>
              <w:sz w:val="24"/>
              <w:szCs w:val="24"/>
              <w:shd w:val="clear" w:color="auto" w:fill="F3F3F3"/>
            </w:rPr>
            <m:t>r</m:t>
          </m:r>
          <m:r>
            <w:rPr>
              <w:rFonts w:ascii="Microsoft YaHei" w:eastAsia="Microsoft YaHei" w:hAnsi="Microsoft YaHei" w:cs="Microsoft YaHei"/>
              <w:sz w:val="24"/>
              <w:szCs w:val="24"/>
              <w:shd w:val="clear" w:color="auto" w:fill="F3F3F3"/>
            </w:rPr>
            <m:t>Valide</m:t>
          </m:r>
          <m:sSub>
            <m:sSubPr>
              <m:ctrlPr>
                <w:rPr>
                  <w:rFonts w:ascii="Microsoft YaHei" w:eastAsia="Microsoft YaHei" w:hAnsi="Microsoft YaHei" w:cs="Microsoft YaHei"/>
                  <w:sz w:val="24"/>
                  <w:szCs w:val="24"/>
                  <w:shd w:val="clear" w:color="auto" w:fill="F3F3F3"/>
                </w:rPr>
              </m:ctrlPr>
            </m:sSubPr>
            <m:e>
              <m:sSub>
                <m:sSubPr>
                  <m:ctrlPr>
                    <w:rPr>
                      <w:rFonts w:ascii="Microsoft YaHei" w:eastAsia="Microsoft YaHei" w:hAnsi="Microsoft YaHei" w:cs="Microsoft YaHei"/>
                      <w:sz w:val="24"/>
                      <w:szCs w:val="24"/>
                      <w:shd w:val="clear" w:color="auto" w:fill="F3F3F3"/>
                    </w:rPr>
                  </m:ctrlPr>
                </m:sSubPr>
                <m:e>
                  <m:r>
                    <w:rPr>
                      <w:rFonts w:ascii="Microsoft YaHei" w:eastAsia="Microsoft YaHei" w:hAnsi="Microsoft YaHei" w:cs="Microsoft YaHei"/>
                      <w:sz w:val="24"/>
                      <w:szCs w:val="24"/>
                      <w:shd w:val="clear" w:color="auto" w:fill="F3F3F3"/>
                    </w:rPr>
                    <m:t>z</m:t>
                  </m:r>
                </m:e>
                <m:sub>
                  <m:r>
                    <w:rPr>
                      <w:rFonts w:ascii="Microsoft YaHei" w:eastAsia="Microsoft YaHei" w:hAnsi="Microsoft YaHei" w:cs="Microsoft YaHei"/>
                      <w:sz w:val="24"/>
                      <w:szCs w:val="24"/>
                      <w:shd w:val="clear" w:color="auto" w:fill="F3F3F3"/>
                    </w:rPr>
                    <m:t>i</m:t>
                  </m:r>
                </m:sub>
              </m:sSub>
            </m:e>
            <m:sub/>
          </m:sSub>
          <m:r>
            <w:rPr>
              <w:rFonts w:ascii="Microsoft YaHei" w:eastAsia="Microsoft YaHei" w:hAnsi="Microsoft YaHei" w:cs="Microsoft YaHei"/>
              <w:sz w:val="24"/>
              <w:szCs w:val="24"/>
              <w:shd w:val="clear" w:color="auto" w:fill="F3F3F3"/>
            </w:rPr>
            <m:t>+</m:t>
          </m:r>
          <m:r>
            <w:rPr>
              <w:rFonts w:ascii="Cambria Math" w:eastAsia="Microsoft YaHei" w:hAnsi="Microsoft YaHei" w:cs="Microsoft YaHei"/>
              <w:sz w:val="24"/>
              <w:szCs w:val="24"/>
              <w:shd w:val="clear" w:color="auto" w:fill="F3F3F3"/>
            </w:rPr>
            <m:t>Regio</m:t>
          </m:r>
          <m:sSub>
            <m:sSubPr>
              <m:ctrlPr>
                <w:rPr>
                  <w:rFonts w:ascii="Cambria Math" w:eastAsia="Microsoft YaHei" w:hAnsi="Microsoft YaHei" w:cs="Microsoft YaHei"/>
                  <w:i/>
                  <w:sz w:val="24"/>
                  <w:szCs w:val="24"/>
                  <w:shd w:val="clear" w:color="auto" w:fill="F3F3F3"/>
                  <w:lang w:val="en-US"/>
                </w:rPr>
              </m:ctrlPr>
            </m:sSubPr>
            <m:e>
              <m:r>
                <w:rPr>
                  <w:rFonts w:ascii="Cambria Math" w:eastAsia="Microsoft YaHei" w:hAnsi="Microsoft YaHei" w:cs="Microsoft YaHei"/>
                  <w:sz w:val="24"/>
                  <w:szCs w:val="24"/>
                  <w:shd w:val="clear" w:color="auto" w:fill="F3F3F3"/>
                </w:rPr>
                <m:t>n</m:t>
              </m:r>
              <m:ctrlPr>
                <w:rPr>
                  <w:rFonts w:ascii="Cambria Math" w:eastAsia="Microsoft YaHei" w:hAnsi="Microsoft YaHei" w:cs="Microsoft YaHei"/>
                  <w:i/>
                  <w:sz w:val="24"/>
                  <w:szCs w:val="24"/>
                  <w:shd w:val="clear" w:color="auto" w:fill="F3F3F3"/>
                </w:rPr>
              </m:ctrlPr>
            </m:e>
            <m:sub>
              <m:r>
                <w:rPr>
                  <w:rFonts w:ascii="Cambria Math" w:eastAsia="Microsoft YaHei" w:hAnsi="Microsoft YaHei" w:cs="Microsoft YaHei"/>
                  <w:sz w:val="24"/>
                  <w:szCs w:val="24"/>
                  <w:shd w:val="clear" w:color="auto" w:fill="F3F3F3"/>
                </w:rPr>
                <m:t>j</m:t>
              </m:r>
            </m:sub>
          </m:sSub>
        </m:oMath>
      </m:oMathPara>
    </w:p>
    <w:p w14:paraId="491C6A85" w14:textId="77777777" w:rsidR="00AC7231" w:rsidRPr="00482869" w:rsidRDefault="00AC7231">
      <w:pPr>
        <w:rPr>
          <w:sz w:val="24"/>
          <w:szCs w:val="24"/>
        </w:rPr>
      </w:pPr>
    </w:p>
    <w:p w14:paraId="622F3A7E" w14:textId="10B97B11" w:rsidR="00AC7231" w:rsidRPr="00482869" w:rsidRDefault="00000000">
      <w:pPr>
        <w:rPr>
          <w:sz w:val="24"/>
          <w:szCs w:val="24"/>
          <w:lang w:val="es-CO"/>
        </w:rPr>
      </w:pPr>
      <w:r w:rsidRPr="00482869">
        <w:rPr>
          <w:sz w:val="24"/>
          <w:szCs w:val="24"/>
          <w:lang w:val="es-CO"/>
        </w:rPr>
        <w:t xml:space="preserve">El intercepto y los coeficientes para </w:t>
      </w:r>
      <w:proofErr w:type="spellStart"/>
      <w:r w:rsidRPr="00482869">
        <w:rPr>
          <w:sz w:val="24"/>
          <w:szCs w:val="24"/>
          <w:lang w:val="es-CO"/>
        </w:rPr>
        <w:t>dv</w:t>
      </w:r>
      <w:proofErr w:type="spellEnd"/>
      <w:r w:rsidRPr="00482869">
        <w:rPr>
          <w:sz w:val="24"/>
          <w:szCs w:val="24"/>
          <w:lang w:val="es-CO"/>
        </w:rPr>
        <w:t xml:space="preserve"> y </w:t>
      </w:r>
      <w:proofErr w:type="spellStart"/>
      <w:r w:rsidRPr="00482869">
        <w:rPr>
          <w:sz w:val="24"/>
          <w:szCs w:val="24"/>
          <w:lang w:val="es-CO"/>
        </w:rPr>
        <w:t>periodo_validez</w:t>
      </w:r>
      <w:proofErr w:type="spellEnd"/>
      <w:r w:rsidRPr="00482869">
        <w:rPr>
          <w:sz w:val="24"/>
          <w:szCs w:val="24"/>
          <w:lang w:val="es-CO"/>
        </w:rPr>
        <w:t xml:space="preserve"> resultaron ser estadísticamente significativos, dado que los valores p asociados son menores que el umbral aceptado de 0.05, lo que sugiere una relación importante de estas variables con la probabilidad de ser un prestador de tipo "NATURAL". Además, la inclusión de </w:t>
      </w:r>
      <w:r w:rsidR="00482869" w:rsidRPr="00482869">
        <w:rPr>
          <w:sz w:val="24"/>
          <w:szCs w:val="24"/>
          <w:lang w:val="es-CO"/>
        </w:rPr>
        <w:t>Región</w:t>
      </w:r>
      <w:r w:rsidRPr="00482869">
        <w:rPr>
          <w:sz w:val="24"/>
          <w:szCs w:val="24"/>
          <w:lang w:val="es-CO"/>
        </w:rPr>
        <w:t xml:space="preserve"> como un efecto aleatorio refleja la variación en la clasificación de </w:t>
      </w:r>
      <w:proofErr w:type="spellStart"/>
      <w:r w:rsidRPr="00482869">
        <w:rPr>
          <w:sz w:val="24"/>
          <w:szCs w:val="24"/>
          <w:lang w:val="es-CO"/>
        </w:rPr>
        <w:t>clase_persona</w:t>
      </w:r>
      <w:proofErr w:type="spellEnd"/>
      <w:r w:rsidRPr="00482869">
        <w:rPr>
          <w:sz w:val="24"/>
          <w:szCs w:val="24"/>
          <w:lang w:val="es-CO"/>
        </w:rPr>
        <w:t xml:space="preserve"> entre regiones, capturando la influencia de factores regionales. La variabilidad </w:t>
      </w:r>
      <w:proofErr w:type="spellStart"/>
      <w:r w:rsidRPr="00482869">
        <w:rPr>
          <w:sz w:val="24"/>
          <w:szCs w:val="24"/>
          <w:lang w:val="es-CO"/>
        </w:rPr>
        <w:t>intra-clase</w:t>
      </w:r>
      <w:proofErr w:type="spellEnd"/>
      <w:r w:rsidRPr="00482869">
        <w:rPr>
          <w:sz w:val="24"/>
          <w:szCs w:val="24"/>
          <w:lang w:val="es-CO"/>
        </w:rPr>
        <w:t xml:space="preserve"> asociada con las regiones destaca la presencia de heterogeneidad entre las áreas geográficas analizadas. Estos resultados brindan una base cuantitativa para entender cómo determinados factores económicos y regionales influyen en la categoría de los prestadores de servicios de salud en Colombia.</w:t>
      </w:r>
    </w:p>
    <w:p w14:paraId="48E3ED3B" w14:textId="77777777" w:rsidR="00AC7231" w:rsidRPr="00482869" w:rsidRDefault="00AC7231">
      <w:pPr>
        <w:rPr>
          <w:sz w:val="24"/>
          <w:szCs w:val="24"/>
          <w:lang w:val="es-CO"/>
        </w:rPr>
      </w:pPr>
    </w:p>
    <w:p w14:paraId="6B10DB21" w14:textId="77777777" w:rsidR="00AC7231" w:rsidRPr="00482869" w:rsidRDefault="00AC7231">
      <w:pPr>
        <w:rPr>
          <w:sz w:val="24"/>
          <w:szCs w:val="24"/>
          <w:lang w:val="es-CO"/>
        </w:rPr>
      </w:pPr>
    </w:p>
    <w:p w14:paraId="00B37402" w14:textId="77777777" w:rsidR="00AC7231" w:rsidRPr="00482869" w:rsidRDefault="00000000">
      <w:pPr>
        <w:rPr>
          <w:b/>
          <w:sz w:val="24"/>
          <w:szCs w:val="24"/>
          <w:lang w:val="es-CO"/>
        </w:rPr>
      </w:pPr>
      <w:r w:rsidRPr="00482869">
        <w:rPr>
          <w:b/>
          <w:sz w:val="24"/>
          <w:szCs w:val="24"/>
          <w:lang w:val="es-CO"/>
        </w:rPr>
        <w:t>Conclusiones</w:t>
      </w:r>
    </w:p>
    <w:p w14:paraId="7F761D4E" w14:textId="77777777" w:rsidR="00AC7231" w:rsidRPr="00482869" w:rsidRDefault="00AC7231">
      <w:pPr>
        <w:rPr>
          <w:b/>
          <w:sz w:val="24"/>
          <w:szCs w:val="24"/>
          <w:lang w:val="es-CO"/>
        </w:rPr>
      </w:pPr>
    </w:p>
    <w:p w14:paraId="714F3C75" w14:textId="77777777" w:rsidR="00AC7231" w:rsidRPr="00482869" w:rsidRDefault="00000000">
      <w:pPr>
        <w:rPr>
          <w:sz w:val="24"/>
          <w:szCs w:val="24"/>
          <w:lang w:val="es-CO"/>
        </w:rPr>
      </w:pPr>
      <w:r w:rsidRPr="00482869">
        <w:rPr>
          <w:sz w:val="24"/>
          <w:szCs w:val="24"/>
          <w:lang w:val="es-CO"/>
        </w:rPr>
        <w:t>El dígito de verificación implica que a medida que este incrementa, la probabilidad de que un prestador sea clasificado como "NATURAL" disminuye, lo que podría interpretarse como que un dígito de verificación más alto está más comúnmente asociado con entidades jurídicas que con individuos.</w:t>
      </w:r>
    </w:p>
    <w:p w14:paraId="07CF5B4E" w14:textId="77777777" w:rsidR="00AC7231" w:rsidRPr="00482869" w:rsidRDefault="00AC7231">
      <w:pPr>
        <w:rPr>
          <w:sz w:val="24"/>
          <w:szCs w:val="24"/>
          <w:lang w:val="es-CO"/>
        </w:rPr>
      </w:pPr>
    </w:p>
    <w:p w14:paraId="38EE6A1F" w14:textId="07AB832A" w:rsidR="00AC7231" w:rsidRPr="00482869" w:rsidRDefault="00482869">
      <w:pPr>
        <w:rPr>
          <w:sz w:val="24"/>
          <w:szCs w:val="24"/>
          <w:lang w:val="es-CO"/>
        </w:rPr>
      </w:pPr>
      <w:r w:rsidRPr="00482869">
        <w:rPr>
          <w:sz w:val="24"/>
          <w:szCs w:val="24"/>
          <w:lang w:val="es-CO"/>
        </w:rPr>
        <w:t xml:space="preserve">Según el modelo, el periodo de validez sugiere que cuanto más larga es la duración de la habilitación o licencia otorgada a un prestador de servicios de salud, mayor es la probabilidad de que este sea clasificado como un individuo "NATURAL". </w:t>
      </w:r>
    </w:p>
    <w:p w14:paraId="2D69F63D" w14:textId="77777777" w:rsidR="00AC7231" w:rsidRPr="00482869" w:rsidRDefault="00AC7231">
      <w:pPr>
        <w:rPr>
          <w:sz w:val="24"/>
          <w:szCs w:val="24"/>
          <w:lang w:val="es-CO"/>
        </w:rPr>
      </w:pPr>
    </w:p>
    <w:p w14:paraId="551846DE" w14:textId="77777777" w:rsidR="00AC7231" w:rsidRPr="00482869" w:rsidRDefault="00000000">
      <w:pPr>
        <w:rPr>
          <w:sz w:val="24"/>
          <w:szCs w:val="24"/>
          <w:lang w:val="es-CO"/>
        </w:rPr>
      </w:pPr>
      <w:r w:rsidRPr="00482869">
        <w:rPr>
          <w:sz w:val="24"/>
          <w:szCs w:val="24"/>
          <w:lang w:val="es-CO"/>
        </w:rPr>
        <w:t>La variabilidad geográfica impacta significativamente la clasificación de los prestadores, lo que sugiere que las políticas de salud y la regulación pueden necesitar ser contextualizadas a las realidades regionales.</w:t>
      </w:r>
    </w:p>
    <w:p w14:paraId="1F63A225" w14:textId="77777777" w:rsidR="00AC7231" w:rsidRPr="00482869" w:rsidRDefault="00AC7231">
      <w:pPr>
        <w:rPr>
          <w:sz w:val="24"/>
          <w:szCs w:val="24"/>
          <w:lang w:val="es-CO"/>
        </w:rPr>
      </w:pPr>
    </w:p>
    <w:p w14:paraId="4C5023B5" w14:textId="77777777" w:rsidR="00AC7231" w:rsidRDefault="00AC7231">
      <w:pPr>
        <w:rPr>
          <w:sz w:val="24"/>
          <w:szCs w:val="24"/>
          <w:lang w:val="es-CO"/>
        </w:rPr>
      </w:pPr>
    </w:p>
    <w:p w14:paraId="2DBE3F2A" w14:textId="77777777" w:rsidR="00482869" w:rsidRPr="00482869" w:rsidRDefault="00482869">
      <w:pPr>
        <w:rPr>
          <w:sz w:val="24"/>
          <w:szCs w:val="24"/>
          <w:lang w:val="es-CO"/>
        </w:rPr>
      </w:pPr>
    </w:p>
    <w:p w14:paraId="3976AE6C" w14:textId="77777777" w:rsidR="00AC7231" w:rsidRPr="00482869" w:rsidRDefault="00000000">
      <w:pPr>
        <w:rPr>
          <w:sz w:val="24"/>
          <w:szCs w:val="24"/>
          <w:lang w:val="es-CO"/>
        </w:rPr>
      </w:pPr>
      <w:r w:rsidRPr="00482869">
        <w:rPr>
          <w:sz w:val="24"/>
          <w:szCs w:val="24"/>
          <w:lang w:val="es-CO"/>
        </w:rPr>
        <w:lastRenderedPageBreak/>
        <w:t>Fuente de Repositorio</w:t>
      </w:r>
    </w:p>
    <w:p w14:paraId="190E2CA5" w14:textId="77777777" w:rsidR="00AC7231" w:rsidRPr="00482869" w:rsidRDefault="00AC7231">
      <w:pPr>
        <w:rPr>
          <w:sz w:val="24"/>
          <w:szCs w:val="24"/>
          <w:lang w:val="es-CO"/>
        </w:rPr>
      </w:pPr>
    </w:p>
    <w:p w14:paraId="4FD36D63" w14:textId="77777777" w:rsidR="00AC7231" w:rsidRPr="00482869" w:rsidRDefault="00000000">
      <w:pPr>
        <w:rPr>
          <w:sz w:val="24"/>
          <w:szCs w:val="24"/>
          <w:lang w:val="es-CO"/>
        </w:rPr>
      </w:pPr>
      <w:r w:rsidRPr="00482869">
        <w:rPr>
          <w:sz w:val="24"/>
          <w:szCs w:val="24"/>
          <w:lang w:val="es-CO"/>
        </w:rPr>
        <w:t>https://github.com/cdcristbo/ADRES.git</w:t>
      </w:r>
    </w:p>
    <w:sectPr w:rsidR="00AC7231" w:rsidRPr="00482869" w:rsidSect="00583330">
      <w:headerReference w:type="default" r:id="rId9"/>
      <w:footerReference w:type="default" r:id="rId10"/>
      <w:pgSz w:w="12240" w:h="15840"/>
      <w:pgMar w:top="216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7E9EA" w14:textId="77777777" w:rsidR="00583330" w:rsidRDefault="00583330" w:rsidP="00482869">
      <w:pPr>
        <w:spacing w:line="240" w:lineRule="auto"/>
      </w:pPr>
      <w:r>
        <w:separator/>
      </w:r>
    </w:p>
  </w:endnote>
  <w:endnote w:type="continuationSeparator" w:id="0">
    <w:p w14:paraId="7C814C8C" w14:textId="77777777" w:rsidR="00583330" w:rsidRDefault="00583330" w:rsidP="00482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20A6" w14:textId="67280347" w:rsidR="00482869" w:rsidRPr="00482869" w:rsidRDefault="00482869">
    <w:pPr>
      <w:pStyle w:val="Footer"/>
      <w:rPr>
        <w:lang w:val="en-US"/>
      </w:rPr>
    </w:pPr>
    <w:r>
      <w:rPr>
        <w:lang w:val="en-US"/>
      </w:rPr>
      <w:t>Carlos Cristiano ccristbo@umich.edu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68DE3" w14:textId="77777777" w:rsidR="00583330" w:rsidRDefault="00583330" w:rsidP="00482869">
      <w:pPr>
        <w:spacing w:line="240" w:lineRule="auto"/>
      </w:pPr>
      <w:r>
        <w:separator/>
      </w:r>
    </w:p>
  </w:footnote>
  <w:footnote w:type="continuationSeparator" w:id="0">
    <w:p w14:paraId="3AF41827" w14:textId="77777777" w:rsidR="00583330" w:rsidRDefault="00583330" w:rsidP="004828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40775" w14:textId="25A65B5F" w:rsidR="00482869" w:rsidRDefault="0048286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A0C1251" wp14:editId="3C27A03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1E7CC" w14:textId="77777777" w:rsidR="00482869" w:rsidRDefault="0048286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0C1251"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F81E7CC" w14:textId="77777777" w:rsidR="00482869" w:rsidRDefault="0048286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231"/>
    <w:rsid w:val="00482869"/>
    <w:rsid w:val="00583330"/>
    <w:rsid w:val="005A3A9D"/>
    <w:rsid w:val="005D08CF"/>
    <w:rsid w:val="00AC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42B6D"/>
  <w15:docId w15:val="{0562853A-5929-47FC-AA1F-418693B5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82869"/>
    <w:pPr>
      <w:tabs>
        <w:tab w:val="center" w:pos="4680"/>
        <w:tab w:val="right" w:pos="9360"/>
      </w:tabs>
      <w:spacing w:line="240" w:lineRule="auto"/>
    </w:pPr>
  </w:style>
  <w:style w:type="character" w:customStyle="1" w:styleId="HeaderChar">
    <w:name w:val="Header Char"/>
    <w:basedOn w:val="DefaultParagraphFont"/>
    <w:link w:val="Header"/>
    <w:uiPriority w:val="99"/>
    <w:rsid w:val="00482869"/>
  </w:style>
  <w:style w:type="paragraph" w:styleId="Footer">
    <w:name w:val="footer"/>
    <w:basedOn w:val="Normal"/>
    <w:link w:val="FooterChar"/>
    <w:uiPriority w:val="99"/>
    <w:unhideWhenUsed/>
    <w:rsid w:val="00482869"/>
    <w:pPr>
      <w:tabs>
        <w:tab w:val="center" w:pos="4680"/>
        <w:tab w:val="right" w:pos="9360"/>
      </w:tabs>
      <w:spacing w:line="240" w:lineRule="auto"/>
    </w:pPr>
  </w:style>
  <w:style w:type="character" w:customStyle="1" w:styleId="FooterChar">
    <w:name w:val="Footer Char"/>
    <w:basedOn w:val="DefaultParagraphFont"/>
    <w:link w:val="Footer"/>
    <w:uiPriority w:val="99"/>
    <w:rsid w:val="0048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863</Words>
  <Characters>5001</Characters>
  <Application>Microsoft Office Word</Application>
  <DocSecurity>0</DocSecurity>
  <Lines>135</Lines>
  <Paragraphs>24</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ccristbo</dc:creator>
  <cp:lastModifiedBy>Cristiano Botia, Carlos Dario</cp:lastModifiedBy>
  <cp:revision>3</cp:revision>
  <dcterms:created xsi:type="dcterms:W3CDTF">2024-04-09T04:16:00Z</dcterms:created>
  <dcterms:modified xsi:type="dcterms:W3CDTF">2024-04-09T04:25:00Z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b2310901fb8d86f80e7f821b0a6ca29b6d3839358f94672c49e3eb620dfe6c3f</vt:lpwstr>
  </property>
</Properties>
</file>