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58F59" w14:textId="3FF73D58" w:rsidR="0069009D" w:rsidRDefault="00A64CEE">
      <w:r>
        <w:rPr>
          <w:b/>
          <w:u w:val="single"/>
        </w:rPr>
        <w:t xml:space="preserve">S&amp;P 500: </w:t>
      </w:r>
      <w:bookmarkStart w:id="0" w:name="_GoBack"/>
      <w:bookmarkEnd w:id="0"/>
    </w:p>
    <w:p w14:paraId="0D4939A7" w14:textId="6AA46B36" w:rsidR="0069009D" w:rsidRDefault="00A64CEE">
      <w:pPr>
        <w:ind w:left="5040" w:firstLine="720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FCF6374" wp14:editId="1227269F">
            <wp:simplePos x="0" y="0"/>
            <wp:positionH relativeFrom="column">
              <wp:posOffset>-962024</wp:posOffset>
            </wp:positionH>
            <wp:positionV relativeFrom="paragraph">
              <wp:posOffset>180975</wp:posOffset>
            </wp:positionV>
            <wp:extent cx="4614863" cy="2950850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295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3579DC" w14:textId="07F62814" w:rsidR="0069009D" w:rsidRDefault="004D7C3F" w:rsidP="004D7C3F">
      <w:pPr>
        <w:ind w:left="50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D249C2" wp14:editId="62E1BD0B">
                <wp:simplePos x="0" y="0"/>
                <wp:positionH relativeFrom="column">
                  <wp:posOffset>3562350</wp:posOffset>
                </wp:positionH>
                <wp:positionV relativeFrom="paragraph">
                  <wp:posOffset>220980</wp:posOffset>
                </wp:positionV>
                <wp:extent cx="308610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B8D9" w14:textId="6A176B9D" w:rsidR="004D7C3F" w:rsidRDefault="004D7C3F">
                            <w:r>
                              <w:t>We chose the SPDR S&amp;P500 ETF Trust (SPY) as our passive ETF. Beta for SPY is .99, making the ETF relatively lower risk than the market. It also has a low expense ratio of 0.09%, making it an ideal passive ETF. We picked Vanguard 500 Index Fund Investor Shares (VFINX) as our passive mutual fund, which has an expense ratio of 0.14% and a beta of 1.00. With such a small tracking error, VFINX actively tracks the market closely with similar proportions as the S&amp;P 500 index.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D249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0.5pt;margin-top:17.4pt;width:24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">
                <v:textbox style="mso-fit-shape-to-text:t">
                  <w:txbxContent>
                    <w:p w14:paraId="3678B8D9" w14:textId="6A176B9D" w:rsidR="004D7C3F" w:rsidRDefault="004D7C3F">
                      <w:r>
                        <w:t>We chose the SPDR S&amp;P500 ETF Trust (SPY) as our passive ETF. Beta for SPY is .99, making the ETF relatively lower risk than the market. It also has a low expense ratio of 0.09%, making it an ideal passive ETF. We picked Vanguard 500 Index Fund Investor Shares (VFINX) as our passive mutual fund, which has an expense ratio of 0.14% and a beta of 1.00. With such a small tracking error, VFINX actively tracks the market closely with similar proportions as the S&amp;P 500 index.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90BD9F" w14:textId="79576E80" w:rsidR="0069009D" w:rsidRDefault="0069009D"/>
    <w:p w14:paraId="3CDB6263" w14:textId="475A490E" w:rsidR="004D7C3F" w:rsidRDefault="004D7C3F"/>
    <w:p w14:paraId="26C7484B" w14:textId="70B38E88" w:rsidR="0069009D" w:rsidRDefault="0069009D"/>
    <w:p w14:paraId="462D1C51" w14:textId="290B01B2" w:rsidR="0069009D" w:rsidRDefault="004D7C3F">
      <w:pPr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3014E33" wp14:editId="0459DA93">
            <wp:simplePos x="0" y="0"/>
            <wp:positionH relativeFrom="column">
              <wp:posOffset>-914400</wp:posOffset>
            </wp:positionH>
            <wp:positionV relativeFrom="paragraph">
              <wp:posOffset>318135</wp:posOffset>
            </wp:positionV>
            <wp:extent cx="4473575" cy="2952750"/>
            <wp:effectExtent l="0" t="0" r="3175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7D3F88" wp14:editId="1C160D86">
                <wp:simplePos x="0" y="0"/>
                <wp:positionH relativeFrom="column">
                  <wp:posOffset>3560445</wp:posOffset>
                </wp:positionH>
                <wp:positionV relativeFrom="paragraph">
                  <wp:posOffset>323215</wp:posOffset>
                </wp:positionV>
                <wp:extent cx="3086100" cy="1404620"/>
                <wp:effectExtent l="0" t="0" r="1905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0A66E" w14:textId="7916EA38" w:rsidR="004D7C3F" w:rsidRDefault="004D7C3F" w:rsidP="004D7C3F">
                            <w:r>
                              <w:t>We chose the SPDR Dow Jones Industrial Average ETF (DIA), which is the largest ETF tracking the DJIA since 1998. Its expense ratio is .17%, and has a beta of .97, making it low risk. Since DIA has been accurately tracking the DJIA for a long time, it’s theoretically less volatile. For a passive mutual fund, we chose Vanguard Total Stock Market Index Fund Investor Shares (VTSMX), which has an expense ratio of 0.14% and a beta of 1.02, meaning it is a bit higher risk when compared to the market. While it does not track the Dow perfectly, it contains several Dogs of the Dow, which makes up almost 20% of the portfolio.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7D3F88" id="_x0000_s1027" type="#_x0000_t202" style="position:absolute;margin-left:280.35pt;margin-top:25.45pt;width:24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">
                <v:textbox style="mso-fit-shape-to-text:t">
                  <w:txbxContent>
                    <w:p w14:paraId="1AD0A66E" w14:textId="7916EA38" w:rsidR="004D7C3F" w:rsidRDefault="004D7C3F" w:rsidP="004D7C3F">
                      <w:r>
                        <w:t>We chose the SPDR Dow Jones Industrial Average ETF (DIA), which is the largest ETF tracking the DJIA since 1998. Its expense ratio is .17%, and has a beta of .97, making it low risk. Since DIA has been accurately tracking the DJIA for a long time, it’s theoretically less volatile. For a passive mutual fund, we chose Vanguard Total Stock Market Index Fund Investor Shares (VTSMX), which has an expense ratio of 0.14% and a beta of 1.02, meaning it is a bit higher risk when compared to the market. While it does not track the Dow perfectly, it contains several Dogs of the Dow, which makes up almost 20% of the portfolio.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4CEE">
        <w:rPr>
          <w:b/>
          <w:u w:val="single"/>
        </w:rPr>
        <w:t>Dow Jones:</w:t>
      </w:r>
    </w:p>
    <w:p w14:paraId="4BA43CAC" w14:textId="0622F9FF" w:rsidR="0069009D" w:rsidRDefault="00A64CEE">
      <w:pPr>
        <w:ind w:left="5760"/>
      </w:pPr>
      <w:r>
        <w:t xml:space="preserve">  </w:t>
      </w:r>
    </w:p>
    <w:p w14:paraId="06DD4EC8" w14:textId="77777777" w:rsidR="004D7C3F" w:rsidRDefault="004D7C3F">
      <w:pPr>
        <w:ind w:left="576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2745"/>
        <w:gridCol w:w="3120"/>
      </w:tblGrid>
      <w:tr w:rsidR="0069009D" w14:paraId="4D2E3FC8" w14:textId="77777777">
        <w:trPr>
          <w:trHeight w:val="300"/>
        </w:trPr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865E0" w14:textId="77777777" w:rsidR="0069009D" w:rsidRDefault="00690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48F3" w14:textId="77777777" w:rsidR="0069009D" w:rsidRDefault="00A64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Deviation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04E73" w14:textId="77777777" w:rsidR="0069009D" w:rsidRDefault="00A64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</w:t>
            </w:r>
          </w:p>
        </w:tc>
      </w:tr>
      <w:tr w:rsidR="0069009D" w14:paraId="3DBAACD5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C9BB" w14:textId="77777777" w:rsidR="0069009D" w:rsidRDefault="00A64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 Jones Industrial Average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B7E5" w14:textId="77777777" w:rsidR="0069009D" w:rsidRDefault="00A64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0.1286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7F12" w14:textId="77777777" w:rsidR="0069009D" w:rsidRDefault="00A64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170.8%</w:t>
            </w:r>
          </w:p>
        </w:tc>
      </w:tr>
      <w:tr w:rsidR="0069009D" w14:paraId="7590E957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324F" w14:textId="77777777" w:rsidR="0069009D" w:rsidRDefault="00A64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S&amp;P 500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CCC1" w14:textId="77777777" w:rsidR="0069009D" w:rsidRDefault="00A64CE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0.0543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C99B" w14:textId="77777777" w:rsidR="0069009D" w:rsidRDefault="00A64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175.6%</w:t>
            </w:r>
          </w:p>
        </w:tc>
      </w:tr>
    </w:tbl>
    <w:p w14:paraId="16AD463A" w14:textId="74EA98BF" w:rsidR="004D7C3F" w:rsidRPr="004D7C3F" w:rsidRDefault="00A64CEE">
      <w:pPr>
        <w:rPr>
          <w:sz w:val="18"/>
          <w:szCs w:val="18"/>
        </w:rPr>
      </w:pPr>
      <w:r>
        <w:rPr>
          <w:sz w:val="18"/>
          <w:szCs w:val="18"/>
        </w:rPr>
        <w:t>Table represents holding period of 10 years</w:t>
      </w:r>
    </w:p>
    <w:sectPr w:rsidR="004D7C3F" w:rsidRPr="004D7C3F"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6FBB2" w14:textId="77777777" w:rsidR="00A64CEE" w:rsidRDefault="00A64CEE">
      <w:pPr>
        <w:spacing w:line="240" w:lineRule="auto"/>
      </w:pPr>
      <w:r>
        <w:separator/>
      </w:r>
    </w:p>
  </w:endnote>
  <w:endnote w:type="continuationSeparator" w:id="0">
    <w:p w14:paraId="22B9F631" w14:textId="77777777" w:rsidR="00A64CEE" w:rsidRDefault="00A64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84C38" w14:textId="77777777" w:rsidR="00A64CEE" w:rsidRDefault="00A64CEE">
      <w:pPr>
        <w:spacing w:line="240" w:lineRule="auto"/>
      </w:pPr>
      <w:r>
        <w:separator/>
      </w:r>
    </w:p>
  </w:footnote>
  <w:footnote w:type="continuationSeparator" w:id="0">
    <w:p w14:paraId="788B426B" w14:textId="77777777" w:rsidR="00A64CEE" w:rsidRDefault="00A64C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DA69C" w14:textId="77777777" w:rsidR="0069009D" w:rsidRDefault="00A64CEE">
    <w:pPr>
      <w:jc w:val="center"/>
    </w:pPr>
    <w:r>
      <w:t xml:space="preserve">Homework #1 </w:t>
    </w:r>
  </w:p>
  <w:p w14:paraId="3D7D637F" w14:textId="2D788DF8" w:rsidR="0069009D" w:rsidRDefault="00A64CEE">
    <w:pPr>
      <w:jc w:val="center"/>
    </w:pPr>
    <w:r>
      <w:t>Dandi Chen, Derrick Hung, Puja Subramaniam</w:t>
    </w:r>
  </w:p>
  <w:p w14:paraId="04EB2915" w14:textId="467DD811" w:rsidR="004D7C3F" w:rsidRDefault="004D7C3F">
    <w:pPr>
      <w:jc w:val="center"/>
    </w:pPr>
    <w:r>
      <w:t xml:space="preserve">Link to Code: </w:t>
    </w:r>
    <w:hyperlink r:id="rId1" w:history="1">
      <w:r>
        <w:rPr>
          <w:rStyle w:val="Hyperlink"/>
        </w:rPr>
        <w:t>https://github.com/cdd6689/Finance_HW_1/tree/master</w:t>
      </w:r>
    </w:hyperlink>
  </w:p>
  <w:p w14:paraId="4CBC6061" w14:textId="77777777" w:rsidR="004D7C3F" w:rsidRDefault="004D7C3F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9D"/>
    <w:rsid w:val="004D7C3F"/>
    <w:rsid w:val="0069009D"/>
    <w:rsid w:val="00A6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00BC"/>
  <w15:docId w15:val="{7DBAE328-60A9-4E2D-9175-4C3BB5D3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7C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C3F"/>
  </w:style>
  <w:style w:type="paragraph" w:styleId="Footer">
    <w:name w:val="footer"/>
    <w:basedOn w:val="Normal"/>
    <w:link w:val="FooterChar"/>
    <w:uiPriority w:val="99"/>
    <w:unhideWhenUsed/>
    <w:rsid w:val="004D7C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C3F"/>
  </w:style>
  <w:style w:type="character" w:styleId="Hyperlink">
    <w:name w:val="Hyperlink"/>
    <w:basedOn w:val="DefaultParagraphFont"/>
    <w:uiPriority w:val="99"/>
    <w:semiHidden/>
    <w:unhideWhenUsed/>
    <w:rsid w:val="004D7C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dd6689/Finance_HW_1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 Subramaniam</dc:creator>
  <cp:lastModifiedBy>Puja Subramaniam</cp:lastModifiedBy>
  <cp:revision>2</cp:revision>
  <cp:lastPrinted>2019-09-05T17:27:00Z</cp:lastPrinted>
  <dcterms:created xsi:type="dcterms:W3CDTF">2019-09-05T17:14:00Z</dcterms:created>
  <dcterms:modified xsi:type="dcterms:W3CDTF">2019-09-05T17:31:00Z</dcterms:modified>
</cp:coreProperties>
</file>