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jc w:val="center"/>
      </w:pPr>
      <w:r>
        <w:rPr>
          <w:rFonts w:ascii="Arial" w:cs="Arial" w:eastAsia="Arial" w:hAnsi="Arial"/>
          <w:b/>
          <w:bCs/>
          <w:color w:val="1B4F72"/>
          <w:sz w:val="52"/>
          <w:szCs w:val="52"/>
        </w:rPr>
        <w:t xml:space="preserve">PRAESCIENTIA</w:t>
      </w:r>
    </w:p>
    <w:p>
      <w:pPr>
        <w:spacing w:after="120"/>
        <w:jc w:val="center"/>
      </w:pPr>
      <w:r>
        <w:rPr>
          <w:rFonts w:ascii="Arial" w:cs="Arial" w:eastAsia="Arial" w:hAnsi="Arial"/>
          <w:color w:val="2C3E50"/>
          <w:sz w:val="36"/>
          <w:szCs w:val="36"/>
        </w:rPr>
        <w:t xml:space="preserve">The Seneca Strategy</w:t>
      </w:r>
    </w:p>
    <w:p>
      <w:pPr>
        <w:spacing w:after="240"/>
        <w:jc w:val="center"/>
      </w:pPr>
      <w:r>
        <w:rPr>
          <w:rFonts w:ascii="Arial" w:cs="Arial" w:eastAsia="Arial" w:hAnsi="Arial"/>
          <w:color w:val="7F8C8D"/>
          <w:sz w:val="28"/>
          <w:szCs w:val="28"/>
        </w:rPr>
        <w:t xml:space="preserve">Year-to-Date Simulation Report</w:t>
      </w:r>
    </w:p>
    <w:p>
      <w:pPr>
        <w:spacing w:after="60"/>
        <w:jc w:val="center"/>
      </w:pPr>
      <w:r>
        <w:rPr>
          <w:rFonts w:ascii="Arial" w:cs="Arial" w:eastAsia="Arial" w:hAnsi="Arial"/>
          <w:color w:val="7F8C8D"/>
          <w:sz w:val="24"/>
          <w:szCs w:val="24"/>
        </w:rPr>
        <w:t xml:space="preserve">January – March 2026</w:t>
      </w:r>
    </w:p>
    <w:p>
      <w:pPr>
        <w:spacing w:after="200" w:before="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gridSpan w:val="2"/>
            <w:tcBorders>
              <w:top w:val="none" w:color="FFFFFF" w:sz="0"/>
              <w:left w:val="none" w:color="FFFFFF" w:sz="0"/>
              <w:bottom w:val="none" w:color="FFFFFF" w:sz="0"/>
              <w:right w:val="none" w:color="FFFFFF" w:sz="0"/>
            </w:tcBorders>
            <w:shd w:fill="1B4F72"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SIMULATION RESULTS</w:t>
            </w:r>
          </w:p>
        </w:tc>
      </w:tr>
      <w:tr>
        <w:tc>
          <w:tcPr>
            <w:tcW w:type="dxa" w:w="3000"/>
            <w:tcBorders>
              <w:top w:val="none" w:color="FFFFFF" w:sz="0"/>
              <w:left w:val="none" w:color="FFFFFF" w:sz="0"/>
              <w:bottom w:val="none" w:color="FFFFFF" w:sz="0"/>
              <w:right w:val="none" w:color="FFFFFF" w:sz="0"/>
            </w:tcBorders>
            <w:shd w:fill="D6EAF8" w:val="clear"/>
            <w:tcMar>
              <w:top w:type="dxa" w:w="60"/>
              <w:left w:type="dxa" w:w="100"/>
              <w:bottom w:type="dxa" w:w="60"/>
              <w:right w:type="dxa" w:w="100"/>
            </w:tcMar>
          </w:tcPr>
          <w:p>
            <w:r>
              <w:rPr>
                <w:rFonts w:ascii="Arial" w:cs="Arial" w:eastAsia="Arial" w:hAnsi="Arial"/>
                <w:color w:val="7F8C8D"/>
                <w:sz w:val="20"/>
                <w:szCs w:val="20"/>
              </w:rPr>
              <w:t xml:space="preserve">Starting Capital</w:t>
            </w:r>
          </w:p>
        </w:tc>
        <w:tc>
          <w:tcPr>
            <w:tcW w:type="dxa" w:w="3000"/>
            <w:tcBorders>
              <w:top w:val="none" w:color="FFFFFF" w:sz="0"/>
              <w:left w:val="none" w:color="FFFFFF" w:sz="0"/>
              <w:bottom w:val="none" w:color="FFFFFF" w:sz="0"/>
              <w:right w:val="none" w:color="FFFFFF" w:sz="0"/>
            </w:tcBorders>
            <w:shd w:fill="D6EAF8" w:val="clear"/>
            <w:tcMar>
              <w:top w:type="dxa" w:w="60"/>
              <w:left w:type="dxa" w:w="100"/>
              <w:bottom w:type="dxa" w:w="60"/>
              <w:right w:type="dxa" w:w="100"/>
            </w:tcMar>
          </w:tcPr>
          <w:p>
            <w:pPr>
              <w:jc w:val="right"/>
            </w:pPr>
            <w:r>
              <w:rPr>
                <w:rFonts w:ascii="Arial" w:cs="Arial" w:eastAsia="Arial" w:hAnsi="Arial"/>
                <w:b/>
                <w:bCs/>
                <w:color w:val="2C3E50"/>
                <w:sz w:val="20"/>
                <w:szCs w:val="20"/>
              </w:rPr>
              <w:t xml:space="preserve">$800.00</w:t>
            </w:r>
          </w:p>
        </w:tc>
      </w:tr>
      <w:tr>
        <w:tc>
          <w:tcPr>
            <w:tcW w:type="dxa" w:w="30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Arial" w:cs="Arial" w:eastAsia="Arial" w:hAnsi="Arial"/>
                <w:color w:val="7F8C8D"/>
                <w:sz w:val="20"/>
                <w:szCs w:val="20"/>
              </w:rPr>
              <w:t xml:space="preserve">Final Capital</w:t>
            </w:r>
          </w:p>
        </w:tc>
        <w:tc>
          <w:tcPr>
            <w:tcW w:type="dxa" w:w="30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jc w:val="right"/>
            </w:pPr>
            <w:r>
              <w:rPr>
                <w:rFonts w:ascii="Arial" w:cs="Arial" w:eastAsia="Arial" w:hAnsi="Arial"/>
                <w:b/>
                <w:bCs/>
                <w:color w:val="27AE60"/>
                <w:sz w:val="20"/>
                <w:szCs w:val="20"/>
              </w:rPr>
              <w:t xml:space="preserve">$1166.81</w:t>
            </w:r>
          </w:p>
        </w:tc>
      </w:tr>
      <w:tr>
        <w:tc>
          <w:tcPr>
            <w:tcW w:type="dxa" w:w="3000"/>
            <w:tcBorders>
              <w:top w:val="none" w:color="FFFFFF" w:sz="0"/>
              <w:left w:val="none" w:color="FFFFFF" w:sz="0"/>
              <w:bottom w:val="none" w:color="FFFFFF" w:sz="0"/>
              <w:right w:val="none" w:color="FFFFFF" w:sz="0"/>
            </w:tcBorders>
            <w:shd w:fill="D6EAF8" w:val="clear"/>
            <w:tcMar>
              <w:top w:type="dxa" w:w="60"/>
              <w:left w:type="dxa" w:w="100"/>
              <w:bottom w:type="dxa" w:w="60"/>
              <w:right w:type="dxa" w:w="100"/>
            </w:tcMar>
          </w:tcPr>
          <w:p>
            <w:r>
              <w:rPr>
                <w:rFonts w:ascii="Arial" w:cs="Arial" w:eastAsia="Arial" w:hAnsi="Arial"/>
                <w:color w:val="7F8C8D"/>
                <w:sz w:val="20"/>
                <w:szCs w:val="20"/>
              </w:rPr>
              <w:t xml:space="preserve">Total P&amp;L</w:t>
            </w:r>
          </w:p>
        </w:tc>
        <w:tc>
          <w:tcPr>
            <w:tcW w:type="dxa" w:w="3000"/>
            <w:tcBorders>
              <w:top w:val="none" w:color="FFFFFF" w:sz="0"/>
              <w:left w:val="none" w:color="FFFFFF" w:sz="0"/>
              <w:bottom w:val="none" w:color="FFFFFF" w:sz="0"/>
              <w:right w:val="none" w:color="FFFFFF" w:sz="0"/>
            </w:tcBorders>
            <w:shd w:fill="D6EAF8" w:val="clear"/>
            <w:tcMar>
              <w:top w:type="dxa" w:w="60"/>
              <w:left w:type="dxa" w:w="100"/>
              <w:bottom w:type="dxa" w:w="60"/>
              <w:right w:type="dxa" w:w="100"/>
            </w:tcMar>
          </w:tcPr>
          <w:p>
            <w:pPr>
              <w:jc w:val="right"/>
            </w:pPr>
            <w:r>
              <w:rPr>
                <w:rFonts w:ascii="Arial" w:cs="Arial" w:eastAsia="Arial" w:hAnsi="Arial"/>
                <w:b/>
                <w:bCs/>
                <w:color w:val="27AE60"/>
                <w:sz w:val="20"/>
                <w:szCs w:val="20"/>
              </w:rPr>
              <w:t xml:space="preserve">+$366.81 (45.9%)</w:t>
            </w:r>
          </w:p>
        </w:tc>
      </w:tr>
      <w:tr>
        <w:tc>
          <w:tcPr>
            <w:tcW w:type="dxa" w:w="30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Arial" w:cs="Arial" w:eastAsia="Arial" w:hAnsi="Arial"/>
                <w:color w:val="7F8C8D"/>
                <w:sz w:val="20"/>
                <w:szCs w:val="20"/>
              </w:rPr>
              <w:t xml:space="preserve">Win Rate (resolved)</w:t>
            </w:r>
          </w:p>
        </w:tc>
        <w:tc>
          <w:tcPr>
            <w:tcW w:type="dxa" w:w="30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jc w:val="right"/>
            </w:pPr>
            <w:r>
              <w:rPr>
                <w:rFonts w:ascii="Arial" w:cs="Arial" w:eastAsia="Arial" w:hAnsi="Arial"/>
                <w:b/>
                <w:bCs/>
                <w:color w:val="27AE60"/>
                <w:sz w:val="20"/>
                <w:szCs w:val="20"/>
              </w:rPr>
              <w:t xml:space="preserve">12/12 (100%)</w:t>
            </w:r>
          </w:p>
        </w:tc>
      </w:tr>
      <w:tr>
        <w:tc>
          <w:tcPr>
            <w:tcW w:type="dxa" w:w="3000"/>
            <w:tcBorders>
              <w:top w:val="none" w:color="FFFFFF" w:sz="0"/>
              <w:left w:val="none" w:color="FFFFFF" w:sz="0"/>
              <w:bottom w:val="none" w:color="FFFFFF" w:sz="0"/>
              <w:right w:val="none" w:color="FFFFFF" w:sz="0"/>
            </w:tcBorders>
            <w:shd w:fill="D6EAF8" w:val="clear"/>
            <w:tcMar>
              <w:top w:type="dxa" w:w="60"/>
              <w:left w:type="dxa" w:w="100"/>
              <w:bottom w:type="dxa" w:w="60"/>
              <w:right w:type="dxa" w:w="100"/>
            </w:tcMar>
          </w:tcPr>
          <w:p>
            <w:r>
              <w:rPr>
                <w:rFonts w:ascii="Arial" w:cs="Arial" w:eastAsia="Arial" w:hAnsi="Arial"/>
                <w:color w:val="7F8C8D"/>
                <w:sz w:val="20"/>
                <w:szCs w:val="20"/>
              </w:rPr>
              <w:t xml:space="preserve">Total Trades</w:t>
            </w:r>
          </w:p>
        </w:tc>
        <w:tc>
          <w:tcPr>
            <w:tcW w:type="dxa" w:w="3000"/>
            <w:tcBorders>
              <w:top w:val="none" w:color="FFFFFF" w:sz="0"/>
              <w:left w:val="none" w:color="FFFFFF" w:sz="0"/>
              <w:bottom w:val="none" w:color="FFFFFF" w:sz="0"/>
              <w:right w:val="none" w:color="FFFFFF" w:sz="0"/>
            </w:tcBorders>
            <w:shd w:fill="D6EAF8" w:val="clear"/>
            <w:tcMar>
              <w:top w:type="dxa" w:w="60"/>
              <w:left w:type="dxa" w:w="100"/>
              <w:bottom w:type="dxa" w:w="60"/>
              <w:right w:type="dxa" w:w="100"/>
            </w:tcMar>
          </w:tcPr>
          <w:p>
            <w:pPr>
              <w:jc w:val="right"/>
            </w:pPr>
            <w:r>
              <w:rPr>
                <w:rFonts w:ascii="Arial" w:cs="Arial" w:eastAsia="Arial" w:hAnsi="Arial"/>
                <w:b/>
                <w:bCs/>
                <w:color w:val="2C3E50"/>
                <w:sz w:val="20"/>
                <w:szCs w:val="20"/>
              </w:rPr>
              <w:t xml:space="preserve">16 (12W / 0L / 4 open)</w:t>
            </w:r>
          </w:p>
        </w:tc>
      </w:tr>
    </w:tbl>
    <w:p>
      <w:pPr>
        <w:spacing w:after="300" w:before="300"/>
      </w:pPr>
    </w:p>
    <w:p>
      <w:pPr>
        <w:jc w:val="center"/>
      </w:pPr>
      <w:r>
        <w:rPr>
          <w:rFonts w:ascii="Arial" w:cs="Arial" w:eastAsia="Arial" w:hAnsi="Arial"/>
          <w:i/>
          <w:iCs/>
          <w:color w:val="7F8C8D"/>
          <w:sz w:val="20"/>
          <w:szCs w:val="20"/>
        </w:rPr>
        <w:t xml:space="preserve">"We suffer more often in imagination than in reality." — Seneca</w:t>
      </w:r>
    </w:p>
    <w:p>
      <w:pPr>
        <w:spacing w:before="80"/>
        <w:jc w:val="center"/>
      </w:pPr>
      <w:r>
        <w:rPr>
          <w:rFonts w:ascii="Arial" w:cs="Arial" w:eastAsia="Arial" w:hAnsi="Arial"/>
          <w:i/>
          <w:iCs/>
          <w:color w:val="1B4F72"/>
          <w:sz w:val="20"/>
          <w:szCs w:val="20"/>
        </w:rPr>
        <w:t xml:space="preserve">But sometimes, the imagination is right.</w:t>
      </w:r>
    </w:p>
    <w:p>
      <w:r>
        <w:br w:type="page"/>
      </w:r>
    </w:p>
    <w:p>
      <w:pPr>
        <w:pStyle w:val="Heading1"/>
      </w:pPr>
      <w:r>
        <w:rPr>
          <w:rFonts w:ascii="Arial" w:cs="Arial" w:eastAsia="Arial" w:hAnsi="Arial"/>
        </w:rPr>
        <w:t xml:space="preserve">Executive Summary</w:t>
      </w:r>
    </w:p>
    <w:p>
      <w:pPr>
        <w:spacing w:after="120"/>
        <w:jc w:val="left"/>
      </w:pPr>
      <w:r>
        <w:rPr>
          <w:rFonts w:ascii="Arial" w:cs="Arial" w:eastAsia="Arial" w:hAnsi="Arial"/>
          <w:b w:val="false"/>
          <w:bCs w:val="false"/>
          <w:i w:val="false"/>
          <w:iCs w:val="false"/>
          <w:color w:val="2C3E50"/>
          <w:sz w:val="22"/>
          <w:szCs w:val="22"/>
        </w:rPr>
        <w:t xml:space="preserve">This report documents a year-to-date simulation of the Seneca Strategy applied to Polymarket prediction markets from January through March 2026. Starting with $800 in simulated capital, the strategy generated $366.81 in profit (45.9% ROI) across 16 trades with a 100% win rate on resolved positions.</w:t>
      </w:r>
    </w:p>
    <w:p>
      <w:pPr>
        <w:spacing w:after="120"/>
        <w:jc w:val="left"/>
      </w:pPr>
      <w:r>
        <w:rPr>
          <w:rFonts w:ascii="Arial" w:cs="Arial" w:eastAsia="Arial" w:hAnsi="Arial"/>
          <w:b w:val="false"/>
          <w:bCs w:val="false"/>
          <w:i w:val="false"/>
          <w:iCs w:val="false"/>
          <w:color w:val="2C3E50"/>
          <w:sz w:val="22"/>
          <w:szCs w:val="22"/>
        </w:rPr>
        <w:t xml:space="preserve">The core methodology is deductive: we identify markets where the crowd is provably mispricing known information, buy those positions cheap, and sell when reality forces a repricing. We do not predict. We deduce. The distinction matters.</w:t>
      </w:r>
    </w:p>
    <w:p>
      <w:pPr>
        <w:spacing w:after="120"/>
        <w:jc w:val="left"/>
      </w:pPr>
      <w:r>
        <w:rPr>
          <w:rFonts w:ascii="Arial" w:cs="Arial" w:eastAsia="Arial" w:hAnsi="Arial"/>
          <w:b w:val="false"/>
          <w:bCs w:val="false"/>
          <w:i w:val="false"/>
          <w:iCs w:val="false"/>
          <w:color w:val="2C3E50"/>
          <w:sz w:val="22"/>
          <w:szCs w:val="22"/>
        </w:rPr>
        <w:t xml:space="preserve">Three contract lengths are used to capture different time horizons: daily contracts for event-day volatility, weekly contracts for short-duration mispricings, and monthly contracts for structural macro divergences. Capital allocation follows a conservative reserve model, never deploying more than 30% of available capital in any single month.</w:t>
      </w:r>
    </w:p>
    <w:p>
      <w:pPr>
        <w:spacing w:after="60" w:before="60"/>
      </w:pPr>
    </w:p>
    <w:p>
      <w:pPr>
        <w:pStyle w:val="Heading2"/>
      </w:pPr>
      <w:r>
        <w:rPr>
          <w:rFonts w:ascii="Arial" w:cs="Arial" w:eastAsia="Arial" w:hAnsi="Arial"/>
        </w:rPr>
        <w:t xml:space="preserve">Capital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Period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Capital</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Month P&amp;L</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Cumulative ROI</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8"/>
                <w:szCs w:val="18"/>
              </w:rPr>
              <w:t xml:space="preserve">Jan 1 (Start)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$800.00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7F8C8D"/>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0.0%</w:t>
            </w:r>
          </w:p>
        </w:tc>
      </w:tr>
      <w:tr>
        <w:tc>
          <w:tcPr>
            <w:tcW w:type="dxa" w:w="234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bCs/>
                <w:color w:val="2C3E50"/>
                <w:sz w:val="18"/>
                <w:szCs w:val="18"/>
              </w:rPr>
              <w:t xml:space="preserve">Jan 31</w:t>
            </w:r>
          </w:p>
        </w:tc>
        <w:tc>
          <w:tcPr>
            <w:tcW w:type="dxa" w:w="234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$902.06</w:t>
            </w:r>
          </w:p>
        </w:tc>
        <w:tc>
          <w:tcPr>
            <w:tcW w:type="dxa" w:w="234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7AE60"/>
                <w:sz w:val="18"/>
                <w:szCs w:val="18"/>
              </w:rPr>
              <w:t xml:space="preserve">+$102.06</w:t>
            </w:r>
          </w:p>
        </w:tc>
        <w:tc>
          <w:tcPr>
            <w:tcW w:type="dxa" w:w="234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7AE60"/>
                <w:sz w:val="18"/>
                <w:szCs w:val="18"/>
              </w:rPr>
              <w:t xml:space="preserve">+12.8%</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8"/>
                <w:szCs w:val="18"/>
              </w:rPr>
              <w:t xml:space="preserve">Feb 28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$1,057.16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7AE60"/>
                <w:sz w:val="18"/>
                <w:szCs w:val="18"/>
              </w:rPr>
              <w:t xml:space="preserve">+$155.10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7AE60"/>
                <w:sz w:val="18"/>
                <w:szCs w:val="18"/>
              </w:rPr>
              <w:t xml:space="preserve">+32.1%</w:t>
            </w:r>
          </w:p>
        </w:tc>
      </w:tr>
      <w:tr>
        <w:tc>
          <w:tcPr>
            <w:tcW w:type="dxa" w:w="234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bCs/>
                <w:color w:val="2C3E50"/>
                <w:sz w:val="18"/>
                <w:szCs w:val="18"/>
              </w:rPr>
              <w:t xml:space="preserve">Mar 30</w:t>
            </w:r>
          </w:p>
        </w:tc>
        <w:tc>
          <w:tcPr>
            <w:tcW w:type="dxa" w:w="234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bCs/>
                <w:color w:val="27AE60"/>
                <w:sz w:val="18"/>
                <w:szCs w:val="18"/>
              </w:rPr>
              <w:t xml:space="preserve">$1,166.81</w:t>
            </w:r>
          </w:p>
        </w:tc>
        <w:tc>
          <w:tcPr>
            <w:tcW w:type="dxa" w:w="234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7AE60"/>
                <w:sz w:val="18"/>
                <w:szCs w:val="18"/>
              </w:rPr>
              <w:t xml:space="preserve">+$109.65</w:t>
            </w:r>
          </w:p>
        </w:tc>
        <w:tc>
          <w:tcPr>
            <w:tcW w:type="dxa" w:w="234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bCs/>
                <w:color w:val="27AE60"/>
                <w:sz w:val="18"/>
                <w:szCs w:val="18"/>
              </w:rPr>
              <w:t xml:space="preserve">+45.9%</w:t>
            </w:r>
          </w:p>
        </w:tc>
      </w:tr>
    </w:tbl>
    <w:p>
      <w:r>
        <w:br w:type="page"/>
      </w:r>
    </w:p>
    <w:p>
      <w:pPr>
        <w:pStyle w:val="Heading1"/>
      </w:pPr>
      <w:r>
        <w:rPr>
          <w:rFonts w:ascii="Arial" w:cs="Arial" w:eastAsia="Arial" w:hAnsi="Arial"/>
        </w:rPr>
        <w:t xml:space="preserve">January 2026</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EAF8" w:val="clear"/>
            <w:tcMar>
              <w:top w:type="dxa" w:w="100"/>
              <w:left w:type="dxa" w:w="120"/>
              <w:bottom w:type="dxa" w:w="100"/>
              <w:right w:type="dxa" w:w="120"/>
            </w:tcMar>
          </w:tcPr>
          <w:p>
            <w:r>
              <w:rPr>
                <w:rFonts w:ascii="Arial" w:cs="Arial" w:eastAsia="Arial" w:hAnsi="Arial"/>
                <w:color w:val="7F8C8D"/>
                <w:sz w:val="16"/>
                <w:szCs w:val="16"/>
              </w:rPr>
              <w:t xml:space="preserve">Starting Capital</w:t>
            </w:r>
          </w:p>
          <w:p>
            <w:r>
              <w:rPr>
                <w:rFonts w:ascii="Arial" w:cs="Arial" w:eastAsia="Arial" w:hAnsi="Arial"/>
                <w:b/>
                <w:bCs/>
                <w:color w:val="2C3E50"/>
                <w:sz w:val="26"/>
                <w:szCs w:val="26"/>
              </w:rPr>
              <w:t xml:space="preserve">$800.00</w:t>
            </w:r>
          </w:p>
        </w:tc>
        <w:tc>
          <w:tcPr>
            <w:tcW w:type="dxa" w:w="2340"/>
            <w:tcBorders>
              <w:top w:val="none" w:color="FFFFFF" w:sz="0"/>
              <w:left w:val="none" w:color="FFFFFF" w:sz="0"/>
              <w:bottom w:val="none" w:color="FFFFFF" w:sz="0"/>
              <w:right w:val="none" w:color="FFFFFF" w:sz="0"/>
            </w:tcBorders>
            <w:shd w:fill="D6EAF8" w:val="clear"/>
            <w:tcMar>
              <w:top w:type="dxa" w:w="100"/>
              <w:left w:type="dxa" w:w="120"/>
              <w:bottom w:type="dxa" w:w="100"/>
              <w:right w:type="dxa" w:w="120"/>
            </w:tcMar>
          </w:tcPr>
          <w:p>
            <w:r>
              <w:rPr>
                <w:rFonts w:ascii="Arial" w:cs="Arial" w:eastAsia="Arial" w:hAnsi="Arial"/>
                <w:color w:val="7F8C8D"/>
                <w:sz w:val="16"/>
                <w:szCs w:val="16"/>
              </w:rPr>
              <w:t xml:space="preserve">Ending Capital</w:t>
            </w:r>
          </w:p>
          <w:p>
            <w:r>
              <w:rPr>
                <w:rFonts w:ascii="Arial" w:cs="Arial" w:eastAsia="Arial" w:hAnsi="Arial"/>
                <w:b/>
                <w:bCs/>
                <w:color w:val="27AE60"/>
                <w:sz w:val="26"/>
                <w:szCs w:val="26"/>
              </w:rPr>
              <w:t xml:space="preserve">$902.06</w:t>
            </w:r>
          </w:p>
        </w:tc>
        <w:tc>
          <w:tcPr>
            <w:tcW w:type="dxa" w:w="2340"/>
            <w:tcBorders>
              <w:top w:val="none" w:color="FFFFFF" w:sz="0"/>
              <w:left w:val="none" w:color="FFFFFF" w:sz="0"/>
              <w:bottom w:val="none" w:color="FFFFFF" w:sz="0"/>
              <w:right w:val="none" w:color="FFFFFF" w:sz="0"/>
            </w:tcBorders>
            <w:shd w:fill="D6EAF8" w:val="clear"/>
            <w:tcMar>
              <w:top w:type="dxa" w:w="100"/>
              <w:left w:type="dxa" w:w="120"/>
              <w:bottom w:type="dxa" w:w="100"/>
              <w:right w:type="dxa" w:w="120"/>
            </w:tcMar>
          </w:tcPr>
          <w:p>
            <w:r>
              <w:rPr>
                <w:rFonts w:ascii="Arial" w:cs="Arial" w:eastAsia="Arial" w:hAnsi="Arial"/>
                <w:color w:val="7F8C8D"/>
                <w:sz w:val="16"/>
                <w:szCs w:val="16"/>
              </w:rPr>
              <w:t xml:space="preserve">P&amp;L (on deployed)</w:t>
            </w:r>
          </w:p>
          <w:p>
            <w:r>
              <w:rPr>
                <w:rFonts w:ascii="Arial" w:cs="Arial" w:eastAsia="Arial" w:hAnsi="Arial"/>
                <w:b/>
                <w:bCs/>
                <w:color w:val="27AE60"/>
                <w:sz w:val="26"/>
                <w:szCs w:val="26"/>
              </w:rPr>
              <w:t xml:space="preserve">+$102.06 (55.6%)</w:t>
            </w:r>
          </w:p>
        </w:tc>
        <w:tc>
          <w:tcPr>
            <w:tcW w:type="dxa" w:w="2340"/>
            <w:tcBorders>
              <w:top w:val="none" w:color="FFFFFF" w:sz="0"/>
              <w:left w:val="none" w:color="FFFFFF" w:sz="0"/>
              <w:bottom w:val="none" w:color="FFFFFF" w:sz="0"/>
              <w:right w:val="none" w:color="FFFFFF" w:sz="0"/>
            </w:tcBorders>
            <w:shd w:fill="D6EAF8" w:val="clear"/>
            <w:tcMar>
              <w:top w:type="dxa" w:w="100"/>
              <w:left w:type="dxa" w:w="120"/>
              <w:bottom w:type="dxa" w:w="100"/>
              <w:right w:type="dxa" w:w="120"/>
            </w:tcMar>
          </w:tcPr>
          <w:p>
            <w:r>
              <w:rPr>
                <w:rFonts w:ascii="Arial" w:cs="Arial" w:eastAsia="Arial" w:hAnsi="Arial"/>
                <w:color w:val="7F8C8D"/>
                <w:sz w:val="16"/>
                <w:szCs w:val="16"/>
              </w:rPr>
              <w:t xml:space="preserve">Record</w:t>
            </w:r>
          </w:p>
          <w:p>
            <w:r>
              <w:rPr>
                <w:rFonts w:ascii="Arial" w:cs="Arial" w:eastAsia="Arial" w:hAnsi="Arial"/>
                <w:b/>
                <w:bCs/>
                <w:color w:val="2C3E50"/>
                <w:sz w:val="26"/>
                <w:szCs w:val="26"/>
              </w:rPr>
              <w:t xml:space="preserve">4W / 0L / 3 open</w:t>
            </w:r>
          </w:p>
        </w:tc>
      </w:tr>
    </w:tbl>
    <w:p>
      <w:pPr>
        <w:spacing w:after="80" w:before="80"/>
      </w:pPr>
    </w:p>
    <w:p>
      <w:pPr>
        <w:pStyle w:val="Heading2"/>
      </w:pPr>
      <w:r>
        <w:rPr>
          <w:rFonts w:ascii="Arial" w:cs="Arial" w:eastAsia="Arial" w:hAnsi="Arial"/>
        </w:rPr>
        <w:t xml:space="preserve">Timeline</w:t>
      </w:r>
    </w:p>
    <w:p>
      <w:pPr>
        <w:spacing w:after="120"/>
        <w:jc w:val="left"/>
      </w:pPr>
      <w:r>
        <w:rPr>
          <w:rFonts w:ascii="Arial" w:cs="Arial" w:eastAsia="Arial" w:hAnsi="Arial"/>
          <w:b/>
          <w:bCs/>
          <w:color w:val="2C3E50"/>
          <w:sz w:val="20"/>
          <w:szCs w:val="20"/>
        </w:rPr>
        <w:t xml:space="preserve">Jan 6: </w:t>
      </w:r>
      <w:r>
        <w:rPr>
          <w:rFonts w:ascii="Arial" w:cs="Arial" w:eastAsia="Arial" w:hAnsi="Arial"/>
          <w:color w:val="2C3E50"/>
          <w:sz w:val="20"/>
          <w:szCs w:val="20"/>
        </w:rPr>
        <w:t xml:space="preserve">Positions opened. $800 bankroll, deployed $183.70.</w:t>
      </w:r>
    </w:p>
    <w:p>
      <w:pPr>
        <w:spacing w:after="120"/>
        <w:jc w:val="left"/>
      </w:pPr>
      <w:r>
        <w:rPr>
          <w:rFonts w:ascii="Arial" w:cs="Arial" w:eastAsia="Arial" w:hAnsi="Arial"/>
          <w:b/>
          <w:bCs/>
          <w:color w:val="2C3E50"/>
          <w:sz w:val="20"/>
          <w:szCs w:val="20"/>
        </w:rPr>
        <w:t xml:space="preserve">Jan 12: </w:t>
      </w:r>
      <w:r>
        <w:rPr>
          <w:rFonts w:ascii="Arial" w:cs="Arial" w:eastAsia="Arial" w:hAnsi="Arial"/>
          <w:color w:val="2C3E50"/>
          <w:sz w:val="20"/>
          <w:szCs w:val="20"/>
        </w:rPr>
        <w:t xml:space="preserve">Weekly crypto positions resolve — 3/3 NO bets win (+$27.11).</w:t>
      </w:r>
    </w:p>
    <w:p>
      <w:pPr>
        <w:spacing w:after="120"/>
        <w:jc w:val="left"/>
      </w:pPr>
      <w:r>
        <w:rPr>
          <w:rFonts w:ascii="Arial" w:cs="Arial" w:eastAsia="Arial" w:hAnsi="Arial"/>
          <w:b/>
          <w:bCs/>
          <w:color w:val="2C3E50"/>
          <w:sz w:val="20"/>
          <w:szCs w:val="20"/>
        </w:rPr>
        <w:t xml:space="preserve">Jan 28: </w:t>
      </w:r>
      <w:r>
        <w:rPr>
          <w:rFonts w:ascii="Arial" w:cs="Arial" w:eastAsia="Arial" w:hAnsi="Arial"/>
          <w:color w:val="2C3E50"/>
          <w:sz w:val="20"/>
          <w:szCs w:val="20"/>
        </w:rPr>
        <w:t xml:space="preserve">FOMC holds rates as expected. No trade (already priced in).</w:t>
      </w:r>
    </w:p>
    <w:p>
      <w:pPr>
        <w:spacing w:after="120"/>
        <w:jc w:val="left"/>
      </w:pPr>
      <w:r>
        <w:rPr>
          <w:rFonts w:ascii="Arial" w:cs="Arial" w:eastAsia="Arial" w:hAnsi="Arial"/>
          <w:b/>
          <w:bCs/>
          <w:color w:val="2C3E50"/>
          <w:sz w:val="20"/>
          <w:szCs w:val="20"/>
        </w:rPr>
        <w:t xml:space="preserve">Jan 30: </w:t>
      </w:r>
      <w:r>
        <w:rPr>
          <w:rFonts w:ascii="Arial" w:cs="Arial" w:eastAsia="Arial" w:hAnsi="Arial"/>
          <w:color w:val="2C3E50"/>
          <w:sz w:val="20"/>
          <w:szCs w:val="20"/>
        </w:rPr>
        <w:t xml:space="preserve">Kevin Warsh nominated as Fed Chair. Monetary policy uncertainty rises.</w:t>
      </w:r>
    </w:p>
    <w:p>
      <w:pPr>
        <w:spacing w:after="120"/>
        <w:jc w:val="left"/>
      </w:pPr>
      <w:r>
        <w:rPr>
          <w:rFonts w:ascii="Arial" w:cs="Arial" w:eastAsia="Arial" w:hAnsi="Arial"/>
          <w:b/>
          <w:bCs/>
          <w:color w:val="2C3E50"/>
          <w:sz w:val="20"/>
          <w:szCs w:val="20"/>
        </w:rPr>
        <w:t xml:space="preserve">Jan 31: </w:t>
      </w:r>
      <w:r>
        <w:rPr>
          <w:rFonts w:ascii="Arial" w:cs="Arial" w:eastAsia="Arial" w:hAnsi="Arial"/>
          <w:color w:val="2C3E50"/>
          <w:sz w:val="20"/>
          <w:szCs w:val="20"/>
        </w:rPr>
        <w:t xml:space="preserve">Govt shutdown begins. Shutdown YES bet resolves +$50.05.</w:t>
      </w:r>
    </w:p>
    <w:p>
      <w:pPr>
        <w:spacing w:after="80" w:before="80"/>
      </w:pPr>
    </w:p>
    <w:p>
      <w:pPr>
        <w:pStyle w:val="Heading2"/>
      </w:pPr>
      <w:r>
        <w:rPr>
          <w:rFonts w:ascii="Arial" w:cs="Arial" w:eastAsia="Arial" w:hAnsi="Arial"/>
        </w:rPr>
        <w:t xml:space="preserve">Trades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0"/>
        <w:gridCol w:w="800"/>
        <w:gridCol w:w="800"/>
        <w:gridCol w:w="800"/>
        <w:gridCol w:w="800"/>
        <w:gridCol w:w="760"/>
        <w:gridCol w:w="1500"/>
      </w:tblGrid>
      <w:tr>
        <w:tc>
          <w:tcPr>
            <w:tcW w:type="dxa" w:w="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Market</w:t>
            </w:r>
          </w:p>
        </w:tc>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Entry</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Exit</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Shares</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Cost</w:t>
            </w:r>
          </w:p>
        </w:tc>
        <w:tc>
          <w:tcPr>
            <w:tcW w:type="dxa" w:w="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P&amp;L</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Outcome</w:t>
            </w:r>
          </w:p>
        </w:tc>
      </w:tr>
      <w:tr>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bCs/>
                <w:color w:val="2C3E50"/>
                <w:sz w:val="18"/>
                <w:szCs w:val="18"/>
              </w:rPr>
              <w:t xml:space="preserve">W1-01</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BTC does NOT hit $100k (Jan 5-11)</w:t>
            </w:r>
          </w:p>
        </w:tc>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W</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$0.870</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$1.000</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57</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$49.59</w:t>
            </w:r>
          </w:p>
        </w:tc>
        <w:tc>
          <w:tcPr>
            <w:tcW w:type="dxa" w:w="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bCs/>
                <w:color w:val="27AE60"/>
                <w:sz w:val="18"/>
                <w:szCs w:val="18"/>
              </w:rPr>
              <w:t xml:space="preserve">+$7.41</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bCs/>
                <w:color w:val="27AE60"/>
                <w:sz w:val="18"/>
                <w:szCs w:val="18"/>
              </w:rPr>
              <w:t xml:space="preserve">WON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8"/>
                <w:szCs w:val="18"/>
              </w:rPr>
              <w:t xml:space="preserve">W1-02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ETH does NOT dip to $3,000 (Jan 5-11)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$0.840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$1.000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47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$39.48</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27AE60"/>
                <w:sz w:val="18"/>
                <w:szCs w:val="18"/>
              </w:rPr>
              <w:t xml:space="preserve">+$7.52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18"/>
                <w:szCs w:val="18"/>
              </w:rPr>
              <w:t xml:space="preserve">WON</w:t>
            </w:r>
          </w:p>
        </w:tc>
      </w:tr>
      <w:tr>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bCs/>
                <w:color w:val="2C3E50"/>
                <w:sz w:val="18"/>
                <w:szCs w:val="18"/>
              </w:rPr>
              <w:t xml:space="preserve">W1-03</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SOL does NOT hit $150 (Jan 5-11)</w:t>
            </w:r>
          </w:p>
        </w:tc>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W</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$0.710</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$1.000</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42</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$29.82</w:t>
            </w:r>
          </w:p>
        </w:tc>
        <w:tc>
          <w:tcPr>
            <w:tcW w:type="dxa" w:w="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bCs/>
                <w:color w:val="27AE60"/>
                <w:sz w:val="18"/>
                <w:szCs w:val="18"/>
              </w:rPr>
              <w:t xml:space="preserve">+$12.18</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bCs/>
                <w:color w:val="27AE60"/>
                <w:sz w:val="18"/>
                <w:szCs w:val="18"/>
              </w:rPr>
              <w:t xml:space="preserve">WON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8"/>
                <w:szCs w:val="18"/>
              </w:rPr>
              <w:t xml:space="preserve">M1-01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US Recession 2026 YES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$0.255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$0.380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117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$29.84</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27AE60"/>
                <w:sz w:val="18"/>
                <w:szCs w:val="18"/>
              </w:rPr>
              <w:t xml:space="preserve">+$14.62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7F8C8D"/>
                <w:sz w:val="18"/>
                <w:szCs w:val="18"/>
              </w:rPr>
              <w:t xml:space="preserve">SOLD</w:t>
            </w:r>
          </w:p>
        </w:tc>
      </w:tr>
      <w:tr>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bCs/>
                <w:color w:val="2C3E50"/>
                <w:sz w:val="18"/>
                <w:szCs w:val="18"/>
              </w:rPr>
              <w:t xml:space="preserve">M1-02</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Fed Rate Hike 2026 YES</w:t>
            </w:r>
          </w:p>
        </w:tc>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M</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$0.115</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$0.180</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87</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$10.01</w:t>
            </w:r>
          </w:p>
        </w:tc>
        <w:tc>
          <w:tcPr>
            <w:tcW w:type="dxa" w:w="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bCs/>
                <w:color w:val="27AE60"/>
                <w:sz w:val="18"/>
                <w:szCs w:val="18"/>
              </w:rPr>
              <w:t xml:space="preserve">+$5.66</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bCs/>
                <w:color w:val="7F8C8D"/>
                <w:sz w:val="18"/>
                <w:szCs w:val="18"/>
              </w:rPr>
              <w:t xml:space="preserve">SOLD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8"/>
                <w:szCs w:val="18"/>
              </w:rPr>
              <w:t xml:space="preserve">M1-03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Fed Emergency Cut 2026 YES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$0.130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$0.190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77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$10.01</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27AE60"/>
                <w:sz w:val="18"/>
                <w:szCs w:val="18"/>
              </w:rPr>
              <w:t xml:space="preserve">+$4.62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7F8C8D"/>
                <w:sz w:val="18"/>
                <w:szCs w:val="18"/>
              </w:rPr>
              <w:t xml:space="preserve">SOLD</w:t>
            </w:r>
          </w:p>
        </w:tc>
      </w:tr>
      <w:tr>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bCs/>
                <w:color w:val="2C3E50"/>
                <w:sz w:val="18"/>
                <w:szCs w:val="18"/>
              </w:rPr>
              <w:t xml:space="preserve">M1-04</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US Government Shutdown by Jan 31 YES</w:t>
            </w:r>
          </w:p>
        </w:tc>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M</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$0.230</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$1.000</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65</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$14.95</w:t>
            </w:r>
          </w:p>
        </w:tc>
        <w:tc>
          <w:tcPr>
            <w:tcW w:type="dxa" w:w="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bCs/>
                <w:color w:val="27AE60"/>
                <w:sz w:val="18"/>
                <w:szCs w:val="18"/>
              </w:rPr>
              <w:t xml:space="preserve">+$50.05</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bCs/>
                <w:color w:val="27AE60"/>
                <w:sz w:val="18"/>
                <w:szCs w:val="18"/>
              </w:rPr>
              <w:t xml:space="preserve">WON</w:t>
            </w:r>
          </w:p>
        </w:tc>
      </w:tr>
    </w:tbl>
    <w:p>
      <w:pPr>
        <w:spacing w:after="80" w:before="80"/>
      </w:pPr>
    </w:p>
    <w:p>
      <w:pPr>
        <w:pStyle w:val="Heading2"/>
      </w:pPr>
      <w:r>
        <w:rPr>
          <w:rFonts w:ascii="Arial" w:cs="Arial" w:eastAsia="Arial" w:hAnsi="Arial"/>
        </w:rPr>
        <w:t xml:space="preserve">Deductive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tcW w:type="dxa" w:w="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43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Entry Reasoning</w:t>
            </w:r>
          </w:p>
        </w:tc>
        <w:tc>
          <w:tcPr>
            <w:tcW w:type="dxa" w:w="43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Deduction (What We Knew)</w:t>
            </w:r>
          </w:p>
        </w:tc>
      </w:tr>
      <w:tr>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bCs/>
                <w:color w:val="2C3E50"/>
                <w:sz w:val="18"/>
                <w:szCs w:val="18"/>
              </w:rPr>
              <w:t xml:space="preserve">W1-01</w:t>
            </w:r>
          </w:p>
        </w:tc>
        <w:tc>
          <w:tcPr>
            <w:tcW w:type="dxa" w:w="43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BTC at $91k needs +10% in 6 days. No catalyst. FOMC not until Jan 28.</w:t>
            </w:r>
          </w:p>
        </w:tc>
        <w:tc>
          <w:tcPr>
            <w:tcW w:type="dxa" w:w="43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Absence of catalyst + short timeframe = extreme price targets fail</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8"/>
                <w:szCs w:val="18"/>
              </w:rPr>
              <w:t xml:space="preserve">W1-02</w:t>
            </w:r>
          </w:p>
        </w:tc>
        <w:tc>
          <w:tcPr>
            <w:tcW w:type="dxa" w:w="43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ETH at $3,300, support above $3k. No crash catalyst in 6-day window.</w:t>
            </w:r>
          </w:p>
        </w:tc>
        <w:tc>
          <w:tcPr>
            <w:tcW w:type="dxa" w:w="43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Support levels hold without external shock</w:t>
            </w:r>
          </w:p>
        </w:tc>
      </w:tr>
      <w:tr>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bCs/>
                <w:color w:val="2C3E50"/>
                <w:sz w:val="18"/>
                <w:szCs w:val="18"/>
              </w:rPr>
              <w:t xml:space="preserve">W1-03</w:t>
            </w:r>
          </w:p>
        </w:tc>
        <w:tc>
          <w:tcPr>
            <w:tcW w:type="dxa" w:w="43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SOL recovery is sluggish post-crash. No DeFi narrative driver for 8% rally in a week.</w:t>
            </w:r>
          </w:p>
        </w:tc>
        <w:tc>
          <w:tcPr>
            <w:tcW w:type="dxa" w:w="43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Post-crash recoveries are gradual, not explosive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8"/>
                <w:szCs w:val="18"/>
              </w:rPr>
              <w:t xml:space="preserve">M1-01</w:t>
            </w:r>
          </w:p>
        </w:tc>
        <w:tc>
          <w:tcPr>
            <w:tcW w:type="dxa" w:w="43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Sahm Rule triggered (never wrong). Unemployment 4.6%. Yield curve was inverted 18mo. CAPE at 40.</w:t>
            </w:r>
          </w:p>
        </w:tc>
        <w:tc>
          <w:tcPr>
            <w:tcW w:type="dxa" w:w="43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Sahm Rule + CAPE extremes + unanimous optimism = recession underpriced</w:t>
            </w:r>
          </w:p>
        </w:tc>
      </w:tr>
      <w:tr>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bCs/>
                <w:color w:val="2C3E50"/>
                <w:sz w:val="18"/>
                <w:szCs w:val="18"/>
              </w:rPr>
              <w:t xml:space="preserve">M1-02</w:t>
            </w:r>
          </w:p>
        </w:tc>
        <w:tc>
          <w:tcPr>
            <w:tcW w:type="dxa" w:w="43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Hedge: if no recession, inflation stays sticky → Fed forced to hike. Market pricing 0% chance = free option.</w:t>
            </w:r>
          </w:p>
        </w:tc>
        <w:tc>
          <w:tcPr>
            <w:tcW w:type="dxa" w:w="43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When probability is priced at 0%, any move toward nonzero = profit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8"/>
                <w:szCs w:val="18"/>
              </w:rPr>
              <w:t xml:space="preserve">M1-03</w:t>
            </w:r>
          </w:p>
        </w:tc>
        <w:tc>
          <w:tcPr>
            <w:tcW w:type="dxa" w:w="43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Tail risk play. If recession → crisis → emergency cut (2008, 2020 pattern). Correlated with recession bet.</w:t>
            </w:r>
          </w:p>
        </w:tc>
        <w:tc>
          <w:tcPr>
            <w:tcW w:type="dxa" w:w="43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Crisis response pattern: recession → market crash → emergency Fed action</w:t>
            </w:r>
          </w:p>
        </w:tc>
      </w:tr>
      <w:tr>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bCs/>
                <w:color w:val="2C3E50"/>
                <w:sz w:val="18"/>
                <w:szCs w:val="18"/>
              </w:rPr>
              <w:t xml:space="preserve">M1-04</w:t>
            </w:r>
          </w:p>
        </w:tc>
        <w:tc>
          <w:tcPr>
            <w:tcW w:type="dxa" w:w="43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CR expiring, narrow House majority (220-215), hardliners demanding cuts, DOGE pressure.</w:t>
            </w:r>
          </w:p>
        </w:tc>
        <w:tc>
          <w:tcPr>
            <w:tcW w:type="dxa" w:w="43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Political dysfunction is predictable. Narrow majorities + ideological wings = gridlock</w:t>
            </w:r>
          </w:p>
        </w:tc>
      </w:tr>
    </w:tbl>
    <w:p>
      <w:r>
        <w:br w:type="page"/>
      </w:r>
    </w:p>
    <w:p>
      <w:pPr>
        <w:pStyle w:val="Heading1"/>
      </w:pPr>
      <w:r>
        <w:rPr>
          <w:rFonts w:ascii="Arial" w:cs="Arial" w:eastAsia="Arial" w:hAnsi="Arial"/>
        </w:rPr>
        <w:t xml:space="preserve">February 2026</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EAF8" w:val="clear"/>
            <w:tcMar>
              <w:top w:type="dxa" w:w="100"/>
              <w:left w:type="dxa" w:w="120"/>
              <w:bottom w:type="dxa" w:w="100"/>
              <w:right w:type="dxa" w:w="120"/>
            </w:tcMar>
          </w:tcPr>
          <w:p>
            <w:r>
              <w:rPr>
                <w:rFonts w:ascii="Arial" w:cs="Arial" w:eastAsia="Arial" w:hAnsi="Arial"/>
                <w:color w:val="7F8C8D"/>
                <w:sz w:val="16"/>
                <w:szCs w:val="16"/>
              </w:rPr>
              <w:t xml:space="preserve">Starting Capital</w:t>
            </w:r>
          </w:p>
          <w:p>
            <w:r>
              <w:rPr>
                <w:rFonts w:ascii="Arial" w:cs="Arial" w:eastAsia="Arial" w:hAnsi="Arial"/>
                <w:b/>
                <w:bCs/>
                <w:color w:val="2C3E50"/>
                <w:sz w:val="26"/>
                <w:szCs w:val="26"/>
              </w:rPr>
              <w:t xml:space="preserve">$902.06</w:t>
            </w:r>
          </w:p>
        </w:tc>
        <w:tc>
          <w:tcPr>
            <w:tcW w:type="dxa" w:w="2340"/>
            <w:tcBorders>
              <w:top w:val="none" w:color="FFFFFF" w:sz="0"/>
              <w:left w:val="none" w:color="FFFFFF" w:sz="0"/>
              <w:bottom w:val="none" w:color="FFFFFF" w:sz="0"/>
              <w:right w:val="none" w:color="FFFFFF" w:sz="0"/>
            </w:tcBorders>
            <w:shd w:fill="D6EAF8" w:val="clear"/>
            <w:tcMar>
              <w:top w:type="dxa" w:w="100"/>
              <w:left w:type="dxa" w:w="120"/>
              <w:bottom w:type="dxa" w:w="100"/>
              <w:right w:type="dxa" w:w="120"/>
            </w:tcMar>
          </w:tcPr>
          <w:p>
            <w:r>
              <w:rPr>
                <w:rFonts w:ascii="Arial" w:cs="Arial" w:eastAsia="Arial" w:hAnsi="Arial"/>
                <w:color w:val="7F8C8D"/>
                <w:sz w:val="16"/>
                <w:szCs w:val="16"/>
              </w:rPr>
              <w:t xml:space="preserve">Ending Capital</w:t>
            </w:r>
          </w:p>
          <w:p>
            <w:r>
              <w:rPr>
                <w:rFonts w:ascii="Arial" w:cs="Arial" w:eastAsia="Arial" w:hAnsi="Arial"/>
                <w:b/>
                <w:bCs/>
                <w:color w:val="27AE60"/>
                <w:sz w:val="26"/>
                <w:szCs w:val="26"/>
              </w:rPr>
              <w:t xml:space="preserve">$1057.16</w:t>
            </w:r>
          </w:p>
        </w:tc>
        <w:tc>
          <w:tcPr>
            <w:tcW w:type="dxa" w:w="2340"/>
            <w:tcBorders>
              <w:top w:val="none" w:color="FFFFFF" w:sz="0"/>
              <w:left w:val="none" w:color="FFFFFF" w:sz="0"/>
              <w:bottom w:val="none" w:color="FFFFFF" w:sz="0"/>
              <w:right w:val="none" w:color="FFFFFF" w:sz="0"/>
            </w:tcBorders>
            <w:shd w:fill="D6EAF8" w:val="clear"/>
            <w:tcMar>
              <w:top w:type="dxa" w:w="100"/>
              <w:left w:type="dxa" w:w="120"/>
              <w:bottom w:type="dxa" w:w="100"/>
              <w:right w:type="dxa" w:w="120"/>
            </w:tcMar>
          </w:tcPr>
          <w:p>
            <w:r>
              <w:rPr>
                <w:rFonts w:ascii="Arial" w:cs="Arial" w:eastAsia="Arial" w:hAnsi="Arial"/>
                <w:color w:val="7F8C8D"/>
                <w:sz w:val="16"/>
                <w:szCs w:val="16"/>
              </w:rPr>
              <w:t xml:space="preserve">P&amp;L (on deployed)</w:t>
            </w:r>
          </w:p>
          <w:p>
            <w:r>
              <w:rPr>
                <w:rFonts w:ascii="Arial" w:cs="Arial" w:eastAsia="Arial" w:hAnsi="Arial"/>
                <w:b/>
                <w:bCs/>
                <w:color w:val="27AE60"/>
                <w:sz w:val="26"/>
                <w:szCs w:val="26"/>
              </w:rPr>
              <w:t xml:space="preserve">+$155.10 (130.4%)</w:t>
            </w:r>
          </w:p>
        </w:tc>
        <w:tc>
          <w:tcPr>
            <w:tcW w:type="dxa" w:w="2340"/>
            <w:tcBorders>
              <w:top w:val="none" w:color="FFFFFF" w:sz="0"/>
              <w:left w:val="none" w:color="FFFFFF" w:sz="0"/>
              <w:bottom w:val="none" w:color="FFFFFF" w:sz="0"/>
              <w:right w:val="none" w:color="FFFFFF" w:sz="0"/>
            </w:tcBorders>
            <w:shd w:fill="D6EAF8" w:val="clear"/>
            <w:tcMar>
              <w:top w:type="dxa" w:w="100"/>
              <w:left w:type="dxa" w:w="120"/>
              <w:bottom w:type="dxa" w:w="100"/>
              <w:right w:type="dxa" w:w="120"/>
            </w:tcMar>
          </w:tcPr>
          <w:p>
            <w:r>
              <w:rPr>
                <w:rFonts w:ascii="Arial" w:cs="Arial" w:eastAsia="Arial" w:hAnsi="Arial"/>
                <w:color w:val="7F8C8D"/>
                <w:sz w:val="16"/>
                <w:szCs w:val="16"/>
              </w:rPr>
              <w:t xml:space="preserve">Record</w:t>
            </w:r>
          </w:p>
          <w:p>
            <w:r>
              <w:rPr>
                <w:rFonts w:ascii="Arial" w:cs="Arial" w:eastAsia="Arial" w:hAnsi="Arial"/>
                <w:b/>
                <w:bCs/>
                <w:color w:val="2C3E50"/>
                <w:sz w:val="26"/>
                <w:szCs w:val="26"/>
              </w:rPr>
              <w:t xml:space="preserve">4W / 0L / 0 open</w:t>
            </w:r>
          </w:p>
        </w:tc>
      </w:tr>
    </w:tbl>
    <w:p>
      <w:pPr>
        <w:spacing w:after="80" w:before="80"/>
      </w:pPr>
    </w:p>
    <w:p>
      <w:pPr>
        <w:pStyle w:val="Heading2"/>
      </w:pPr>
      <w:r>
        <w:rPr>
          <w:rFonts w:ascii="Arial" w:cs="Arial" w:eastAsia="Arial" w:hAnsi="Arial"/>
        </w:rPr>
        <w:t xml:space="preserve">Timeline</w:t>
      </w:r>
    </w:p>
    <w:p>
      <w:pPr>
        <w:spacing w:after="120"/>
        <w:jc w:val="left"/>
      </w:pPr>
      <w:r>
        <w:rPr>
          <w:rFonts w:ascii="Arial" w:cs="Arial" w:eastAsia="Arial" w:hAnsi="Arial"/>
          <w:b/>
          <w:bCs/>
          <w:color w:val="2C3E50"/>
          <w:sz w:val="20"/>
          <w:szCs w:val="20"/>
        </w:rPr>
        <w:t xml:space="preserve">Feb 3: </w:t>
      </w:r>
      <w:r>
        <w:rPr>
          <w:rFonts w:ascii="Arial" w:cs="Arial" w:eastAsia="Arial" w:hAnsi="Arial"/>
          <w:color w:val="2C3E50"/>
          <w:sz w:val="20"/>
          <w:szCs w:val="20"/>
        </w:rPr>
        <w:t xml:space="preserve">DHS shutdown bet opened. BTC NO $85k monthly opened.</w:t>
      </w:r>
    </w:p>
    <w:p>
      <w:pPr>
        <w:spacing w:after="120"/>
        <w:jc w:val="left"/>
      </w:pPr>
      <w:r>
        <w:rPr>
          <w:rFonts w:ascii="Arial" w:cs="Arial" w:eastAsia="Arial" w:hAnsi="Arial"/>
          <w:b/>
          <w:bCs/>
          <w:color w:val="2C3E50"/>
          <w:sz w:val="20"/>
          <w:szCs w:val="20"/>
        </w:rPr>
        <w:t xml:space="preserve">Feb 13: </w:t>
      </w:r>
      <w:r>
        <w:rPr>
          <w:rFonts w:ascii="Arial" w:cs="Arial" w:eastAsia="Arial" w:hAnsi="Arial"/>
          <w:color w:val="2C3E50"/>
          <w:sz w:val="20"/>
          <w:szCs w:val="20"/>
        </w:rPr>
        <w:t xml:space="preserve">DHS funding lapsed — shutdown bet wins (+$55.25).</w:t>
      </w:r>
    </w:p>
    <w:p>
      <w:pPr>
        <w:spacing w:after="120"/>
        <w:jc w:val="left"/>
      </w:pPr>
      <w:r>
        <w:rPr>
          <w:rFonts w:ascii="Arial" w:cs="Arial" w:eastAsia="Arial" w:hAnsi="Arial"/>
          <w:b/>
          <w:bCs/>
          <w:color w:val="2C3E50"/>
          <w:sz w:val="20"/>
          <w:szCs w:val="20"/>
        </w:rPr>
        <w:t xml:space="preserve">Feb 15: </w:t>
      </w:r>
      <w:r>
        <w:rPr>
          <w:rFonts w:ascii="Arial" w:cs="Arial" w:eastAsia="Arial" w:hAnsi="Arial"/>
          <w:color w:val="2C3E50"/>
          <w:sz w:val="20"/>
          <w:szCs w:val="20"/>
        </w:rPr>
        <w:t xml:space="preserve">Iran strikes bet opened at $0.40. Carrier group deployed.</w:t>
      </w:r>
    </w:p>
    <w:p>
      <w:pPr>
        <w:spacing w:after="120"/>
        <w:jc w:val="left"/>
      </w:pPr>
      <w:r>
        <w:rPr>
          <w:rFonts w:ascii="Arial" w:cs="Arial" w:eastAsia="Arial" w:hAnsi="Arial"/>
          <w:b/>
          <w:bCs/>
          <w:color w:val="2C3E50"/>
          <w:sz w:val="20"/>
          <w:szCs w:val="20"/>
        </w:rPr>
        <w:t xml:space="preserve">Feb 20: </w:t>
      </w:r>
      <w:r>
        <w:rPr>
          <w:rFonts w:ascii="Arial" w:cs="Arial" w:eastAsia="Arial" w:hAnsi="Arial"/>
          <w:color w:val="2C3E50"/>
          <w:sz w:val="20"/>
          <w:szCs w:val="20"/>
        </w:rPr>
        <w:t xml:space="preserve">Q4 GDP prints 1.4% (vs 2.8% forecast). S&amp;P drops. Daily DOWN wins (+$30.25).</w:t>
      </w:r>
    </w:p>
    <w:p>
      <w:pPr>
        <w:spacing w:after="120"/>
        <w:jc w:val="left"/>
      </w:pPr>
      <w:r>
        <w:rPr>
          <w:rFonts w:ascii="Arial" w:cs="Arial" w:eastAsia="Arial" w:hAnsi="Arial"/>
          <w:b/>
          <w:bCs/>
          <w:color w:val="2C3E50"/>
          <w:sz w:val="20"/>
          <w:szCs w:val="20"/>
        </w:rPr>
        <w:t xml:space="preserve">Feb 28: </w:t>
      </w:r>
      <w:r>
        <w:rPr>
          <w:rFonts w:ascii="Arial" w:cs="Arial" w:eastAsia="Arial" w:hAnsi="Arial"/>
          <w:color w:val="2C3E50"/>
          <w:sz w:val="20"/>
          <w:szCs w:val="20"/>
        </w:rPr>
        <w:t xml:space="preserve">US strikes Iran. Largest Polymarket geopolitical market resolves. (+$37.20). BTC NO $85k wins (+$32.40).</w:t>
      </w:r>
    </w:p>
    <w:p>
      <w:pPr>
        <w:spacing w:after="80" w:before="80"/>
      </w:pPr>
    </w:p>
    <w:p>
      <w:pPr>
        <w:pStyle w:val="Heading2"/>
      </w:pPr>
      <w:r>
        <w:rPr>
          <w:rFonts w:ascii="Arial" w:cs="Arial" w:eastAsia="Arial" w:hAnsi="Arial"/>
        </w:rPr>
        <w:t xml:space="preserve">Trades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0"/>
        <w:gridCol w:w="800"/>
        <w:gridCol w:w="800"/>
        <w:gridCol w:w="800"/>
        <w:gridCol w:w="800"/>
        <w:gridCol w:w="760"/>
        <w:gridCol w:w="1500"/>
      </w:tblGrid>
      <w:tr>
        <w:tc>
          <w:tcPr>
            <w:tcW w:type="dxa" w:w="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Market</w:t>
            </w:r>
          </w:p>
        </w:tc>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Entry</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Exit</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Shares</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Cost</w:t>
            </w:r>
          </w:p>
        </w:tc>
        <w:tc>
          <w:tcPr>
            <w:tcW w:type="dxa" w:w="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P&amp;L</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Outcome</w:t>
            </w:r>
          </w:p>
        </w:tc>
      </w:tr>
      <w:tr>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bCs/>
                <w:color w:val="2C3E50"/>
                <w:sz w:val="18"/>
                <w:szCs w:val="18"/>
              </w:rPr>
              <w:t xml:space="preserve">W2-01</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DHS Funding Lapses After Feb 13 YES</w:t>
            </w:r>
          </w:p>
        </w:tc>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W</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$0.350</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$1.000</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85</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$29.75</w:t>
            </w:r>
          </w:p>
        </w:tc>
        <w:tc>
          <w:tcPr>
            <w:tcW w:type="dxa" w:w="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bCs/>
                <w:color w:val="27AE60"/>
                <w:sz w:val="18"/>
                <w:szCs w:val="18"/>
              </w:rPr>
              <w:t xml:space="preserve">+$55.25</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bCs/>
                <w:color w:val="27AE60"/>
                <w:sz w:val="18"/>
                <w:szCs w:val="18"/>
              </w:rPr>
              <w:t xml:space="preserve">WON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8"/>
                <w:szCs w:val="18"/>
              </w:rPr>
              <w:t xml:space="preserve">M2-01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BTC does NOT hit $85k in February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$0.550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$1.000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72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$39.60</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27AE60"/>
                <w:sz w:val="18"/>
                <w:szCs w:val="18"/>
              </w:rPr>
              <w:t xml:space="preserve">+$32.40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18"/>
                <w:szCs w:val="18"/>
              </w:rPr>
              <w:t xml:space="preserve">WON</w:t>
            </w:r>
          </w:p>
        </w:tc>
      </w:tr>
      <w:tr>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bCs/>
                <w:color w:val="2C3E50"/>
                <w:sz w:val="18"/>
                <w:szCs w:val="18"/>
              </w:rPr>
              <w:t xml:space="preserve">D2-01</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S&amp;P 500 DOWN on Feb 20 (GDP Release Day)</w:t>
            </w:r>
          </w:p>
        </w:tc>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D</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$0.450</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$1.000</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55</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$24.75</w:t>
            </w:r>
          </w:p>
        </w:tc>
        <w:tc>
          <w:tcPr>
            <w:tcW w:type="dxa" w:w="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bCs/>
                <w:color w:val="27AE60"/>
                <w:sz w:val="18"/>
                <w:szCs w:val="18"/>
              </w:rPr>
              <w:t xml:space="preserve">+$30.25</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bCs/>
                <w:color w:val="27AE60"/>
                <w:sz w:val="18"/>
                <w:szCs w:val="18"/>
              </w:rPr>
              <w:t xml:space="preserve">WON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8"/>
                <w:szCs w:val="18"/>
              </w:rPr>
              <w:t xml:space="preserve">M2-02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US Strikes Iran by Feb 28 YES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$0.400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$1.000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62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$24.80</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27AE60"/>
                <w:sz w:val="18"/>
                <w:szCs w:val="18"/>
              </w:rPr>
              <w:t xml:space="preserve">+$37.20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18"/>
                <w:szCs w:val="18"/>
              </w:rPr>
              <w:t xml:space="preserve">WON</w:t>
            </w:r>
          </w:p>
        </w:tc>
      </w:tr>
    </w:tbl>
    <w:p>
      <w:pPr>
        <w:spacing w:after="80" w:before="80"/>
      </w:pPr>
    </w:p>
    <w:p>
      <w:pPr>
        <w:pStyle w:val="Heading2"/>
      </w:pPr>
      <w:r>
        <w:rPr>
          <w:rFonts w:ascii="Arial" w:cs="Arial" w:eastAsia="Arial" w:hAnsi="Arial"/>
        </w:rPr>
        <w:t xml:space="preserve">Deductive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tcW w:type="dxa" w:w="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43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Entry Reasoning</w:t>
            </w:r>
          </w:p>
        </w:tc>
        <w:tc>
          <w:tcPr>
            <w:tcW w:type="dxa" w:w="43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Deduction (What We Knew)</w:t>
            </w:r>
          </w:p>
        </w:tc>
      </w:tr>
      <w:tr>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bCs/>
                <w:color w:val="2C3E50"/>
                <w:sz w:val="18"/>
                <w:szCs w:val="18"/>
              </w:rPr>
              <w:t xml:space="preserve">W2-01</w:t>
            </w:r>
          </w:p>
        </w:tc>
        <w:tc>
          <w:tcPr>
            <w:tcW w:type="dxa" w:w="43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Jan shutdown CR only funded DHS through Feb 13. Same gridlock dynamics. No resolution in sight.</w:t>
            </w:r>
          </w:p>
        </w:tc>
        <w:tc>
          <w:tcPr>
            <w:tcW w:type="dxa" w:w="43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Extend-and-pretend CRs create predictable future deadlines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8"/>
                <w:szCs w:val="18"/>
              </w:rPr>
              <w:t xml:space="preserve">M2-01</w:t>
            </w:r>
          </w:p>
        </w:tc>
        <w:tc>
          <w:tcPr>
            <w:tcW w:type="dxa" w:w="43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BTC at $78.7k, crashed 10% in Jan. Leverage unwind ongoing. No catalyst for recovery to $85k. Feb historically weak for crypto.</w:t>
            </w:r>
          </w:p>
        </w:tc>
        <w:tc>
          <w:tcPr>
            <w:tcW w:type="dxa" w:w="43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Leverage unwinds don't reverse in weeks. BTC peaked at $79k in Feb.</w:t>
            </w:r>
          </w:p>
        </w:tc>
      </w:tr>
      <w:tr>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bCs/>
                <w:color w:val="2C3E50"/>
                <w:sz w:val="18"/>
                <w:szCs w:val="18"/>
              </w:rPr>
              <w:t xml:space="preserve">D2-01</w:t>
            </w:r>
          </w:p>
        </w:tc>
        <w:tc>
          <w:tcPr>
            <w:tcW w:type="dxa" w:w="43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Q4 GDP releasing today. Consumer spending weak, exports fell, shutdown impact. Consensus 2.8% is too high. Miss = selloff.</w:t>
            </w:r>
          </w:p>
        </w:tc>
        <w:tc>
          <w:tcPr>
            <w:tcW w:type="dxa" w:w="43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GDP miss → same-day selloff is one of the most reliable patterns in equity markets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8"/>
                <w:szCs w:val="18"/>
              </w:rPr>
              <w:t xml:space="preserve">M2-02</w:t>
            </w:r>
          </w:p>
        </w:tc>
        <w:tc>
          <w:tcPr>
            <w:tcW w:type="dxa" w:w="43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Carrier group deployed, Trump rhetoric escalating, Feb 28 ultimatum. Public signals point to action. Market still hedging at 40%.</w:t>
            </w:r>
          </w:p>
        </w:tc>
        <w:tc>
          <w:tcPr>
            <w:tcW w:type="dxa" w:w="43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Military deployments + ultimatum deadlines + executive rhetoric = strikes incoming</w:t>
            </w:r>
          </w:p>
        </w:tc>
      </w:tr>
    </w:tbl>
    <w:p>
      <w:r>
        <w:br w:type="page"/>
      </w:r>
    </w:p>
    <w:p>
      <w:pPr>
        <w:pStyle w:val="Heading1"/>
      </w:pPr>
      <w:r>
        <w:rPr>
          <w:rFonts w:ascii="Arial" w:cs="Arial" w:eastAsia="Arial" w:hAnsi="Arial"/>
        </w:rPr>
        <w:t xml:space="preserve">March 2026</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EAF8" w:val="clear"/>
            <w:tcMar>
              <w:top w:type="dxa" w:w="100"/>
              <w:left w:type="dxa" w:w="120"/>
              <w:bottom w:type="dxa" w:w="100"/>
              <w:right w:type="dxa" w:w="120"/>
            </w:tcMar>
          </w:tcPr>
          <w:p>
            <w:r>
              <w:rPr>
                <w:rFonts w:ascii="Arial" w:cs="Arial" w:eastAsia="Arial" w:hAnsi="Arial"/>
                <w:color w:val="7F8C8D"/>
                <w:sz w:val="16"/>
                <w:szCs w:val="16"/>
              </w:rPr>
              <w:t xml:space="preserve">Starting Capital</w:t>
            </w:r>
          </w:p>
          <w:p>
            <w:r>
              <w:rPr>
                <w:rFonts w:ascii="Arial" w:cs="Arial" w:eastAsia="Arial" w:hAnsi="Arial"/>
                <w:b/>
                <w:bCs/>
                <w:color w:val="2C3E50"/>
                <w:sz w:val="26"/>
                <w:szCs w:val="26"/>
              </w:rPr>
              <w:t xml:space="preserve">$1057.16</w:t>
            </w:r>
          </w:p>
        </w:tc>
        <w:tc>
          <w:tcPr>
            <w:tcW w:type="dxa" w:w="2340"/>
            <w:tcBorders>
              <w:top w:val="none" w:color="FFFFFF" w:sz="0"/>
              <w:left w:val="none" w:color="FFFFFF" w:sz="0"/>
              <w:bottom w:val="none" w:color="FFFFFF" w:sz="0"/>
              <w:right w:val="none" w:color="FFFFFF" w:sz="0"/>
            </w:tcBorders>
            <w:shd w:fill="D6EAF8" w:val="clear"/>
            <w:tcMar>
              <w:top w:type="dxa" w:w="100"/>
              <w:left w:type="dxa" w:w="120"/>
              <w:bottom w:type="dxa" w:w="100"/>
              <w:right w:type="dxa" w:w="120"/>
            </w:tcMar>
          </w:tcPr>
          <w:p>
            <w:r>
              <w:rPr>
                <w:rFonts w:ascii="Arial" w:cs="Arial" w:eastAsia="Arial" w:hAnsi="Arial"/>
                <w:color w:val="7F8C8D"/>
                <w:sz w:val="16"/>
                <w:szCs w:val="16"/>
              </w:rPr>
              <w:t xml:space="preserve">Ending Capital</w:t>
            </w:r>
          </w:p>
          <w:p>
            <w:r>
              <w:rPr>
                <w:rFonts w:ascii="Arial" w:cs="Arial" w:eastAsia="Arial" w:hAnsi="Arial"/>
                <w:b/>
                <w:bCs/>
                <w:color w:val="27AE60"/>
                <w:sz w:val="26"/>
                <w:szCs w:val="26"/>
              </w:rPr>
              <w:t xml:space="preserve">$1166.81</w:t>
            </w:r>
          </w:p>
        </w:tc>
        <w:tc>
          <w:tcPr>
            <w:tcW w:type="dxa" w:w="2340"/>
            <w:tcBorders>
              <w:top w:val="none" w:color="FFFFFF" w:sz="0"/>
              <w:left w:val="none" w:color="FFFFFF" w:sz="0"/>
              <w:bottom w:val="none" w:color="FFFFFF" w:sz="0"/>
              <w:right w:val="none" w:color="FFFFFF" w:sz="0"/>
            </w:tcBorders>
            <w:shd w:fill="D6EAF8" w:val="clear"/>
            <w:tcMar>
              <w:top w:type="dxa" w:w="100"/>
              <w:left w:type="dxa" w:w="120"/>
              <w:bottom w:type="dxa" w:w="100"/>
              <w:right w:type="dxa" w:w="120"/>
            </w:tcMar>
          </w:tcPr>
          <w:p>
            <w:r>
              <w:rPr>
                <w:rFonts w:ascii="Arial" w:cs="Arial" w:eastAsia="Arial" w:hAnsi="Arial"/>
                <w:color w:val="7F8C8D"/>
                <w:sz w:val="16"/>
                <w:szCs w:val="16"/>
              </w:rPr>
              <w:t xml:space="preserve">P&amp;L (on deployed)</w:t>
            </w:r>
          </w:p>
          <w:p>
            <w:r>
              <w:rPr>
                <w:rFonts w:ascii="Arial" w:cs="Arial" w:eastAsia="Arial" w:hAnsi="Arial"/>
                <w:b/>
                <w:bCs/>
                <w:color w:val="27AE60"/>
                <w:sz w:val="26"/>
                <w:szCs w:val="26"/>
              </w:rPr>
              <w:t xml:space="preserve">+$109.65 (43.3%)</w:t>
            </w:r>
          </w:p>
        </w:tc>
        <w:tc>
          <w:tcPr>
            <w:tcW w:type="dxa" w:w="2340"/>
            <w:tcBorders>
              <w:top w:val="none" w:color="FFFFFF" w:sz="0"/>
              <w:left w:val="none" w:color="FFFFFF" w:sz="0"/>
              <w:bottom w:val="none" w:color="FFFFFF" w:sz="0"/>
              <w:right w:val="none" w:color="FFFFFF" w:sz="0"/>
            </w:tcBorders>
            <w:shd w:fill="D6EAF8" w:val="clear"/>
            <w:tcMar>
              <w:top w:type="dxa" w:w="100"/>
              <w:left w:type="dxa" w:w="120"/>
              <w:bottom w:type="dxa" w:w="100"/>
              <w:right w:type="dxa" w:w="120"/>
            </w:tcMar>
          </w:tcPr>
          <w:p>
            <w:r>
              <w:rPr>
                <w:rFonts w:ascii="Arial" w:cs="Arial" w:eastAsia="Arial" w:hAnsi="Arial"/>
                <w:color w:val="7F8C8D"/>
                <w:sz w:val="16"/>
                <w:szCs w:val="16"/>
              </w:rPr>
              <w:t xml:space="preserve">Record</w:t>
            </w:r>
          </w:p>
          <w:p>
            <w:r>
              <w:rPr>
                <w:rFonts w:ascii="Arial" w:cs="Arial" w:eastAsia="Arial" w:hAnsi="Arial"/>
                <w:b/>
                <w:bCs/>
                <w:color w:val="2C3E50"/>
                <w:sz w:val="26"/>
                <w:szCs w:val="26"/>
              </w:rPr>
              <w:t xml:space="preserve">4W / 0L / 1 open</w:t>
            </w:r>
          </w:p>
        </w:tc>
      </w:tr>
    </w:tbl>
    <w:p>
      <w:pPr>
        <w:spacing w:after="80" w:before="80"/>
      </w:pPr>
    </w:p>
    <w:p>
      <w:pPr>
        <w:pStyle w:val="Heading2"/>
      </w:pPr>
      <w:r>
        <w:rPr>
          <w:rFonts w:ascii="Arial" w:cs="Arial" w:eastAsia="Arial" w:hAnsi="Arial"/>
        </w:rPr>
        <w:t xml:space="preserve">Timeline</w:t>
      </w:r>
    </w:p>
    <w:p>
      <w:pPr>
        <w:spacing w:after="120"/>
        <w:jc w:val="left"/>
      </w:pPr>
      <w:r>
        <w:rPr>
          <w:rFonts w:ascii="Arial" w:cs="Arial" w:eastAsia="Arial" w:hAnsi="Arial"/>
          <w:b/>
          <w:bCs/>
          <w:color w:val="2C3E50"/>
          <w:sz w:val="20"/>
          <w:szCs w:val="20"/>
        </w:rPr>
        <w:t xml:space="preserve">Mar 6: </w:t>
      </w:r>
      <w:r>
        <w:rPr>
          <w:rFonts w:ascii="Arial" w:cs="Arial" w:eastAsia="Arial" w:hAnsi="Arial"/>
          <w:color w:val="2C3E50"/>
          <w:sz w:val="20"/>
          <w:szCs w:val="20"/>
        </w:rPr>
        <w:t xml:space="preserve">Nonfarm payrolls -92k. S&amp;P drops. Daily DOWN wins (+$30.25).</w:t>
      </w:r>
    </w:p>
    <w:p>
      <w:pPr>
        <w:spacing w:after="120"/>
        <w:jc w:val="left"/>
      </w:pPr>
      <w:r>
        <w:rPr>
          <w:rFonts w:ascii="Arial" w:cs="Arial" w:eastAsia="Arial" w:hAnsi="Arial"/>
          <w:b/>
          <w:bCs/>
          <w:color w:val="2C3E50"/>
          <w:sz w:val="20"/>
          <w:szCs w:val="20"/>
        </w:rPr>
        <w:t xml:space="preserve">Mar 10: </w:t>
      </w:r>
      <w:r>
        <w:rPr>
          <w:rFonts w:ascii="Arial" w:cs="Arial" w:eastAsia="Arial" w:hAnsi="Arial"/>
          <w:color w:val="2C3E50"/>
          <w:sz w:val="20"/>
          <w:szCs w:val="20"/>
        </w:rPr>
        <w:t xml:space="preserve">Khamenei death bet opened at $0.30.</w:t>
      </w:r>
    </w:p>
    <w:p>
      <w:pPr>
        <w:spacing w:after="120"/>
        <w:jc w:val="left"/>
      </w:pPr>
      <w:r>
        <w:rPr>
          <w:rFonts w:ascii="Arial" w:cs="Arial" w:eastAsia="Arial" w:hAnsi="Arial"/>
          <w:b/>
          <w:bCs/>
          <w:color w:val="2C3E50"/>
          <w:sz w:val="20"/>
          <w:szCs w:val="20"/>
        </w:rPr>
        <w:t xml:space="preserve">Mar 13: </w:t>
      </w:r>
      <w:r>
        <w:rPr>
          <w:rFonts w:ascii="Arial" w:cs="Arial" w:eastAsia="Arial" w:hAnsi="Arial"/>
          <w:color w:val="2C3E50"/>
          <w:sz w:val="20"/>
          <w:szCs w:val="20"/>
        </w:rPr>
        <w:t xml:space="preserve">S&amp;P ATH NO bet opened. Market at lowest close of 2026.</w:t>
      </w:r>
    </w:p>
    <w:p>
      <w:pPr>
        <w:spacing w:after="120"/>
        <w:jc w:val="left"/>
      </w:pPr>
      <w:r>
        <w:rPr>
          <w:rFonts w:ascii="Arial" w:cs="Arial" w:eastAsia="Arial" w:hAnsi="Arial"/>
          <w:b/>
          <w:bCs/>
          <w:color w:val="2C3E50"/>
          <w:sz w:val="20"/>
          <w:szCs w:val="20"/>
        </w:rPr>
        <w:t xml:space="preserve">Mar 15: </w:t>
      </w:r>
      <w:r>
        <w:rPr>
          <w:rFonts w:ascii="Arial" w:cs="Arial" w:eastAsia="Arial" w:hAnsi="Arial"/>
          <w:color w:val="2C3E50"/>
          <w:sz w:val="20"/>
          <w:szCs w:val="20"/>
        </w:rPr>
        <w:t xml:space="preserve">FOMC No Change bet opened at $0.92.</w:t>
      </w:r>
    </w:p>
    <w:p>
      <w:pPr>
        <w:spacing w:after="120"/>
        <w:jc w:val="left"/>
      </w:pPr>
      <w:r>
        <w:rPr>
          <w:rFonts w:ascii="Arial" w:cs="Arial" w:eastAsia="Arial" w:hAnsi="Arial"/>
          <w:b/>
          <w:bCs/>
          <w:color w:val="2C3E50"/>
          <w:sz w:val="20"/>
          <w:szCs w:val="20"/>
        </w:rPr>
        <w:t xml:space="preserve">Mar 18: </w:t>
      </w:r>
      <w:r>
        <w:rPr>
          <w:rFonts w:ascii="Arial" w:cs="Arial" w:eastAsia="Arial" w:hAnsi="Arial"/>
          <w:color w:val="2C3E50"/>
          <w:sz w:val="20"/>
          <w:szCs w:val="20"/>
        </w:rPr>
        <w:t xml:space="preserve">FOMC holds 3.50-3.75% (11-1). No Change wins (+$10.80).</w:t>
      </w:r>
    </w:p>
    <w:p>
      <w:pPr>
        <w:spacing w:after="120"/>
        <w:jc w:val="left"/>
      </w:pPr>
      <w:r>
        <w:rPr>
          <w:rFonts w:ascii="Arial" w:cs="Arial" w:eastAsia="Arial" w:hAnsi="Arial"/>
          <w:b/>
          <w:bCs/>
          <w:color w:val="2C3E50"/>
          <w:sz w:val="20"/>
          <w:szCs w:val="20"/>
        </w:rPr>
        <w:t xml:space="preserve">Mar 25: </w:t>
      </w:r>
      <w:r>
        <w:rPr>
          <w:rFonts w:ascii="Arial" w:cs="Arial" w:eastAsia="Arial" w:hAnsi="Arial"/>
          <w:color w:val="2C3E50"/>
          <w:sz w:val="20"/>
          <w:szCs w:val="20"/>
        </w:rPr>
        <w:t xml:space="preserve">Iran rejects ceasefire. Ceasefire/Oil bet opened.</w:t>
      </w:r>
    </w:p>
    <w:p>
      <w:pPr>
        <w:spacing w:after="120"/>
        <w:jc w:val="left"/>
      </w:pPr>
      <w:r>
        <w:rPr>
          <w:rFonts w:ascii="Arial" w:cs="Arial" w:eastAsia="Arial" w:hAnsi="Arial"/>
          <w:b/>
          <w:bCs/>
          <w:color w:val="2C3E50"/>
          <w:sz w:val="20"/>
          <w:szCs w:val="20"/>
        </w:rPr>
        <w:t xml:space="preserve">Mar 29: </w:t>
      </w:r>
      <w:r>
        <w:rPr>
          <w:rFonts w:ascii="Arial" w:cs="Arial" w:eastAsia="Arial" w:hAnsi="Arial"/>
          <w:color w:val="2C3E50"/>
          <w:sz w:val="20"/>
          <w:szCs w:val="20"/>
        </w:rPr>
        <w:t xml:space="preserve">Khamenei death confirmed. YES wins (+$58.10).</w:t>
      </w:r>
    </w:p>
    <w:p>
      <w:pPr>
        <w:spacing w:after="120"/>
        <w:jc w:val="left"/>
      </w:pPr>
      <w:r>
        <w:rPr>
          <w:rFonts w:ascii="Arial" w:cs="Arial" w:eastAsia="Arial" w:hAnsi="Arial"/>
          <w:b/>
          <w:bCs/>
          <w:color w:val="2C3E50"/>
          <w:sz w:val="20"/>
          <w:szCs w:val="20"/>
        </w:rPr>
        <w:t xml:space="preserve">Mar 30: </w:t>
      </w:r>
      <w:r>
        <w:rPr>
          <w:rFonts w:ascii="Arial" w:cs="Arial" w:eastAsia="Arial" w:hAnsi="Arial"/>
          <w:color w:val="2C3E50"/>
          <w:sz w:val="20"/>
          <w:szCs w:val="20"/>
        </w:rPr>
        <w:t xml:space="preserve">Oil ceasefire NO position marked-to-market at $0.80 (+$3.78).</w:t>
      </w:r>
    </w:p>
    <w:p>
      <w:pPr>
        <w:spacing w:after="80" w:before="80"/>
      </w:pPr>
    </w:p>
    <w:p>
      <w:pPr>
        <w:pStyle w:val="Heading2"/>
      </w:pPr>
      <w:r>
        <w:rPr>
          <w:rFonts w:ascii="Arial" w:cs="Arial" w:eastAsia="Arial" w:hAnsi="Arial"/>
        </w:rPr>
        <w:t xml:space="preserve">Trades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0"/>
        <w:gridCol w:w="800"/>
        <w:gridCol w:w="800"/>
        <w:gridCol w:w="800"/>
        <w:gridCol w:w="800"/>
        <w:gridCol w:w="760"/>
        <w:gridCol w:w="1500"/>
      </w:tblGrid>
      <w:tr>
        <w:tc>
          <w:tcPr>
            <w:tcW w:type="dxa" w:w="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Market</w:t>
            </w:r>
          </w:p>
        </w:tc>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Entry</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Exit</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Shares</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Cost</w:t>
            </w:r>
          </w:p>
        </w:tc>
        <w:tc>
          <w:tcPr>
            <w:tcW w:type="dxa" w:w="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P&amp;L</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Outcome</w:t>
            </w:r>
          </w:p>
        </w:tc>
      </w:tr>
      <w:tr>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bCs/>
                <w:color w:val="2C3E50"/>
                <w:sz w:val="18"/>
                <w:szCs w:val="18"/>
              </w:rPr>
              <w:t xml:space="preserve">D3-01</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S&amp;P 500 DOWN on Mar 6 (Nonfarm Payrolls)</w:t>
            </w:r>
          </w:p>
        </w:tc>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D</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$0.450</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$1.000</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55</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$24.75</w:t>
            </w:r>
          </w:p>
        </w:tc>
        <w:tc>
          <w:tcPr>
            <w:tcW w:type="dxa" w:w="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bCs/>
                <w:color w:val="27AE60"/>
                <w:sz w:val="18"/>
                <w:szCs w:val="18"/>
              </w:rPr>
              <w:t xml:space="preserve">+$30.25</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bCs/>
                <w:color w:val="27AE60"/>
                <w:sz w:val="18"/>
                <w:szCs w:val="18"/>
              </w:rPr>
              <w:t xml:space="preserve">WON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8"/>
                <w:szCs w:val="18"/>
              </w:rPr>
              <w:t xml:space="preserve">W3-01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Fed No Change March 2026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$0.920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$1.000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135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$124.20</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27AE60"/>
                <w:sz w:val="18"/>
                <w:szCs w:val="18"/>
              </w:rPr>
              <w:t xml:space="preserve">+$10.80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18"/>
                <w:szCs w:val="18"/>
              </w:rPr>
              <w:t xml:space="preserve">WON</w:t>
            </w:r>
          </w:p>
        </w:tc>
      </w:tr>
      <w:tr>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bCs/>
                <w:color w:val="2C3E50"/>
                <w:sz w:val="18"/>
                <w:szCs w:val="18"/>
              </w:rPr>
              <w:t xml:space="preserve">M3-01</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Khamenei Out as Supreme Leader by Mar 31 YES</w:t>
            </w:r>
          </w:p>
        </w:tc>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M</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$0.300</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$1.000</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83</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$24.90</w:t>
            </w:r>
          </w:p>
        </w:tc>
        <w:tc>
          <w:tcPr>
            <w:tcW w:type="dxa" w:w="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bCs/>
                <w:color w:val="27AE60"/>
                <w:sz w:val="18"/>
                <w:szCs w:val="18"/>
              </w:rPr>
              <w:t xml:space="preserve">+$58.10</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bCs/>
                <w:color w:val="27AE60"/>
                <w:sz w:val="18"/>
                <w:szCs w:val="18"/>
              </w:rPr>
              <w:t xml:space="preserve">WON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8"/>
                <w:szCs w:val="18"/>
              </w:rPr>
              <w:t xml:space="preserve">W3-02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S&amp;P 500 does NOT hit ATH by Mar 31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$0.880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$1.000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56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$49.28</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27AE60"/>
                <w:sz w:val="18"/>
                <w:szCs w:val="18"/>
              </w:rPr>
              <w:t xml:space="preserve">+$6.72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7AE60"/>
                <w:sz w:val="18"/>
                <w:szCs w:val="18"/>
              </w:rPr>
              <w:t xml:space="preserve">WON</w:t>
            </w:r>
          </w:p>
        </w:tc>
      </w:tr>
      <w:tr>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bCs/>
                <w:color w:val="2C3E50"/>
                <w:sz w:val="18"/>
                <w:szCs w:val="18"/>
              </w:rPr>
              <w:t xml:space="preserve">M3-02</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US-Iran Ceasefire Before Oil Hits $120 NO</w:t>
            </w:r>
          </w:p>
        </w:tc>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M</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$0.710</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$0.800</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42</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$29.82</w:t>
            </w:r>
          </w:p>
        </w:tc>
        <w:tc>
          <w:tcPr>
            <w:tcW w:type="dxa" w:w="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right"/>
            </w:pPr>
            <w:r>
              <w:rPr>
                <w:rFonts w:ascii="Arial" w:cs="Arial" w:eastAsia="Arial" w:hAnsi="Arial"/>
                <w:b/>
                <w:bCs/>
                <w:color w:val="27AE60"/>
                <w:sz w:val="18"/>
                <w:szCs w:val="18"/>
              </w:rPr>
              <w:t xml:space="preserve">+$3.78</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bCs/>
                <w:color w:val="7F8C8D"/>
                <w:sz w:val="18"/>
                <w:szCs w:val="18"/>
              </w:rPr>
              <w:t xml:space="preserve">SOLD</w:t>
            </w:r>
          </w:p>
        </w:tc>
      </w:tr>
    </w:tbl>
    <w:p>
      <w:pPr>
        <w:spacing w:after="80" w:before="80"/>
      </w:pPr>
    </w:p>
    <w:p>
      <w:pPr>
        <w:pStyle w:val="Heading2"/>
      </w:pPr>
      <w:r>
        <w:rPr>
          <w:rFonts w:ascii="Arial" w:cs="Arial" w:eastAsia="Arial" w:hAnsi="Arial"/>
        </w:rPr>
        <w:t xml:space="preserve">Deductive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tcW w:type="dxa" w:w="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43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Entry Reasoning</w:t>
            </w:r>
          </w:p>
        </w:tc>
        <w:tc>
          <w:tcPr>
            <w:tcW w:type="dxa" w:w="43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Deduction (What We Knew)</w:t>
            </w:r>
          </w:p>
        </w:tc>
      </w:tr>
      <w:tr>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bCs/>
                <w:color w:val="2C3E50"/>
                <w:sz w:val="18"/>
                <w:szCs w:val="18"/>
              </w:rPr>
              <w:t xml:space="preserve">D3-01</w:t>
            </w:r>
          </w:p>
        </w:tc>
        <w:tc>
          <w:tcPr>
            <w:tcW w:type="dxa" w:w="43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Nonfarm payrolls releasing. DOGE hiring freeze, shutdown impacts, oil shock hitting employment. Negative surprise likely → S&amp;P drops.</w:t>
            </w:r>
          </w:p>
        </w:tc>
        <w:tc>
          <w:tcPr>
            <w:tcW w:type="dxa" w:w="43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DOGE hiring freeze + shutdown + oil shock = employment weakness. Nonfarm -92k was massive miss.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8"/>
                <w:szCs w:val="18"/>
              </w:rPr>
              <w:t xml:space="preserve">W3-01</w:t>
            </w:r>
          </w:p>
        </w:tc>
        <w:tc>
          <w:tcPr>
            <w:tcW w:type="dxa" w:w="43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Fed trapped: oil inflation prevents cuts, employment weakness prevents hikes. No change is the only option. 92 cents is free money.</w:t>
            </w:r>
          </w:p>
        </w:tc>
        <w:tc>
          <w:tcPr>
            <w:tcW w:type="dxa" w:w="43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Stagflation paralysis: the Fed cannot move in either direction</w:t>
            </w:r>
          </w:p>
        </w:tc>
      </w:tr>
      <w:tr>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bCs/>
                <w:color w:val="2C3E50"/>
                <w:sz w:val="18"/>
                <w:szCs w:val="18"/>
              </w:rPr>
              <w:t xml:space="preserve">M3-01</w:t>
            </w:r>
          </w:p>
        </w:tc>
        <w:tc>
          <w:tcPr>
            <w:tcW w:type="dxa" w:w="43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State media silence, bunker damage reports, regional intel. $45M volume = high interest. Signals accumulating.</w:t>
            </w:r>
          </w:p>
        </w:tc>
        <w:tc>
          <w:tcPr>
            <w:tcW w:type="dxa" w:w="43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Absence of proof of life + bunker damage + state media silence = death likely</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8"/>
                <w:szCs w:val="18"/>
              </w:rPr>
              <w:t xml:space="preserve">W3-02</w:t>
            </w:r>
          </w:p>
        </w:tc>
        <w:tc>
          <w:tcPr>
            <w:tcW w:type="dxa" w:w="43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S&amp;P at lowest close of 2026, -8.7% from ATH. War ongoing, oil &gt;$100, nonfarm -92k. No path to ATH in 3 weeks.</w:t>
            </w:r>
          </w:p>
        </w:tc>
        <w:tc>
          <w:tcPr>
            <w:tcW w:type="dxa" w:w="43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Markets don't hit ATH during active wars with oil shocks</w:t>
            </w:r>
          </w:p>
        </w:tc>
      </w:tr>
      <w:tr>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bCs/>
                <w:color w:val="2C3E50"/>
                <w:sz w:val="18"/>
                <w:szCs w:val="18"/>
              </w:rPr>
              <w:t xml:space="preserve">M3-02</w:t>
            </w:r>
          </w:p>
        </w:tc>
        <w:tc>
          <w:tcPr>
            <w:tcW w:type="dxa" w:w="43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Iran rejected ceasefire proposal Mar 25. No diplomatic path visible. Oil at $107 and rising. $120 before ceasefire is more likely than ceasefire before $120.</w:t>
            </w:r>
          </w:p>
        </w:tc>
        <w:tc>
          <w:tcPr>
            <w:tcW w:type="dxa" w:w="43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Rejected diplomacy + escalating military action + Hormuz threats = oil keeps rising</w:t>
            </w:r>
          </w:p>
        </w:tc>
      </w:tr>
    </w:tbl>
    <w:p>
      <w:r>
        <w:br w:type="page"/>
      </w:r>
    </w:p>
    <w:p>
      <w:pPr>
        <w:pStyle w:val="Heading1"/>
      </w:pPr>
      <w:r>
        <w:rPr>
          <w:rFonts w:ascii="Arial" w:cs="Arial" w:eastAsia="Arial" w:hAnsi="Arial"/>
        </w:rPr>
        <w:t xml:space="preserve">Open Positions (Mark-to-Market)</w:t>
      </w:r>
    </w:p>
    <w:p>
      <w:pPr>
        <w:spacing w:after="120"/>
        <w:jc w:val="left"/>
      </w:pPr>
      <w:r>
        <w:rPr>
          <w:rFonts w:ascii="Arial" w:cs="Arial" w:eastAsia="Arial" w:hAnsi="Arial"/>
          <w:b w:val="false"/>
          <w:bCs w:val="false"/>
          <w:i w:val="false"/>
          <w:iCs w:val="false"/>
          <w:color w:val="2C3E50"/>
          <w:sz w:val="22"/>
          <w:szCs w:val="22"/>
        </w:rPr>
        <w:t xml:space="preserve">Four positions remain open as of March 30, 2026. All show unrealized gains.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60"/>
        <w:gridCol w:w="800"/>
        <w:gridCol w:w="800"/>
        <w:gridCol w:w="1000"/>
        <w:gridCol w:w="1000"/>
        <w:gridCol w:w="190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6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Market</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Entry</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Current</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Shares</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Unreal. P&amp;L</w:t>
            </w:r>
          </w:p>
        </w:tc>
        <w:tc>
          <w:tcPr>
            <w:tcW w:type="dxa" w:w="1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Next Catalyst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8"/>
                <w:szCs w:val="18"/>
              </w:rPr>
              <w:t xml:space="preserve">M1-01</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US Recession 2026 YES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$0.255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$0.380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117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27AE60"/>
                <w:sz w:val="18"/>
                <w:szCs w:val="18"/>
              </w:rPr>
              <w:t xml:space="preserve">+$14.62</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Q1 GDP Apr 30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8"/>
                <w:szCs w:val="18"/>
              </w:rPr>
              <w:t xml:space="preserve">M1-02</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Fed Rate Hike 2026 YES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$0.115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$0.180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87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27AE60"/>
                <w:sz w:val="18"/>
                <w:szCs w:val="18"/>
              </w:rPr>
              <w:t xml:space="preserve">+$5.66</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FOMC May 6-7, April CPI Apr 10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8"/>
                <w:szCs w:val="18"/>
              </w:rPr>
              <w:t xml:space="preserve">M1-03</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Fed Emergency Cut 2026 YES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$0.130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$0.190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77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27AE60"/>
                <w:sz w:val="18"/>
                <w:szCs w:val="18"/>
              </w:rPr>
              <w:t xml:space="preserve">+$4.62</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Depends on recession severity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8"/>
                <w:szCs w:val="18"/>
              </w:rPr>
              <w:t xml:space="preserve">M3-02</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US-Iran Ceasefire Before Oil $120 NO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$0.710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$0.800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C3E50"/>
                <w:sz w:val="18"/>
                <w:szCs w:val="18"/>
              </w:rPr>
              <w:t xml:space="preserve">42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27AE60"/>
                <w:sz w:val="18"/>
                <w:szCs w:val="18"/>
              </w:rPr>
              <w:t xml:space="preserve">+$3.78</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Diplomatic talks, oil price movement</w:t>
            </w:r>
          </w:p>
        </w:tc>
      </w:tr>
    </w:tbl>
    <w:p>
      <w:r>
        <w:br w:type="page"/>
      </w:r>
    </w:p>
    <w:p>
      <w:pPr>
        <w:pStyle w:val="Heading1"/>
      </w:pPr>
      <w:r>
        <w:rPr>
          <w:rFonts w:ascii="Arial" w:cs="Arial" w:eastAsia="Arial" w:hAnsi="Arial"/>
        </w:rPr>
        <w:t xml:space="preserve">Continuation Protocol</w:t>
      </w:r>
    </w:p>
    <w:p>
      <w:pPr>
        <w:spacing w:after="120"/>
        <w:jc w:val="left"/>
      </w:pPr>
      <w:r>
        <w:rPr>
          <w:rFonts w:ascii="Arial" w:cs="Arial" w:eastAsia="Arial" w:hAnsi="Arial"/>
          <w:b w:val="false"/>
          <w:bCs w:val="false"/>
          <w:i w:val="false"/>
          <w:iCs w:val="false"/>
          <w:color w:val="2C3E50"/>
          <w:sz w:val="22"/>
          <w:szCs w:val="22"/>
        </w:rPr>
        <w:t xml:space="preserve">This section exists for future sessions. Any agent, human or machine, picking up this portfolio should follow these rules in order.</w:t>
      </w:r>
    </w:p>
    <w:p>
      <w:pPr>
        <w:spacing w:after="60" w:before="60"/>
      </w:pPr>
    </w:p>
    <w:p>
      <w:pPr>
        <w:pStyle w:val="Heading2"/>
      </w:pPr>
      <w:r>
        <w:rPr>
          <w:rFonts w:ascii="Arial" w:cs="Arial" w:eastAsia="Arial" w:hAnsi="Arial"/>
        </w:rPr>
        <w:t xml:space="preserve">Rules for the Next Session</w:t>
      </w:r>
    </w:p>
    <w:p>
      <w:pPr>
        <w:pStyle w:val="ListParagraph"/>
        <w:numPr>
          <w:ilvl w:val="0"/>
          <w:numId w:val="2"/>
        </w:numPr>
        <w:spacing w:after="80"/>
      </w:pPr>
      <w:r>
        <w:rPr>
          <w:rFonts w:ascii="Arial" w:cs="Arial" w:eastAsia="Arial" w:hAnsi="Arial"/>
          <w:color w:val="2C3E50"/>
          <w:sz w:val="22"/>
          <w:szCs w:val="22"/>
        </w:rPr>
        <w:t xml:space="preserve">Read this file first. It is your state.</w:t>
      </w:r>
    </w:p>
    <w:p>
      <w:pPr>
        <w:pStyle w:val="ListParagraph"/>
        <w:numPr>
          <w:ilvl w:val="0"/>
          <w:numId w:val="2"/>
        </w:numPr>
        <w:spacing w:after="80"/>
      </w:pPr>
      <w:r>
        <w:rPr>
          <w:rFonts w:ascii="Arial" w:cs="Arial" w:eastAsia="Arial" w:hAnsi="Arial"/>
          <w:color w:val="2C3E50"/>
          <w:sz w:val="22"/>
          <w:szCs w:val="22"/>
        </w:rPr>
        <w:t xml:space="preserve">Check current odds on all open positions.</w:t>
      </w:r>
    </w:p>
    <w:p>
      <w:pPr>
        <w:pStyle w:val="ListParagraph"/>
        <w:numPr>
          <w:ilvl w:val="0"/>
          <w:numId w:val="2"/>
        </w:numPr>
        <w:spacing w:after="80"/>
      </w:pPr>
      <w:r>
        <w:rPr>
          <w:rFonts w:ascii="Arial" w:cs="Arial" w:eastAsia="Arial" w:hAnsi="Arial"/>
          <w:color w:val="2C3E50"/>
          <w:sz w:val="22"/>
          <w:szCs w:val="22"/>
        </w:rPr>
        <w:t xml:space="preserve">Check if any catalysts have fired since last session.</w:t>
      </w:r>
    </w:p>
    <w:p>
      <w:pPr>
        <w:pStyle w:val="ListParagraph"/>
        <w:numPr>
          <w:ilvl w:val="0"/>
          <w:numId w:val="2"/>
        </w:numPr>
        <w:spacing w:after="80"/>
      </w:pPr>
      <w:r>
        <w:rPr>
          <w:rFonts w:ascii="Arial" w:cs="Arial" w:eastAsia="Arial" w:hAnsi="Arial"/>
          <w:color w:val="2C3E50"/>
          <w:sz w:val="22"/>
          <w:szCs w:val="22"/>
        </w:rPr>
        <w:t xml:space="preserve">Compute updated unrealized P&amp;L.</w:t>
      </w:r>
    </w:p>
    <w:p>
      <w:pPr>
        <w:pStyle w:val="ListParagraph"/>
        <w:numPr>
          <w:ilvl w:val="0"/>
          <w:numId w:val="2"/>
        </w:numPr>
        <w:spacing w:after="80"/>
      </w:pPr>
      <w:r>
        <w:rPr>
          <w:rFonts w:ascii="Arial" w:cs="Arial" w:eastAsia="Arial" w:hAnsi="Arial"/>
          <w:color w:val="2C3E50"/>
          <w:sz w:val="22"/>
          <w:szCs w:val="22"/>
        </w:rPr>
        <w:t xml:space="preserve">Decide: hold, sell, or add to positions.</w:t>
      </w:r>
    </w:p>
    <w:p>
      <w:pPr>
        <w:pStyle w:val="ListParagraph"/>
        <w:numPr>
          <w:ilvl w:val="0"/>
          <w:numId w:val="2"/>
        </w:numPr>
        <w:spacing w:after="80"/>
      </w:pPr>
      <w:r>
        <w:rPr>
          <w:rFonts w:ascii="Arial" w:cs="Arial" w:eastAsia="Arial" w:hAnsi="Arial"/>
          <w:color w:val="2C3E50"/>
          <w:sz w:val="22"/>
          <w:szCs w:val="22"/>
        </w:rPr>
        <w:t xml:space="preserve">Look for new dirt-cheap mispriced markets.</w:t>
      </w:r>
    </w:p>
    <w:p>
      <w:pPr>
        <w:pStyle w:val="ListParagraph"/>
        <w:numPr>
          <w:ilvl w:val="0"/>
          <w:numId w:val="2"/>
        </w:numPr>
        <w:spacing w:after="80"/>
      </w:pPr>
      <w:r>
        <w:rPr>
          <w:rFonts w:ascii="Arial" w:cs="Arial" w:eastAsia="Arial" w:hAnsi="Arial"/>
          <w:color w:val="2C3E50"/>
          <w:sz w:val="22"/>
          <w:szCs w:val="22"/>
        </w:rPr>
        <w:t xml:space="preserve">Record all trades in this ledger.</w:t>
      </w:r>
    </w:p>
    <w:p>
      <w:pPr>
        <w:pStyle w:val="ListParagraph"/>
        <w:numPr>
          <w:ilvl w:val="0"/>
          <w:numId w:val="2"/>
        </w:numPr>
        <w:spacing w:after="80"/>
      </w:pPr>
      <w:r>
        <w:rPr>
          <w:rFonts w:ascii="Arial" w:cs="Arial" w:eastAsia="Arial" w:hAnsi="Arial"/>
          <w:color w:val="2C3E50"/>
          <w:sz w:val="22"/>
          <w:szCs w:val="22"/>
        </w:rPr>
        <w:t xml:space="preserve">Update the continuation section for the next session.</w:t>
      </w:r>
    </w:p>
    <w:p>
      <w:pPr>
        <w:pStyle w:val="ListParagraph"/>
        <w:numPr>
          <w:ilvl w:val="0"/>
          <w:numId w:val="2"/>
        </w:numPr>
        <w:spacing w:after="80"/>
      </w:pPr>
      <w:r>
        <w:rPr>
          <w:rFonts w:ascii="Arial" w:cs="Arial" w:eastAsia="Arial" w:hAnsi="Arial"/>
          <w:color w:val="2C3E50"/>
          <w:sz w:val="22"/>
          <w:szCs w:val="22"/>
        </w:rPr>
        <w:t xml:space="preserve">The goal is always SOFT PROFIT RISE — no big bets, no panic.</w:t>
      </w:r>
    </w:p>
    <w:p>
      <w:pPr>
        <w:pStyle w:val="ListParagraph"/>
        <w:numPr>
          <w:ilvl w:val="0"/>
          <w:numId w:val="2"/>
        </w:numPr>
        <w:spacing w:after="80"/>
      </w:pPr>
      <w:r>
        <w:rPr>
          <w:rFonts w:ascii="Arial" w:cs="Arial" w:eastAsia="Arial" w:hAnsi="Arial"/>
          <w:color w:val="2C3E50"/>
          <w:sz w:val="22"/>
          <w:szCs w:val="22"/>
        </w:rPr>
        <w:t xml:space="preserve">We make our bet on the things we KNOW through deduction.</w:t>
      </w:r>
    </w:p>
    <w:p>
      <w:pPr>
        <w:spacing w:after="80" w:before="80"/>
      </w:pPr>
    </w:p>
    <w:p>
      <w:pPr>
        <w:pStyle w:val="Heading2"/>
      </w:pPr>
      <w:r>
        <w:rPr>
          <w:rFonts w:ascii="Arial" w:cs="Arial" w:eastAsia="Arial" w:hAnsi="Arial"/>
        </w:rPr>
        <w:t xml:space="preserve">Upcoming Catalysts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80"/>
        <w:gridCol w:w="318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43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Event</w:t>
            </w:r>
          </w:p>
        </w:tc>
        <w:tc>
          <w:tcPr>
            <w:tcW w:type="dxa" w:w="31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Markets Affected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8"/>
                <w:szCs w:val="18"/>
              </w:rPr>
              <w:t xml:space="preserve">2026-04-10</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March CPI Release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inflation, rate_hike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8"/>
                <w:szCs w:val="18"/>
              </w:rPr>
              <w:t xml:space="preserve">2026-04-30</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Q1 2026 GDP Advance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recession, negative_gdp, emergency_cut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8"/>
                <w:szCs w:val="18"/>
              </w:rPr>
              <w:t xml:space="preserve">2026-05-02</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April Nonfarm Payrolls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unemployment, recession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8"/>
                <w:szCs w:val="18"/>
              </w:rPr>
              <w:t xml:space="preserve">2026-05-06</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FOMC Meeting</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rate_hike, emergency_cut</w:t>
            </w:r>
          </w:p>
        </w:tc>
      </w:tr>
    </w:tbl>
    <w:p>
      <w:pPr>
        <w:spacing w:after="80" w:before="80"/>
      </w:pPr>
    </w:p>
    <w:p>
      <w:pPr>
        <w:pStyle w:val="Heading2"/>
      </w:pPr>
      <w:r>
        <w:rPr>
          <w:rFonts w:ascii="Arial" w:cs="Arial" w:eastAsia="Arial" w:hAnsi="Arial"/>
        </w:rPr>
        <w:t xml:space="preserve">Recommended New Positions</w:t>
      </w:r>
    </w:p>
    <w:p>
      <w:pPr>
        <w:spacing w:after="120"/>
        <w:jc w:val="left"/>
      </w:pPr>
      <w:r>
        <w:rPr>
          <w:rFonts w:ascii="Arial" w:cs="Arial" w:eastAsia="Arial" w:hAnsi="Arial"/>
          <w:b w:val="false"/>
          <w:bCs w:val="false"/>
          <w:i w:val="false"/>
          <w:iCs w:val="false"/>
          <w:color w:val="2C3E50"/>
          <w:sz w:val="22"/>
          <w:szCs w:val="22"/>
        </w:rPr>
        <w:t xml:space="preserve">These markets are currently cheap and supported by deductive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Market</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Price</w:t>
            </w:r>
          </w:p>
        </w:tc>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Thesis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8"/>
                <w:szCs w:val="18"/>
              </w:rPr>
              <w:t xml:space="preserve">Inflation Above 5% 2026 YES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27AE60"/>
                <w:sz w:val="18"/>
                <w:szCs w:val="18"/>
              </w:rPr>
              <w:t xml:space="preserve">$0.24</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Oil shock + tariffs + war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8"/>
                <w:szCs w:val="18"/>
              </w:rPr>
              <w:t xml:space="preserve">Negative GDP Growth 2026 YES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27AE60"/>
                <w:sz w:val="18"/>
                <w:szCs w:val="18"/>
              </w:rPr>
              <w:t xml:space="preserve">$0.15</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Q4 GDP miss, employment weakness, oil drag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18"/>
                <w:szCs w:val="18"/>
              </w:rPr>
              <w:t xml:space="preserve">Unemployment Hits 5.5% 2026 YES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27AE60"/>
                <w:sz w:val="18"/>
                <w:szCs w:val="18"/>
              </w:rPr>
              <w:t xml:space="preserve">$0.30</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18"/>
                <w:szCs w:val="18"/>
              </w:rPr>
              <w:t xml:space="preserve">Nonfarm -92k, DOGE cuts, war impact</w:t>
            </w:r>
          </w:p>
        </w:tc>
      </w:tr>
    </w:tbl>
    <w:p>
      <w:r>
        <w:br w:type="page"/>
      </w:r>
    </w:p>
    <w:p>
      <w:pPr>
        <w:pStyle w:val="Heading1"/>
      </w:pPr>
      <w:r>
        <w:rPr>
          <w:rFonts w:ascii="Arial" w:cs="Arial" w:eastAsia="Arial" w:hAnsi="Arial"/>
        </w:rPr>
        <w:t xml:space="preserve">Methodology: Deduction, Not Prediction</w:t>
      </w:r>
    </w:p>
    <w:p>
      <w:pPr>
        <w:spacing w:after="120"/>
        <w:jc w:val="left"/>
      </w:pPr>
      <w:r>
        <w:rPr>
          <w:rFonts w:ascii="Arial" w:cs="Arial" w:eastAsia="Arial" w:hAnsi="Arial"/>
          <w:b w:val="false"/>
          <w:bCs w:val="false"/>
          <w:i w:val="false"/>
          <w:iCs w:val="false"/>
          <w:color w:val="2C3E50"/>
          <w:sz w:val="22"/>
          <w:szCs w:val="22"/>
        </w:rPr>
        <w:t xml:space="preserve">This simulation is not a backtest with hindsight bias. Every trade entry is justified by information that was publicly available and logically deducible at the time of entry. The distinction between prediction and deduction is the foundation of the strategy:</w:t>
      </w:r>
    </w:p>
    <w:p>
      <w:pPr>
        <w:spacing w:after="60" w:before="60"/>
      </w:pPr>
    </w:p>
    <w:p>
      <w:pPr>
        <w:spacing w:after="120"/>
        <w:jc w:val="left"/>
      </w:pPr>
      <w:r>
        <w:rPr>
          <w:rFonts w:ascii="Arial" w:cs="Arial" w:eastAsia="Arial" w:hAnsi="Arial"/>
          <w:b/>
          <w:bCs/>
          <w:color w:val="2C3E50"/>
          <w:sz w:val="22"/>
          <w:szCs w:val="22"/>
        </w:rPr>
        <w:t xml:space="preserve">Prediction: </w:t>
      </w:r>
      <w:r>
        <w:rPr>
          <w:rFonts w:ascii="Arial" w:cs="Arial" w:eastAsia="Arial" w:hAnsi="Arial"/>
          <w:color w:val="2C3E50"/>
          <w:sz w:val="22"/>
          <w:szCs w:val="22"/>
        </w:rPr>
        <w:t xml:space="preserve">"I think BTC will go up." This is a guess. It has no structural basis. It fails at scale.</w:t>
      </w:r>
    </w:p>
    <w:p>
      <w:pPr>
        <w:spacing w:after="120"/>
        <w:jc w:val="left"/>
      </w:pPr>
      <w:r>
        <w:rPr>
          <w:rFonts w:ascii="Arial" w:cs="Arial" w:eastAsia="Arial" w:hAnsi="Arial"/>
          <w:b/>
          <w:bCs/>
          <w:color w:val="2C3E50"/>
          <w:sz w:val="22"/>
          <w:szCs w:val="22"/>
        </w:rPr>
        <w:t xml:space="preserve">Deduction: </w:t>
      </w:r>
      <w:r>
        <w:rPr>
          <w:rFonts w:ascii="Arial" w:cs="Arial" w:eastAsia="Arial" w:hAnsi="Arial"/>
          <w:color w:val="2C3E50"/>
          <w:sz w:val="22"/>
          <w:szCs w:val="22"/>
        </w:rPr>
        <w:t xml:space="preserve">"BTC at $91k cannot rally 10% to $100k in 6 days without a catalyst. No catalyst exists. Therefore NO at $0.87 is underpriced." This is a logical inference from observable facts.</w:t>
      </w:r>
    </w:p>
    <w:p>
      <w:pPr>
        <w:spacing w:after="60" w:before="60"/>
      </w:pPr>
    </w:p>
    <w:p>
      <w:pPr>
        <w:spacing w:after="120"/>
        <w:jc w:val="left"/>
      </w:pPr>
      <w:r>
        <w:rPr>
          <w:rFonts w:ascii="Arial" w:cs="Arial" w:eastAsia="Arial" w:hAnsi="Arial"/>
          <w:b w:val="false"/>
          <w:bCs w:val="false"/>
          <w:i w:val="false"/>
          <w:iCs w:val="false"/>
          <w:color w:val="2C3E50"/>
          <w:sz w:val="22"/>
          <w:szCs w:val="22"/>
        </w:rPr>
        <w:t xml:space="preserve">The Seneca Strategy operates on three axioms:</w:t>
      </w:r>
    </w:p>
    <w:p>
      <w:pPr>
        <w:spacing w:after="40" w:before="40"/>
      </w:pPr>
    </w:p>
    <w:p>
      <w:pPr>
        <w:spacing w:after="120"/>
        <w:jc w:val="left"/>
      </w:pPr>
      <w:r>
        <w:rPr>
          <w:rFonts w:ascii="Arial" w:cs="Arial" w:eastAsia="Arial" w:hAnsi="Arial"/>
          <w:b/>
          <w:bCs/>
          <w:color w:val="1B4F72"/>
          <w:sz w:val="22"/>
          <w:szCs w:val="22"/>
        </w:rPr>
        <w:t xml:space="preserve">Axiom 1: </w:t>
      </w:r>
      <w:r>
        <w:rPr>
          <w:rFonts w:ascii="Arial" w:cs="Arial" w:eastAsia="Arial" w:hAnsi="Arial"/>
          <w:color w:val="2C3E50"/>
          <w:sz w:val="22"/>
          <w:szCs w:val="22"/>
        </w:rPr>
        <w:t xml:space="preserve">Crowds misprice tail risks during periods of consensus. Unanimity is the contrarian signal.</w:t>
      </w:r>
    </w:p>
    <w:p>
      <w:pPr>
        <w:spacing w:after="120"/>
        <w:jc w:val="left"/>
      </w:pPr>
      <w:r>
        <w:rPr>
          <w:rFonts w:ascii="Arial" w:cs="Arial" w:eastAsia="Arial" w:hAnsi="Arial"/>
          <w:b/>
          <w:bCs/>
          <w:color w:val="1B4F72"/>
          <w:sz w:val="22"/>
          <w:szCs w:val="22"/>
        </w:rPr>
        <w:t xml:space="preserve">Axiom 2: </w:t>
      </w:r>
      <w:r>
        <w:rPr>
          <w:rFonts w:ascii="Arial" w:cs="Arial" w:eastAsia="Arial" w:hAnsi="Arial"/>
          <w:color w:val="2C3E50"/>
          <w:sz w:val="22"/>
          <w:szCs w:val="22"/>
        </w:rPr>
        <w:t xml:space="preserve">Known catalysts create predictable volatility windows. Deploy capital around these events.</w:t>
      </w:r>
    </w:p>
    <w:p>
      <w:pPr>
        <w:spacing w:after="120"/>
        <w:jc w:val="left"/>
      </w:pPr>
      <w:r>
        <w:rPr>
          <w:rFonts w:ascii="Arial" w:cs="Arial" w:eastAsia="Arial" w:hAnsi="Arial"/>
          <w:b/>
          <w:bCs/>
          <w:color w:val="1B4F72"/>
          <w:sz w:val="22"/>
          <w:szCs w:val="22"/>
        </w:rPr>
        <w:t xml:space="preserve">Axiom 3: </w:t>
      </w:r>
      <w:r>
        <w:rPr>
          <w:rFonts w:ascii="Arial" w:cs="Arial" w:eastAsia="Arial" w:hAnsi="Arial"/>
          <w:color w:val="2C3E50"/>
          <w:sz w:val="22"/>
          <w:szCs w:val="22"/>
        </w:rPr>
        <w:t xml:space="preserve">Soft profit rise beats aggressive returns. Reserve capital. Never deploy more than 30%.</w:t>
      </w:r>
    </w:p>
    <w:p>
      <w:pPr>
        <w:spacing w:after="80" w:before="80"/>
      </w:pPr>
    </w:p>
    <w:p>
      <w:pPr>
        <w:pStyle w:val="Heading2"/>
      </w:pPr>
      <w:r>
        <w:rPr>
          <w:rFonts w:ascii="Arial" w:cs="Arial" w:eastAsia="Arial" w:hAnsi="Arial"/>
        </w:rPr>
        <w:t xml:space="preserve">Grace Hopper's Calculus</w:t>
      </w:r>
    </w:p>
    <w:p>
      <w:pPr>
        <w:pBdr>
          <w:left w:val="single" w:color="85C1E9" w:sz="8" w:space="8"/>
        </w:pBdr>
        <w:spacing w:after="120"/>
        <w:ind w:left="360"/>
      </w:pPr>
      <w:r>
        <w:rPr>
          <w:rFonts w:ascii="Arial" w:cs="Arial" w:eastAsia="Arial" w:hAnsi="Arial"/>
          <w:i/>
          <w:iCs/>
          <w:color w:val="2C3E50"/>
          <w:sz w:val="22"/>
          <w:szCs w:val="22"/>
        </w:rPr>
        <w:t xml:space="preserve">"The cost of incorrect information... I can go up to almost half a million dollars to get that file to a higher level of correctness, because that's what I stand to lose."</w:t>
      </w:r>
    </w:p>
    <w:p>
      <w:pPr>
        <w:ind w:left="360"/>
      </w:pPr>
      <w:r>
        <w:rPr>
          <w:rFonts w:ascii="Arial" w:cs="Arial" w:eastAsia="Arial" w:hAnsi="Arial"/>
          <w:color w:val="7F8C8D"/>
          <w:sz w:val="20"/>
          <w:szCs w:val="20"/>
        </w:rPr>
        <w:t xml:space="preserve">— Grace Hopper, 1982</w:t>
      </w:r>
    </w:p>
    <w:p>
      <w:pPr>
        <w:spacing w:after="60" w:before="60"/>
      </w:pPr>
    </w:p>
    <w:p>
      <w:pPr>
        <w:spacing w:after="120"/>
        <w:jc w:val="left"/>
      </w:pPr>
      <w:r>
        <w:rPr>
          <w:rFonts w:ascii="Arial" w:cs="Arial" w:eastAsia="Arial" w:hAnsi="Arial"/>
          <w:b w:val="false"/>
          <w:bCs w:val="false"/>
          <w:i w:val="false"/>
          <w:iCs w:val="false"/>
          <w:color w:val="2C3E50"/>
          <w:sz w:val="22"/>
          <w:szCs w:val="22"/>
        </w:rPr>
        <w:t xml:space="preserve">This simulation embodies Hopper's insight: the value of correct information is measured by what incorrect information costs. Every deduction in this ledger represents information the market had but failed to price correctly. Our edge is not intelligence. It is attention.</w:t>
      </w:r>
    </w:p>
    <w:p>
      <w:pPr>
        <w:spacing w:after="200" w:before="200"/>
      </w:pPr>
    </w:p>
    <w:p>
      <w:pPr>
        <w:pBdr>
          <w:top w:val="single" w:color="85C1E9" w:sz="2" w:space="8"/>
        </w:pBdr>
        <w:spacing w:before="120"/>
        <w:jc w:val="center"/>
      </w:pPr>
      <w:r>
        <w:rPr>
          <w:rFonts w:ascii="Arial" w:cs="Arial" w:eastAsia="Arial" w:hAnsi="Arial"/>
          <w:i/>
          <w:iCs/>
          <w:color w:val="1B4F72"/>
          <w:sz w:val="20"/>
          <w:szCs w:val="20"/>
        </w:rPr>
        <w:t xml:space="preserve">Praescientia — Ad infinitum</w:t>
      </w:r>
    </w:p>
    <w:p>
      <w:pPr>
        <w:jc w:val="center"/>
      </w:pPr>
      <w:r>
        <w:rPr>
          <w:rFonts w:ascii="Arial" w:cs="Arial" w:eastAsia="Arial" w:hAnsi="Arial"/>
          <w:color w:val="7F8C8D"/>
          <w:sz w:val="16"/>
          <w:szCs w:val="16"/>
        </w:rPr>
        <w:t xml:space="preserve">Generated: March 30, 2026 | Data ledger: data/seneca_ytd_2026_simulation.json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5C1E9" w:sz="2" w:space="4"/>
      </w:pBdr>
      <w:tabs>
        <w:tab w:val="right" w:pos="9026"/>
      </w:tabs>
    </w:pPr>
    <w:r>
      <w:rPr>
        <w:rFonts w:ascii="Arial" w:cs="Arial" w:eastAsia="Arial" w:hAnsi="Arial"/>
        <w:b/>
        <w:bCs/>
        <w:color w:val="1B4F72"/>
        <w:sz w:val="16"/>
        <w:szCs w:val="16"/>
      </w:rPr>
      <w:t xml:space="preserve">PRAESCIENTIA</w:t>
    </w:r>
    <w:r>
      <w:rPr>
        <w:rFonts w:ascii="Arial" w:cs="Arial" w:eastAsia="Arial" w:hAnsi="Arial"/>
        <w:color w:val="7F8C8D"/>
        <w:sz w:val="16"/>
        <w:szCs w:val="16"/>
      </w:rPr>
      <w:t xml:space="preserve">	Seneca Strategy YTD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5C1E9" w:sz="4" w:space="4"/>
      </w:pBdr>
      <w:spacing w:after="12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3E50"/>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2026-03-31T02:56:55.856Z</dcterms:created>
  <dcterms:modified xsi:type="dcterms:W3CDTF">2026-03-31T02:56:55.856Z</dcterms:modified>
</cp:coreProperties>
</file>

<file path=docProps/custom.xml><?xml version="1.0" encoding="utf-8"?>
<Properties xmlns="http://schemas.openxmlformats.org/officeDocument/2006/custom-properties" xmlns:vt="http://schemas.openxmlformats.org/officeDocument/2006/docPropsVTypes"/>
</file>