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initial project vision was to build an AI-driven malware detection system capable of defending against adversarial attacks. The plan involved using machine learning tools such as the EMBER dataset, LightGBM, and adversarial robustness libraries like ART and Foolbox. Our goal was to demonstrate how small file changes, known as adversarial perturbations, could bypass AI detection and to explore defenses such as adversarial training. Achieving this would require a deep understanding of both malware behavior and machine learning vulnerabilities. We were excited to push the boundaries of practical cybersecurity research within the scope of our course.</w:t>
      </w:r>
    </w:p>
    <w:p w:rsidR="00000000" w:rsidDel="00000000" w:rsidP="00000000" w:rsidRDefault="00000000" w:rsidRPr="00000000" w14:paraId="00000002">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moved forward, we realized the project’s complexity exceeded what was realistic for a single semester. The technical challenges were significant and time-consuming, especially in crafting adversarial attacks and building a robust AI malware detector. To ensure a meaningful deliverable, we pivoted to a more focused demonstration: a reverse shell attack embedded in a Microsoft Word macro. We divided tasks across team roles and held regular meetings, typically on Wednesdays, to stay aligned, sometimes adjusting times based on availability—for instance, moving to a 6:00 PM Zoom after class. These check-ins proved crucial for maintaining progress and adapting as challenges arose. </w:t>
      </w:r>
    </w:p>
    <w:p w:rsidR="00000000" w:rsidDel="00000000" w:rsidP="00000000" w:rsidRDefault="00000000" w:rsidRPr="00000000" w14:paraId="00000003">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Proxmox, Kali Linux, Metasploit, and msfvenom, we successfully created a working reverse_tcp payload in VBA format for Word macros. We set up listener services on our Kali VM and tested the exploit in controlled virtual environments to ensure safety. Although Windows Defender’s protections required us to disable it during tests, this highlighted the strength of modern security tools. The experience deepened our understanding of offensive tactics and defensive countermeasures. It also reinforced the importance of using isolated environments when handling live malware tests.</w:t>
      </w:r>
    </w:p>
    <w:p w:rsidR="00000000" w:rsidDel="00000000" w:rsidP="00000000" w:rsidRDefault="00000000" w:rsidRPr="00000000" w14:paraId="00000004">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collaboration remained strong. Ben uploaded macro scripts to GitHub and experimented with evasion, Connor led demonstrations and visuals, and Bakori provided updates and reports on the project. Our meetings, both in person and on Zoom, allowed us to adapt quickly and stay organized.</w:t>
      </w:r>
    </w:p>
    <w:p w:rsidR="00000000" w:rsidDel="00000000" w:rsidP="00000000" w:rsidRDefault="00000000" w:rsidRPr="00000000" w14:paraId="00000005">
      <w:pPr>
        <w:spacing w:after="240" w:before="240" w:line="276" w:lineRule="auto"/>
        <w:ind w:firstLine="720"/>
        <w:rPr>
          <w:b w:val="1"/>
          <w:highlight w:val="yellow"/>
        </w:rPr>
      </w:pPr>
      <w:r w:rsidDel="00000000" w:rsidR="00000000" w:rsidRPr="00000000">
        <w:rPr>
          <w:rFonts w:ascii="Times New Roman" w:cs="Times New Roman" w:eastAsia="Times New Roman" w:hAnsi="Times New Roman"/>
          <w:sz w:val="24"/>
          <w:szCs w:val="24"/>
          <w:rtl w:val="0"/>
        </w:rPr>
        <w:t xml:space="preserve">In the end, though our final product differed from the original AI-focused vision, we gained significant insight into offensive security, practical malware defense, and the importance of adaptability and scope management. These lessons, alongside the technical skills we built, will be crucial in our future cybersecurity careers.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spacing w:after="240" w:before="240" w:line="360" w:lineRule="auto"/>
      <w:jc w:val="center"/>
      <w:rPr>
        <w:b w:val="1"/>
        <w:sz w:val="24"/>
        <w:szCs w:val="24"/>
      </w:rPr>
    </w:pPr>
    <w:r w:rsidDel="00000000" w:rsidR="00000000" w:rsidRPr="00000000">
      <w:rPr>
        <w:b w:val="1"/>
        <w:sz w:val="24"/>
        <w:szCs w:val="24"/>
        <w:rtl w:val="0"/>
      </w:rPr>
      <w:t xml:space="preserve">Project Evolution: Adapting to Challenges and Maximizing Learning</w:t>
    </w:r>
  </w:p>
  <w:p w:rsidR="00000000" w:rsidDel="00000000" w:rsidP="00000000" w:rsidRDefault="00000000" w:rsidRPr="00000000" w14:paraId="00000007">
    <w:pPr>
      <w:spacing w:after="240" w:before="240" w:line="360" w:lineRule="auto"/>
      <w:jc w:val="center"/>
      <w:rPr>
        <w:b w:val="1"/>
        <w:sz w:val="24"/>
        <w:szCs w:val="24"/>
      </w:rPr>
    </w:pPr>
    <w:r w:rsidDel="00000000" w:rsidR="00000000" w:rsidRPr="00000000">
      <w:rPr>
        <w:b w:val="1"/>
        <w:sz w:val="16"/>
        <w:szCs w:val="16"/>
        <w:rtl w:val="0"/>
      </w:rPr>
      <w:t xml:space="preserve">By: Bakori Jones, Ben Boland, and Connor Donath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